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2B27E">
      <w:pPr>
        <w:pageBreakBefore w:val="0"/>
        <w:kinsoku/>
        <w:wordWrap/>
        <w:overflowPunct/>
        <w:bidi w:val="0"/>
        <w:spacing w:before="648" w:beforeLines="270" w:after="240" w:afterLines="100" w:line="240" w:lineRule="auto"/>
        <w:ind w:firstLine="0"/>
        <w:jc w:val="center"/>
        <w:rPr>
          <w:rFonts w:eastAsia="黑体"/>
          <w:b/>
          <w:color w:val="auto"/>
          <w:sz w:val="52"/>
          <w:szCs w:val="52"/>
          <w:highlight w:val="none"/>
        </w:rPr>
      </w:pPr>
      <w:bookmarkStart w:id="368" w:name="_GoBack"/>
      <w:bookmarkEnd w:id="368"/>
      <w:bookmarkStart w:id="0" w:name="_Toc434352242"/>
      <w:bookmarkStart w:id="1" w:name="OLE_LINK5"/>
      <w:bookmarkStart w:id="2" w:name="OLE_LINK3"/>
    </w:p>
    <w:p w14:paraId="00CA9C08">
      <w:pPr>
        <w:spacing w:before="120" w:line="240" w:lineRule="auto"/>
        <w:ind w:firstLine="0"/>
        <w:jc w:val="center"/>
        <w:rPr>
          <w:rFonts w:hint="default" w:ascii="Times New Roman" w:hAnsi="Times New Roman" w:eastAsia="黑体" w:cs="Times New Roman"/>
          <w:color w:val="auto"/>
          <w:spacing w:val="-22"/>
          <w:sz w:val="60"/>
          <w:szCs w:val="60"/>
          <w:highlight w:val="none"/>
          <w:lang w:val="en-US" w:eastAsia="zh-CN"/>
        </w:rPr>
      </w:pPr>
      <w:bookmarkStart w:id="3" w:name="_Toc29646"/>
    </w:p>
    <w:p w14:paraId="1D318551">
      <w:pPr>
        <w:spacing w:before="120" w:line="240" w:lineRule="auto"/>
        <w:ind w:firstLine="0"/>
        <w:jc w:val="center"/>
        <w:rPr>
          <w:rFonts w:hint="default" w:ascii="Times New Roman" w:hAnsi="Times New Roman" w:eastAsia="黑体" w:cs="Times New Roman"/>
          <w:color w:val="auto"/>
          <w:spacing w:val="-22"/>
          <w:sz w:val="60"/>
          <w:szCs w:val="60"/>
          <w:highlight w:val="none"/>
          <w:lang w:val="en-US" w:eastAsia="zh-CN"/>
        </w:rPr>
      </w:pPr>
    </w:p>
    <w:p w14:paraId="620053A4">
      <w:pPr>
        <w:spacing w:before="120" w:line="240" w:lineRule="auto"/>
        <w:ind w:firstLine="0"/>
        <w:jc w:val="center"/>
        <w:rPr>
          <w:rFonts w:hint="default" w:ascii="Times New Roman" w:hAnsi="Times New Roman" w:eastAsia="黑体" w:cs="Times New Roman"/>
          <w:color w:val="auto"/>
          <w:spacing w:val="-22"/>
          <w:sz w:val="60"/>
          <w:szCs w:val="60"/>
          <w:highlight w:val="none"/>
          <w:lang w:val="en-US" w:eastAsia="zh-CN"/>
        </w:rPr>
      </w:pPr>
    </w:p>
    <w:p w14:paraId="5B54C1BE">
      <w:pPr>
        <w:spacing w:before="120" w:line="240" w:lineRule="auto"/>
        <w:ind w:firstLine="0"/>
        <w:jc w:val="distribute"/>
        <w:rPr>
          <w:rFonts w:hint="default" w:ascii="Times New Roman" w:hAnsi="Times New Roman" w:eastAsia="黑体" w:cs="Times New Roman"/>
          <w:color w:val="auto"/>
          <w:spacing w:val="-22"/>
          <w:sz w:val="48"/>
          <w:szCs w:val="48"/>
          <w:highlight w:val="none"/>
          <w:lang w:val="en-US" w:eastAsia="zh-CN"/>
        </w:rPr>
      </w:pPr>
      <w:r>
        <w:rPr>
          <w:rFonts w:hint="default" w:ascii="Times New Roman" w:hAnsi="Times New Roman" w:eastAsia="黑体" w:cs="Times New Roman"/>
          <w:color w:val="auto"/>
          <w:spacing w:val="-22"/>
          <w:sz w:val="60"/>
          <w:szCs w:val="60"/>
          <w:highlight w:val="none"/>
          <w:lang w:val="en-US" w:eastAsia="zh-CN"/>
        </w:rPr>
        <w:t>新疆精河通用机场建设项目</w:t>
      </w:r>
    </w:p>
    <w:p w14:paraId="1B40306C">
      <w:pPr>
        <w:keepNext w:val="0"/>
        <w:keepLines w:val="0"/>
        <w:pageBreakBefore w:val="0"/>
        <w:widowControl/>
        <w:kinsoku/>
        <w:wordWrap/>
        <w:overflowPunct/>
        <w:topLinePunct w:val="0"/>
        <w:autoSpaceDE/>
        <w:autoSpaceDN/>
        <w:bidi w:val="0"/>
        <w:adjustRightInd/>
        <w:snapToGrid/>
        <w:spacing w:before="164" w:beforeLines="50" w:line="240" w:lineRule="auto"/>
        <w:ind w:firstLine="0"/>
        <w:jc w:val="center"/>
        <w:textAlignment w:val="auto"/>
        <w:outlineLvl w:val="9"/>
        <w:rPr>
          <w:rFonts w:hint="default" w:ascii="华文新魏" w:hAnsi="Calibri" w:eastAsia="宋体" w:cs="Times New Roman"/>
          <w:color w:val="auto"/>
          <w:spacing w:val="46"/>
          <w:sz w:val="96"/>
          <w:szCs w:val="96"/>
          <w:highlight w:val="none"/>
          <w:lang w:val="en-US" w:eastAsia="zh-CN"/>
        </w:rPr>
      </w:pPr>
      <w:r>
        <w:rPr>
          <w:rFonts w:hint="eastAsia" w:ascii="宋体" w:hAnsi="宋体" w:eastAsia="宋体" w:cs="宋体"/>
          <w:b/>
          <w:bCs/>
          <w:color w:val="auto"/>
          <w:spacing w:val="0"/>
          <w:sz w:val="72"/>
          <w:szCs w:val="72"/>
          <w:highlight w:val="none"/>
        </w:rPr>
        <w:t>环境影响报告书</w:t>
      </w:r>
      <w:bookmarkEnd w:id="3"/>
      <w:bookmarkStart w:id="4" w:name="_Toc32008"/>
    </w:p>
    <w:bookmarkEnd w:id="4"/>
    <w:p w14:paraId="7D53A174">
      <w:pPr>
        <w:spacing w:line="240" w:lineRule="auto"/>
        <w:ind w:firstLine="0"/>
        <w:jc w:val="center"/>
        <w:rPr>
          <w:rFonts w:hint="eastAsia" w:ascii="宋体" w:hAnsi="宋体" w:eastAsia="宋体" w:cs="宋体"/>
          <w:b/>
          <w:bCs/>
          <w:color w:val="auto"/>
          <w:sz w:val="32"/>
          <w:szCs w:val="40"/>
          <w:highlight w:val="none"/>
          <w:lang w:val="en-US" w:eastAsia="zh-CN"/>
        </w:rPr>
      </w:pPr>
    </w:p>
    <w:p w14:paraId="2443EA3E">
      <w:pPr>
        <w:pageBreakBefore w:val="0"/>
        <w:kinsoku/>
        <w:wordWrap/>
        <w:overflowPunct/>
        <w:bidi w:val="0"/>
        <w:spacing w:line="240" w:lineRule="auto"/>
        <w:ind w:firstLine="0"/>
        <w:jc w:val="center"/>
        <w:rPr>
          <w:b/>
          <w:color w:val="auto"/>
          <w:sz w:val="28"/>
          <w:szCs w:val="28"/>
          <w:highlight w:val="none"/>
        </w:rPr>
      </w:pPr>
    </w:p>
    <w:p w14:paraId="17C069A5">
      <w:pPr>
        <w:pageBreakBefore w:val="0"/>
        <w:kinsoku/>
        <w:wordWrap/>
        <w:overflowPunct/>
        <w:bidi w:val="0"/>
        <w:spacing w:line="240" w:lineRule="auto"/>
        <w:ind w:firstLine="0"/>
        <w:jc w:val="center"/>
        <w:rPr>
          <w:b/>
          <w:color w:val="auto"/>
          <w:sz w:val="28"/>
          <w:szCs w:val="28"/>
          <w:highlight w:val="none"/>
        </w:rPr>
      </w:pPr>
    </w:p>
    <w:p w14:paraId="50C5D8DD">
      <w:pPr>
        <w:pageBreakBefore w:val="0"/>
        <w:kinsoku/>
        <w:wordWrap/>
        <w:overflowPunct/>
        <w:bidi w:val="0"/>
        <w:spacing w:line="240" w:lineRule="auto"/>
        <w:ind w:firstLine="0"/>
        <w:jc w:val="center"/>
        <w:rPr>
          <w:b/>
          <w:color w:val="auto"/>
          <w:sz w:val="28"/>
          <w:szCs w:val="28"/>
          <w:highlight w:val="none"/>
        </w:rPr>
      </w:pPr>
    </w:p>
    <w:p w14:paraId="71448106">
      <w:pPr>
        <w:pageBreakBefore w:val="0"/>
        <w:kinsoku/>
        <w:wordWrap/>
        <w:overflowPunct/>
        <w:bidi w:val="0"/>
        <w:spacing w:line="240" w:lineRule="auto"/>
        <w:ind w:firstLine="0"/>
        <w:jc w:val="center"/>
        <w:rPr>
          <w:b/>
          <w:color w:val="auto"/>
          <w:sz w:val="28"/>
          <w:szCs w:val="28"/>
          <w:highlight w:val="none"/>
        </w:rPr>
      </w:pPr>
    </w:p>
    <w:p w14:paraId="50085CFA">
      <w:pPr>
        <w:pageBreakBefore w:val="0"/>
        <w:kinsoku/>
        <w:wordWrap/>
        <w:overflowPunct/>
        <w:bidi w:val="0"/>
        <w:spacing w:line="240" w:lineRule="auto"/>
        <w:ind w:firstLine="0"/>
        <w:jc w:val="center"/>
        <w:rPr>
          <w:b/>
          <w:color w:val="auto"/>
          <w:sz w:val="28"/>
          <w:szCs w:val="28"/>
          <w:highlight w:val="none"/>
        </w:rPr>
      </w:pPr>
    </w:p>
    <w:p w14:paraId="3B9DBE72">
      <w:pPr>
        <w:pageBreakBefore w:val="0"/>
        <w:kinsoku/>
        <w:wordWrap/>
        <w:overflowPunct/>
        <w:bidi w:val="0"/>
        <w:spacing w:line="240" w:lineRule="auto"/>
        <w:ind w:firstLine="0"/>
        <w:jc w:val="center"/>
        <w:rPr>
          <w:b/>
          <w:color w:val="auto"/>
          <w:sz w:val="28"/>
          <w:szCs w:val="28"/>
          <w:highlight w:val="none"/>
        </w:rPr>
      </w:pPr>
    </w:p>
    <w:p w14:paraId="21D2C50F">
      <w:pPr>
        <w:pageBreakBefore w:val="0"/>
        <w:kinsoku/>
        <w:wordWrap/>
        <w:overflowPunct/>
        <w:bidi w:val="0"/>
        <w:spacing w:line="240" w:lineRule="auto"/>
        <w:ind w:firstLine="0"/>
        <w:jc w:val="center"/>
        <w:rPr>
          <w:rFonts w:hint="eastAsia"/>
          <w:b/>
          <w:color w:val="auto"/>
          <w:sz w:val="28"/>
          <w:szCs w:val="28"/>
          <w:highlight w:val="none"/>
          <w:lang w:eastAsia="zh-CN"/>
        </w:rPr>
      </w:pPr>
    </w:p>
    <w:p w14:paraId="302BE791">
      <w:pPr>
        <w:pageBreakBefore w:val="0"/>
        <w:kinsoku/>
        <w:wordWrap/>
        <w:overflowPunct/>
        <w:bidi w:val="0"/>
        <w:spacing w:line="240" w:lineRule="auto"/>
        <w:ind w:firstLine="0"/>
        <w:jc w:val="center"/>
        <w:rPr>
          <w:rFonts w:hint="eastAsia"/>
          <w:b/>
          <w:color w:val="auto"/>
          <w:sz w:val="28"/>
          <w:szCs w:val="28"/>
          <w:highlight w:val="none"/>
          <w:lang w:eastAsia="zh-CN"/>
        </w:rPr>
      </w:pPr>
    </w:p>
    <w:p w14:paraId="26A7E532">
      <w:pPr>
        <w:pageBreakBefore w:val="0"/>
        <w:kinsoku/>
        <w:wordWrap/>
        <w:overflowPunct/>
        <w:bidi w:val="0"/>
        <w:spacing w:line="240" w:lineRule="auto"/>
        <w:ind w:firstLine="0"/>
        <w:jc w:val="center"/>
        <w:rPr>
          <w:rFonts w:hint="eastAsia"/>
          <w:b/>
          <w:color w:val="auto"/>
          <w:sz w:val="28"/>
          <w:szCs w:val="28"/>
          <w:highlight w:val="none"/>
          <w:lang w:eastAsia="zh-CN"/>
        </w:rPr>
      </w:pPr>
    </w:p>
    <w:p w14:paraId="3B574417">
      <w:pPr>
        <w:pageBreakBefore w:val="0"/>
        <w:kinsoku/>
        <w:wordWrap/>
        <w:overflowPunct/>
        <w:bidi w:val="0"/>
        <w:spacing w:line="240" w:lineRule="auto"/>
        <w:ind w:firstLine="0"/>
        <w:jc w:val="center"/>
        <w:rPr>
          <w:rFonts w:hint="eastAsia" w:eastAsia="宋体"/>
          <w:b/>
          <w:color w:val="auto"/>
          <w:sz w:val="28"/>
          <w:szCs w:val="28"/>
          <w:highlight w:val="none"/>
          <w:lang w:eastAsia="zh-CN"/>
        </w:rPr>
      </w:pPr>
    </w:p>
    <w:p w14:paraId="5620DA9F">
      <w:pPr>
        <w:pageBreakBefore w:val="0"/>
        <w:kinsoku/>
        <w:wordWrap/>
        <w:overflowPunct/>
        <w:bidi w:val="0"/>
        <w:spacing w:line="240" w:lineRule="auto"/>
        <w:ind w:firstLine="0"/>
        <w:jc w:val="center"/>
        <w:rPr>
          <w:b/>
          <w:color w:val="auto"/>
          <w:sz w:val="28"/>
          <w:szCs w:val="28"/>
          <w:highlight w:val="none"/>
        </w:rPr>
      </w:pPr>
    </w:p>
    <w:p w14:paraId="520C387B">
      <w:pPr>
        <w:pageBreakBefore w:val="0"/>
        <w:kinsoku/>
        <w:wordWrap/>
        <w:overflowPunct/>
        <w:bidi w:val="0"/>
        <w:spacing w:line="240" w:lineRule="auto"/>
        <w:ind w:firstLine="0"/>
        <w:jc w:val="center"/>
        <w:rPr>
          <w:rFonts w:hint="eastAsia"/>
          <w:b/>
          <w:color w:val="auto"/>
          <w:sz w:val="28"/>
          <w:szCs w:val="28"/>
          <w:highlight w:val="none"/>
          <w:lang w:eastAsia="zh-CN"/>
        </w:rPr>
      </w:pPr>
    </w:p>
    <w:p w14:paraId="212D9E6B">
      <w:pPr>
        <w:pageBreakBefore w:val="0"/>
        <w:kinsoku/>
        <w:wordWrap/>
        <w:overflowPunct/>
        <w:bidi w:val="0"/>
        <w:spacing w:line="240" w:lineRule="auto"/>
        <w:ind w:firstLine="0"/>
        <w:jc w:val="center"/>
        <w:rPr>
          <w:rFonts w:hint="eastAsia"/>
          <w:b/>
          <w:color w:val="auto"/>
          <w:sz w:val="28"/>
          <w:szCs w:val="28"/>
          <w:highlight w:val="none"/>
          <w:lang w:eastAsia="zh-CN"/>
        </w:rPr>
      </w:pPr>
    </w:p>
    <w:p w14:paraId="705DFAED">
      <w:pPr>
        <w:pageBreakBefore w:val="0"/>
        <w:kinsoku/>
        <w:wordWrap/>
        <w:overflowPunct/>
        <w:bidi w:val="0"/>
        <w:spacing w:line="240" w:lineRule="auto"/>
        <w:ind w:firstLine="0"/>
        <w:jc w:val="center"/>
        <w:rPr>
          <w:rFonts w:hint="eastAsia" w:eastAsia="宋体"/>
          <w:b/>
          <w:color w:val="auto"/>
          <w:sz w:val="28"/>
          <w:szCs w:val="28"/>
          <w:highlight w:val="none"/>
          <w:lang w:eastAsia="zh-CN"/>
        </w:rPr>
      </w:pPr>
    </w:p>
    <w:p w14:paraId="70BB4E4B">
      <w:pPr>
        <w:pageBreakBefore w:val="0"/>
        <w:kinsoku/>
        <w:wordWrap/>
        <w:overflowPunct/>
        <w:bidi w:val="0"/>
        <w:spacing w:line="240" w:lineRule="auto"/>
        <w:ind w:firstLine="0"/>
        <w:jc w:val="center"/>
        <w:rPr>
          <w:b/>
          <w:color w:val="auto"/>
          <w:sz w:val="28"/>
          <w:szCs w:val="28"/>
          <w:highlight w:val="none"/>
        </w:rPr>
      </w:pPr>
    </w:p>
    <w:tbl>
      <w:tblPr>
        <w:tblStyle w:val="88"/>
        <w:tblW w:w="0" w:type="auto"/>
        <w:jc w:val="center"/>
        <w:tblLayout w:type="fixed"/>
        <w:tblCellMar>
          <w:top w:w="0" w:type="dxa"/>
          <w:left w:w="0" w:type="dxa"/>
          <w:bottom w:w="0" w:type="dxa"/>
          <w:right w:w="0" w:type="dxa"/>
        </w:tblCellMar>
      </w:tblPr>
      <w:tblGrid>
        <w:gridCol w:w="1796"/>
        <w:gridCol w:w="5709"/>
      </w:tblGrid>
      <w:tr w14:paraId="54A21301">
        <w:tblPrEx>
          <w:tblCellMar>
            <w:top w:w="0" w:type="dxa"/>
            <w:left w:w="0" w:type="dxa"/>
            <w:bottom w:w="0" w:type="dxa"/>
            <w:right w:w="0" w:type="dxa"/>
          </w:tblCellMar>
        </w:tblPrEx>
        <w:trPr>
          <w:trHeight w:val="510" w:hRule="atLeast"/>
          <w:jc w:val="center"/>
        </w:trPr>
        <w:tc>
          <w:tcPr>
            <w:tcW w:w="1796" w:type="dxa"/>
            <w:noWrap w:val="0"/>
            <w:vAlign w:val="center"/>
          </w:tcPr>
          <w:p w14:paraId="4F65EE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b/>
                <w:bCs/>
                <w:color w:val="auto"/>
                <w:spacing w:val="0"/>
                <w:kern w:val="21"/>
                <w:sz w:val="32"/>
                <w:szCs w:val="32"/>
                <w:highlight w:val="none"/>
              </w:rPr>
            </w:pPr>
            <w:r>
              <w:rPr>
                <w:rFonts w:hint="eastAsia" w:ascii="宋体" w:hAnsi="宋体" w:eastAsia="宋体" w:cs="宋体"/>
                <w:b/>
                <w:bCs/>
                <w:color w:val="auto"/>
                <w:spacing w:val="0"/>
                <w:kern w:val="21"/>
                <w:sz w:val="32"/>
                <w:szCs w:val="32"/>
                <w:highlight w:val="none"/>
              </w:rPr>
              <w:t>建设单位：</w:t>
            </w:r>
          </w:p>
        </w:tc>
        <w:tc>
          <w:tcPr>
            <w:tcW w:w="5709" w:type="dxa"/>
            <w:noWrap w:val="0"/>
            <w:vAlign w:val="center"/>
          </w:tcPr>
          <w:p w14:paraId="063DB484">
            <w:pPr>
              <w:keepNext w:val="0"/>
              <w:keepLines w:val="0"/>
              <w:pageBreakBefore w:val="0"/>
              <w:widowControl w:val="0"/>
              <w:suppressLineNumbers w:val="0"/>
              <w:kinsoku/>
              <w:wordWrap/>
              <w:overflowPunct/>
              <w:topLinePunct w:val="0"/>
              <w:autoSpaceDE/>
              <w:autoSpaceDN/>
              <w:bidi w:val="0"/>
              <w:adjustRightInd/>
              <w:snapToGrid/>
              <w:spacing w:before="48" w:beforeLines="10" w:beforeAutospacing="0" w:after="0" w:afterAutospacing="0" w:line="360" w:lineRule="auto"/>
              <w:ind w:left="0" w:right="0" w:firstLine="0"/>
              <w:jc w:val="left"/>
              <w:textAlignment w:val="auto"/>
              <w:rPr>
                <w:rFonts w:hint="eastAsia" w:ascii="宋体" w:hAnsi="宋体" w:eastAsia="宋体" w:cs="宋体"/>
                <w:b/>
                <w:bCs/>
                <w:color w:val="auto"/>
                <w:spacing w:val="0"/>
                <w:kern w:val="21"/>
                <w:sz w:val="32"/>
                <w:szCs w:val="32"/>
                <w:highlight w:val="none"/>
              </w:rPr>
            </w:pPr>
            <w:r>
              <w:rPr>
                <w:rFonts w:hint="eastAsia" w:ascii="宋体" w:hAnsi="宋体" w:eastAsia="宋体" w:cs="宋体"/>
                <w:b/>
                <w:bCs/>
                <w:color w:val="auto"/>
                <w:spacing w:val="0"/>
                <w:kern w:val="21"/>
                <w:sz w:val="32"/>
                <w:szCs w:val="32"/>
                <w:highlight w:val="none"/>
              </w:rPr>
              <w:t>新疆杞福机场经营管理有限责任公司</w:t>
            </w:r>
          </w:p>
        </w:tc>
      </w:tr>
      <w:tr w14:paraId="3A0C060F">
        <w:tblPrEx>
          <w:tblCellMar>
            <w:top w:w="0" w:type="dxa"/>
            <w:left w:w="0" w:type="dxa"/>
            <w:bottom w:w="0" w:type="dxa"/>
            <w:right w:w="0" w:type="dxa"/>
          </w:tblCellMar>
        </w:tblPrEx>
        <w:trPr>
          <w:trHeight w:val="510" w:hRule="atLeast"/>
          <w:jc w:val="center"/>
        </w:trPr>
        <w:tc>
          <w:tcPr>
            <w:tcW w:w="1796" w:type="dxa"/>
            <w:noWrap w:val="0"/>
            <w:vAlign w:val="center"/>
          </w:tcPr>
          <w:p w14:paraId="7FAC2711">
            <w:pPr>
              <w:keepNext w:val="0"/>
              <w:keepLines w:val="0"/>
              <w:pageBreakBefore w:val="0"/>
              <w:widowControl w:val="0"/>
              <w:suppressLineNumbers w:val="0"/>
              <w:kinsoku/>
              <w:wordWrap/>
              <w:overflowPunct/>
              <w:topLinePunct w:val="0"/>
              <w:autoSpaceDE/>
              <w:autoSpaceDN/>
              <w:bidi w:val="0"/>
              <w:adjustRightInd/>
              <w:snapToGrid/>
              <w:spacing w:before="48" w:beforeLines="10" w:beforeAutospacing="0" w:after="0" w:afterAutospacing="0" w:line="360" w:lineRule="auto"/>
              <w:ind w:left="0" w:right="0" w:firstLine="0"/>
              <w:textAlignment w:val="auto"/>
              <w:rPr>
                <w:rFonts w:hint="eastAsia" w:ascii="宋体" w:hAnsi="宋体" w:eastAsia="宋体" w:cs="宋体"/>
                <w:b/>
                <w:bCs/>
                <w:color w:val="auto"/>
                <w:spacing w:val="0"/>
                <w:kern w:val="21"/>
                <w:sz w:val="32"/>
                <w:szCs w:val="32"/>
                <w:highlight w:val="none"/>
              </w:rPr>
            </w:pPr>
            <w:r>
              <w:rPr>
                <w:rFonts w:hint="eastAsia" w:ascii="宋体" w:hAnsi="宋体" w:eastAsia="宋体" w:cs="宋体"/>
                <w:b/>
                <w:bCs/>
                <w:color w:val="auto"/>
                <w:spacing w:val="0"/>
                <w:kern w:val="21"/>
                <w:sz w:val="32"/>
                <w:szCs w:val="32"/>
                <w:highlight w:val="none"/>
                <w:lang w:val="en-US" w:eastAsia="zh-CN"/>
              </w:rPr>
              <w:t>编制</w:t>
            </w:r>
            <w:r>
              <w:rPr>
                <w:rFonts w:hint="eastAsia" w:ascii="宋体" w:hAnsi="宋体" w:eastAsia="宋体" w:cs="宋体"/>
                <w:b/>
                <w:bCs/>
                <w:color w:val="auto"/>
                <w:spacing w:val="0"/>
                <w:kern w:val="21"/>
                <w:sz w:val="32"/>
                <w:szCs w:val="32"/>
                <w:highlight w:val="none"/>
              </w:rPr>
              <w:t>单位：</w:t>
            </w:r>
          </w:p>
        </w:tc>
        <w:tc>
          <w:tcPr>
            <w:tcW w:w="5709" w:type="dxa"/>
            <w:noWrap w:val="0"/>
            <w:vAlign w:val="center"/>
          </w:tcPr>
          <w:p w14:paraId="5A4C9312">
            <w:pPr>
              <w:keepNext w:val="0"/>
              <w:keepLines w:val="0"/>
              <w:pageBreakBefore w:val="0"/>
              <w:widowControl w:val="0"/>
              <w:suppressLineNumbers w:val="0"/>
              <w:kinsoku/>
              <w:wordWrap/>
              <w:overflowPunct/>
              <w:topLinePunct w:val="0"/>
              <w:autoSpaceDE/>
              <w:autoSpaceDN/>
              <w:bidi w:val="0"/>
              <w:adjustRightInd/>
              <w:snapToGrid/>
              <w:spacing w:before="48" w:beforeLines="10" w:beforeAutospacing="0" w:after="0" w:afterAutospacing="0" w:line="360" w:lineRule="auto"/>
              <w:ind w:left="0" w:right="0" w:firstLine="0"/>
              <w:jc w:val="left"/>
              <w:textAlignment w:val="auto"/>
              <w:rPr>
                <w:rFonts w:hint="eastAsia" w:ascii="宋体" w:hAnsi="宋体" w:eastAsia="宋体" w:cs="宋体"/>
                <w:b/>
                <w:bCs/>
                <w:color w:val="auto"/>
                <w:spacing w:val="0"/>
                <w:kern w:val="21"/>
                <w:sz w:val="32"/>
                <w:szCs w:val="32"/>
                <w:highlight w:val="none"/>
              </w:rPr>
            </w:pPr>
            <w:r>
              <w:rPr>
                <w:rFonts w:hint="eastAsia" w:ascii="宋体" w:hAnsi="宋体" w:eastAsia="宋体" w:cs="宋体"/>
                <w:b/>
                <w:bCs/>
                <w:color w:val="auto"/>
                <w:spacing w:val="0"/>
                <w:kern w:val="21"/>
                <w:sz w:val="32"/>
                <w:szCs w:val="32"/>
                <w:highlight w:val="none"/>
                <w:lang w:val="en-US" w:eastAsia="zh-CN"/>
              </w:rPr>
              <w:t>新疆天合环境技术咨询有限公司</w:t>
            </w:r>
          </w:p>
        </w:tc>
      </w:tr>
      <w:tr w14:paraId="18F7D098">
        <w:tblPrEx>
          <w:tblCellMar>
            <w:top w:w="0" w:type="dxa"/>
            <w:left w:w="0" w:type="dxa"/>
            <w:bottom w:w="0" w:type="dxa"/>
            <w:right w:w="0" w:type="dxa"/>
          </w:tblCellMar>
        </w:tblPrEx>
        <w:trPr>
          <w:trHeight w:val="510" w:hRule="atLeast"/>
          <w:jc w:val="center"/>
        </w:trPr>
        <w:tc>
          <w:tcPr>
            <w:tcW w:w="7505" w:type="dxa"/>
            <w:gridSpan w:val="2"/>
            <w:noWrap w:val="0"/>
            <w:vAlign w:val="center"/>
          </w:tcPr>
          <w:p w14:paraId="091A2D4F">
            <w:pPr>
              <w:keepNext w:val="0"/>
              <w:keepLines w:val="0"/>
              <w:suppressLineNumbers w:val="0"/>
              <w:spacing w:before="0" w:beforeAutospacing="0" w:after="0" w:afterAutospacing="0" w:line="240" w:lineRule="auto"/>
              <w:ind w:left="0" w:right="0" w:firstLine="0"/>
              <w:jc w:val="center"/>
              <w:rPr>
                <w:rFonts w:hint="eastAsia" w:ascii="宋体" w:hAnsi="宋体" w:eastAsia="宋体" w:cs="宋体"/>
                <w:b/>
                <w:bCs/>
                <w:color w:val="auto"/>
                <w:spacing w:val="0"/>
                <w:kern w:val="21"/>
                <w:sz w:val="30"/>
                <w:szCs w:val="30"/>
                <w:highlight w:val="none"/>
              </w:rPr>
            </w:pPr>
            <w:r>
              <w:rPr>
                <w:rFonts w:hint="default" w:ascii="Times New Roman" w:hAnsi="Times New Roman" w:eastAsia="宋体" w:cs="Times New Roman"/>
                <w:b/>
                <w:bCs/>
                <w:color w:val="auto"/>
                <w:spacing w:val="0"/>
                <w:kern w:val="21"/>
                <w:sz w:val="32"/>
                <w:szCs w:val="32"/>
                <w:highlight w:val="none"/>
                <w:lang w:val="en-US" w:eastAsia="zh-CN"/>
              </w:rPr>
              <w:t>2025</w:t>
            </w:r>
            <w:r>
              <w:rPr>
                <w:rFonts w:hint="default" w:ascii="Times New Roman" w:hAnsi="Times New Roman" w:eastAsia="宋体" w:cs="Times New Roman"/>
                <w:b/>
                <w:bCs/>
                <w:color w:val="auto"/>
                <w:spacing w:val="0"/>
                <w:kern w:val="21"/>
                <w:sz w:val="32"/>
                <w:szCs w:val="32"/>
                <w:highlight w:val="none"/>
              </w:rPr>
              <w:t>年</w:t>
            </w:r>
            <w:r>
              <w:rPr>
                <w:rFonts w:hint="eastAsia" w:cs="Times New Roman"/>
                <w:b/>
                <w:bCs/>
                <w:color w:val="auto"/>
                <w:spacing w:val="0"/>
                <w:kern w:val="21"/>
                <w:sz w:val="32"/>
                <w:szCs w:val="32"/>
                <w:highlight w:val="none"/>
                <w:lang w:val="en-US" w:eastAsia="zh-CN"/>
              </w:rPr>
              <w:t>10</w:t>
            </w:r>
            <w:r>
              <w:rPr>
                <w:rFonts w:hint="default" w:ascii="Times New Roman" w:hAnsi="Times New Roman" w:eastAsia="宋体" w:cs="Times New Roman"/>
                <w:b/>
                <w:bCs/>
                <w:color w:val="auto"/>
                <w:spacing w:val="0"/>
                <w:kern w:val="21"/>
                <w:sz w:val="32"/>
                <w:szCs w:val="32"/>
                <w:highlight w:val="none"/>
              </w:rPr>
              <w:t>月</w:t>
            </w:r>
          </w:p>
        </w:tc>
      </w:tr>
    </w:tbl>
    <w:p w14:paraId="17536285">
      <w:pPr>
        <w:pageBreakBefore w:val="0"/>
        <w:kinsoku/>
        <w:wordWrap/>
        <w:overflowPunct/>
        <w:bidi w:val="0"/>
        <w:spacing w:line="240" w:lineRule="auto"/>
        <w:ind w:firstLine="0"/>
        <w:jc w:val="center"/>
        <w:rPr>
          <w:b/>
          <w:color w:val="auto"/>
          <w:sz w:val="28"/>
          <w:szCs w:val="28"/>
          <w:highlight w:val="none"/>
        </w:rPr>
      </w:pPr>
    </w:p>
    <w:p w14:paraId="1085F0BF">
      <w:pPr>
        <w:pageBreakBefore w:val="0"/>
        <w:kinsoku/>
        <w:wordWrap/>
        <w:overflowPunct/>
        <w:bidi w:val="0"/>
        <w:rPr>
          <w:rFonts w:asciiTheme="minorEastAsia" w:hAnsiTheme="minorEastAsia" w:eastAsiaTheme="minorEastAsia"/>
          <w:b/>
          <w:color w:val="auto"/>
          <w:sz w:val="32"/>
          <w:szCs w:val="32"/>
          <w:highlight w:val="none"/>
        </w:rPr>
        <w:sectPr>
          <w:headerReference r:id="rId5" w:type="default"/>
          <w:footerReference r:id="rId6" w:type="default"/>
          <w:pgSz w:w="11906" w:h="16838"/>
          <w:pgMar w:top="1440" w:right="1797" w:bottom="1440" w:left="1797" w:header="851" w:footer="992" w:gutter="0"/>
          <w:pgNumType w:fmt="upperRoman" w:start="1"/>
          <w:cols w:space="425" w:num="1"/>
          <w:docGrid w:linePitch="312" w:charSpace="0"/>
        </w:sectPr>
      </w:pPr>
    </w:p>
    <w:bookmarkEnd w:id="0"/>
    <w:p w14:paraId="265309D9">
      <w:pPr>
        <w:keepNext/>
        <w:keepLines/>
        <w:pageBreakBefore w:val="0"/>
        <w:widowControl w:val="0"/>
        <w:numPr>
          <w:ilvl w:val="0"/>
          <w:numId w:val="10"/>
        </w:numPr>
        <w:kinsoku/>
        <w:overflowPunct/>
        <w:bidi w:val="0"/>
        <w:spacing w:before="0" w:after="0" w:line="360" w:lineRule="auto"/>
        <w:ind w:left="425" w:hanging="425"/>
        <w:jc w:val="both"/>
        <w:outlineLvl w:val="0"/>
        <w:rPr>
          <w:rFonts w:ascii="Times New Roman" w:hAnsi="Times New Roman" w:eastAsia="黑体" w:cs="Times New Roman"/>
          <w:b w:val="0"/>
          <w:bCs w:val="0"/>
          <w:color w:val="auto"/>
          <w:kern w:val="44"/>
          <w:sz w:val="44"/>
          <w:szCs w:val="44"/>
          <w:highlight w:val="none"/>
          <w:lang w:val="en-US" w:eastAsia="zh-CN" w:bidi="ar-SA"/>
        </w:rPr>
      </w:pPr>
      <w:bookmarkStart w:id="5" w:name="_Toc293"/>
      <w:r>
        <w:rPr>
          <w:rFonts w:hint="eastAsia" w:ascii="Times New Roman" w:hAnsi="Times New Roman" w:eastAsia="黑体" w:cs="Times New Roman"/>
          <w:b w:val="0"/>
          <w:bCs w:val="0"/>
          <w:color w:val="auto"/>
          <w:kern w:val="44"/>
          <w:sz w:val="44"/>
          <w:szCs w:val="44"/>
          <w:highlight w:val="none"/>
          <w:lang w:val="en-US" w:eastAsia="zh-CN" w:bidi="ar-SA"/>
        </w:rPr>
        <w:t>概述</w:t>
      </w:r>
      <w:bookmarkEnd w:id="5"/>
    </w:p>
    <w:p w14:paraId="364FA174">
      <w:pPr>
        <w:pStyle w:val="4"/>
        <w:pageBreakBefore w:val="0"/>
        <w:kinsoku/>
        <w:wordWrap/>
        <w:overflowPunct/>
        <w:bidi w:val="0"/>
        <w:rPr>
          <w:color w:val="auto"/>
          <w:sz w:val="30"/>
          <w:szCs w:val="30"/>
          <w:highlight w:val="none"/>
        </w:rPr>
      </w:pPr>
      <w:bookmarkStart w:id="6" w:name="_Toc434352243"/>
      <w:bookmarkStart w:id="7" w:name="_Toc27126"/>
      <w:bookmarkStart w:id="8" w:name="_Toc26027"/>
      <w:r>
        <w:rPr>
          <w:rFonts w:hint="eastAsia"/>
          <w:color w:val="auto"/>
          <w:sz w:val="30"/>
          <w:szCs w:val="30"/>
          <w:highlight w:val="none"/>
        </w:rPr>
        <w:t>1.1项目背景及特点</w:t>
      </w:r>
      <w:bookmarkEnd w:id="6"/>
      <w:bookmarkEnd w:id="7"/>
      <w:bookmarkEnd w:id="8"/>
    </w:p>
    <w:p w14:paraId="1ED854F2">
      <w:pPr>
        <w:pageBreakBefore w:val="0"/>
        <w:kinsoku/>
        <w:wordWrap/>
        <w:overflowPunct/>
        <w:bidi w:val="0"/>
        <w:ind w:firstLine="560"/>
        <w:rPr>
          <w:rFonts w:hint="eastAsia"/>
          <w:color w:val="auto"/>
          <w:highlight w:val="none"/>
        </w:rPr>
      </w:pPr>
      <w:r>
        <w:rPr>
          <w:rFonts w:hint="eastAsia"/>
          <w:color w:val="auto"/>
          <w:highlight w:val="none"/>
        </w:rPr>
        <w:t>博尔塔拉蒙古自治州（以下简称“博州”）位于新疆维吾尔自治区西北边缘，地处欧亚大陆腹地，东连塔城地区，南接伊犁哈萨克自治州，西北部与哈萨克斯坦接壤，是新疆维吾尔自治区下辖自治州，行政区域总面积约2.72×10</w:t>
      </w:r>
      <w:r>
        <w:rPr>
          <w:rFonts w:hint="eastAsia"/>
          <w:color w:val="auto"/>
          <w:highlight w:val="none"/>
          <w:vertAlign w:val="superscript"/>
        </w:rPr>
        <w:t>4</w:t>
      </w:r>
      <w:r>
        <w:rPr>
          <w:rFonts w:hint="eastAsia"/>
          <w:color w:val="auto"/>
          <w:highlight w:val="none"/>
        </w:rPr>
        <w:t xml:space="preserve"> km</w:t>
      </w:r>
      <w:r>
        <w:rPr>
          <w:rFonts w:hint="eastAsia"/>
          <w:color w:val="auto"/>
          <w:highlight w:val="none"/>
          <w:vertAlign w:val="superscript"/>
        </w:rPr>
        <w:t>2</w:t>
      </w:r>
      <w:r>
        <w:rPr>
          <w:rFonts w:hint="eastAsia"/>
          <w:color w:val="auto"/>
          <w:highlight w:val="none"/>
        </w:rPr>
        <w:t>，全州户籍人口50万人。是一个农牧结合、旅游产业等快速发展的少数民族自治州。</w:t>
      </w:r>
    </w:p>
    <w:p w14:paraId="741CAD6A">
      <w:pPr>
        <w:pageBreakBefore w:val="0"/>
        <w:kinsoku/>
        <w:wordWrap/>
        <w:overflowPunct/>
        <w:bidi w:val="0"/>
        <w:ind w:firstLine="560"/>
        <w:rPr>
          <w:rFonts w:hint="eastAsia"/>
          <w:color w:val="auto"/>
          <w:highlight w:val="none"/>
        </w:rPr>
      </w:pPr>
      <w:r>
        <w:rPr>
          <w:rFonts w:hint="eastAsia"/>
          <w:color w:val="auto"/>
          <w:highlight w:val="none"/>
        </w:rPr>
        <w:t>精河县</w:t>
      </w:r>
      <w:r>
        <w:rPr>
          <w:rFonts w:hint="eastAsia"/>
          <w:color w:val="auto"/>
          <w:highlight w:val="none"/>
          <w:lang w:val="en-US" w:eastAsia="zh-CN"/>
        </w:rPr>
        <w:t>行政区划隶属于博州，</w:t>
      </w:r>
      <w:r>
        <w:rPr>
          <w:rFonts w:hint="eastAsia"/>
          <w:color w:val="auto"/>
          <w:highlight w:val="none"/>
        </w:rPr>
        <w:t>地处天山北麓、噶尔盆地西南缘，G30、第二亚欧大陆桥、精伊霍铁路交汇于此，毗邻阿拉山口和霍尔果斯口岸，中哈石油管道及西气东输二、三线穿境而过，是国家能源通道的重要枢纽。全县面积11187km</w:t>
      </w:r>
      <w:r>
        <w:rPr>
          <w:rFonts w:hint="eastAsia"/>
          <w:color w:val="auto"/>
          <w:highlight w:val="none"/>
          <w:vertAlign w:val="superscript"/>
        </w:rPr>
        <w:t>2</w:t>
      </w:r>
      <w:r>
        <w:rPr>
          <w:rFonts w:hint="eastAsia"/>
          <w:color w:val="auto"/>
          <w:highlight w:val="none"/>
        </w:rPr>
        <w:t>，2024年户籍人口14.44万人，地区生产总值118.99亿元，主要农产品包括卤虫、枸杞、棉花和西瓜等</w:t>
      </w:r>
      <w:r>
        <w:rPr>
          <w:rFonts w:hint="eastAsia"/>
          <w:color w:val="auto"/>
          <w:highlight w:val="none"/>
          <w:lang w:eastAsia="zh-CN"/>
        </w:rPr>
        <w:t>。</w:t>
      </w:r>
    </w:p>
    <w:p w14:paraId="526AB382">
      <w:pPr>
        <w:pageBreakBefore w:val="0"/>
        <w:kinsoku/>
        <w:wordWrap/>
        <w:overflowPunct/>
        <w:bidi w:val="0"/>
        <w:ind w:firstLine="560"/>
        <w:rPr>
          <w:rFonts w:hint="eastAsia"/>
          <w:color w:val="auto"/>
          <w:highlight w:val="none"/>
          <w:lang w:val="en-US" w:eastAsia="zh-CN"/>
        </w:rPr>
      </w:pPr>
      <w:r>
        <w:rPr>
          <w:rFonts w:hint="eastAsia"/>
          <w:color w:val="auto"/>
          <w:highlight w:val="none"/>
        </w:rPr>
        <w:t>根据《关于促进通用航空业发展的指导意见》及《“十四五”通用航空发展专项规划》，“十四五”期间全国力争在册通用机场达500个、通用航空器达3500架，基本实现地级以上城市通用航空服务全覆盖。新疆据此出台《关于加快通用航空业发展的意见》和《新疆通用航空机场布局规划（2018-2035）》，计划2030年前建成200个以上通用机场，基本实现“县县通”，覆盖农产品主产区、重点林区、产业集聚区及国家级风景名胜区。博尔塔拉蒙古自治州规划建设3个通用机场，精河通用机场为其中之一</w:t>
      </w:r>
      <w:r>
        <w:rPr>
          <w:rFonts w:hint="eastAsia"/>
          <w:color w:val="auto"/>
          <w:highlight w:val="none"/>
          <w:lang w:val="en-US" w:eastAsia="zh-CN"/>
        </w:rPr>
        <w:t>。</w:t>
      </w:r>
    </w:p>
    <w:p w14:paraId="1F943FF5">
      <w:pPr>
        <w:pageBreakBefore w:val="0"/>
        <w:kinsoku/>
        <w:wordWrap/>
        <w:overflowPunct/>
        <w:bidi w:val="0"/>
        <w:ind w:firstLine="560"/>
        <w:rPr>
          <w:rFonts w:hint="eastAsia" w:eastAsia="宋体"/>
          <w:color w:val="auto"/>
          <w:highlight w:val="none"/>
          <w:lang w:eastAsia="zh-CN"/>
        </w:rPr>
      </w:pPr>
      <w:r>
        <w:rPr>
          <w:rFonts w:hint="eastAsia"/>
          <w:color w:val="auto"/>
          <w:highlight w:val="none"/>
          <w:lang w:eastAsia="zh-CN"/>
        </w:rPr>
        <w:t>为进一步完善</w:t>
      </w:r>
      <w:r>
        <w:rPr>
          <w:rFonts w:hint="eastAsia"/>
          <w:color w:val="auto"/>
          <w:highlight w:val="none"/>
          <w:lang w:val="en-US" w:eastAsia="zh-CN"/>
        </w:rPr>
        <w:t>精河县</w:t>
      </w:r>
      <w:r>
        <w:rPr>
          <w:rFonts w:hint="eastAsia"/>
          <w:color w:val="auto"/>
          <w:highlight w:val="none"/>
          <w:lang w:eastAsia="zh-CN"/>
        </w:rPr>
        <w:t>综合交通运输体系和</w:t>
      </w:r>
      <w:r>
        <w:rPr>
          <w:rFonts w:hint="eastAsia"/>
          <w:color w:val="auto"/>
          <w:highlight w:val="none"/>
          <w:lang w:val="en-US" w:eastAsia="zh-CN"/>
        </w:rPr>
        <w:t>自治区</w:t>
      </w:r>
      <w:r>
        <w:rPr>
          <w:rFonts w:hint="eastAsia"/>
          <w:color w:val="auto"/>
          <w:highlight w:val="none"/>
          <w:lang w:eastAsia="zh-CN"/>
        </w:rPr>
        <w:t>通用机场布局，改善</w:t>
      </w:r>
      <w:r>
        <w:rPr>
          <w:rFonts w:hint="eastAsia"/>
          <w:color w:val="auto"/>
          <w:highlight w:val="none"/>
          <w:lang w:val="en-US" w:eastAsia="zh-CN"/>
        </w:rPr>
        <w:t>精河县</w:t>
      </w:r>
      <w:r>
        <w:rPr>
          <w:rFonts w:hint="eastAsia"/>
          <w:color w:val="auto"/>
          <w:highlight w:val="none"/>
          <w:lang w:eastAsia="zh-CN"/>
        </w:rPr>
        <w:t>对外交通条件，提升应急救援保障能力，促进当地经济社会高质量发展，精河县</w:t>
      </w:r>
      <w:r>
        <w:rPr>
          <w:rFonts w:hint="eastAsia"/>
          <w:color w:val="auto"/>
          <w:highlight w:val="none"/>
          <w:lang w:val="en-US" w:eastAsia="zh-CN"/>
        </w:rPr>
        <w:t>计划投资12624万元</w:t>
      </w:r>
      <w:r>
        <w:rPr>
          <w:rFonts w:hint="eastAsia"/>
          <w:color w:val="auto"/>
          <w:highlight w:val="none"/>
          <w:lang w:eastAsia="zh-CN"/>
        </w:rPr>
        <w:t>实施精河通用机场建设项目（以下简称“</w:t>
      </w:r>
      <w:r>
        <w:rPr>
          <w:rFonts w:hint="eastAsia"/>
          <w:color w:val="auto"/>
          <w:highlight w:val="none"/>
          <w:lang w:val="en-US" w:eastAsia="zh-CN"/>
        </w:rPr>
        <w:t>本项目</w:t>
      </w:r>
      <w:r>
        <w:rPr>
          <w:rFonts w:hint="eastAsia"/>
          <w:color w:val="auto"/>
          <w:highlight w:val="none"/>
          <w:lang w:eastAsia="zh-CN"/>
        </w:rPr>
        <w:t>”）。本项目</w:t>
      </w:r>
      <w:r>
        <w:rPr>
          <w:rFonts w:hint="eastAsia"/>
          <w:color w:val="auto"/>
          <w:highlight w:val="none"/>
          <w:lang w:val="en-US" w:eastAsia="zh-CN"/>
        </w:rPr>
        <w:t>于</w:t>
      </w:r>
      <w:r>
        <w:rPr>
          <w:rFonts w:hint="eastAsia"/>
          <w:color w:val="auto"/>
          <w:highlight w:val="none"/>
          <w:lang w:eastAsia="zh-CN"/>
        </w:rPr>
        <w:t>2022年7月获民航新疆管理局场址批复；2024年11月完成可行性研究报告；2025年6月初步设计及概算通过评审。项目代码</w:t>
      </w:r>
      <w:r>
        <w:rPr>
          <w:rFonts w:hint="eastAsia"/>
          <w:color w:val="auto"/>
          <w:highlight w:val="none"/>
          <w:lang w:val="en-US" w:eastAsia="zh-CN"/>
        </w:rPr>
        <w:t>为</w:t>
      </w:r>
      <w:r>
        <w:rPr>
          <w:rFonts w:hint="eastAsia"/>
          <w:color w:val="auto"/>
          <w:highlight w:val="none"/>
          <w:lang w:eastAsia="zh-CN"/>
        </w:rPr>
        <w:t>2301-652722-66-01-797532。</w:t>
      </w:r>
    </w:p>
    <w:p w14:paraId="0D8B9AD6">
      <w:pPr>
        <w:pageBreakBefore w:val="0"/>
        <w:kinsoku/>
        <w:wordWrap/>
        <w:overflowPunct/>
        <w:bidi w:val="0"/>
        <w:ind w:firstLine="560"/>
        <w:rPr>
          <w:rFonts w:hint="default"/>
          <w:color w:val="auto"/>
          <w:highlight w:val="none"/>
          <w:lang w:val="en-US" w:eastAsia="zh-CN"/>
        </w:rPr>
      </w:pPr>
      <w:r>
        <w:rPr>
          <w:rFonts w:hint="eastAsia"/>
          <w:color w:val="auto"/>
          <w:highlight w:val="none"/>
          <w:lang w:val="en-US" w:eastAsia="zh-CN"/>
        </w:rPr>
        <w:t>经过多方论证本项目场址最终选定于</w:t>
      </w:r>
      <w:r>
        <w:rPr>
          <w:rFonts w:hint="eastAsia"/>
          <w:color w:val="auto"/>
          <w:highlight w:val="none"/>
        </w:rPr>
        <w:t>精河县八家户牧业四队</w:t>
      </w:r>
      <w:r>
        <w:rPr>
          <w:rFonts w:hint="eastAsia"/>
          <w:color w:val="auto"/>
          <w:highlight w:val="none"/>
          <w:lang w:eastAsia="zh-CN"/>
        </w:rPr>
        <w:t>，</w:t>
      </w:r>
      <w:r>
        <w:rPr>
          <w:rFonts w:hint="eastAsia"/>
          <w:color w:val="auto"/>
          <w:highlight w:val="none"/>
          <w:lang w:val="en-US" w:eastAsia="zh-CN"/>
        </w:rPr>
        <w:t>场址东北距艾比湖湖区约23km、北距艾比湖湿地鸟类重要停歇地约18km、东北距艾比湖湿地国家级自然保护区约10.8km、东北距甘家湖梭梭林国家级自然保护区约51.8km。项目</w:t>
      </w:r>
      <w:r>
        <w:rPr>
          <w:rFonts w:hint="eastAsia"/>
          <w:color w:val="auto"/>
          <w:highlight w:val="none"/>
        </w:rPr>
        <w:t>按A1级通用机场标准建设，飞行区等级3B</w:t>
      </w:r>
      <w:r>
        <w:rPr>
          <w:rFonts w:hint="eastAsia"/>
          <w:color w:val="auto"/>
          <w:highlight w:val="none"/>
          <w:lang w:eastAsia="zh-CN"/>
        </w:rPr>
        <w:t>，</w:t>
      </w:r>
      <w:r>
        <w:rPr>
          <w:rFonts w:hint="eastAsia"/>
          <w:color w:val="auto"/>
          <w:highlight w:val="none"/>
          <w:lang w:val="en-US" w:eastAsia="zh-CN"/>
        </w:rPr>
        <w:t>本期</w:t>
      </w:r>
      <w:r>
        <w:rPr>
          <w:rFonts w:hint="eastAsia"/>
          <w:color w:val="auto"/>
          <w:highlight w:val="none"/>
        </w:rPr>
        <w:t>设计目标年为203</w:t>
      </w:r>
      <w:r>
        <w:rPr>
          <w:rFonts w:hint="eastAsia"/>
          <w:color w:val="auto"/>
          <w:highlight w:val="none"/>
          <w:lang w:val="en-US" w:eastAsia="zh-CN"/>
        </w:rPr>
        <w:t>0</w:t>
      </w:r>
      <w:r>
        <w:rPr>
          <w:rFonts w:hint="eastAsia"/>
          <w:color w:val="auto"/>
          <w:highlight w:val="none"/>
        </w:rPr>
        <w:t>年</w:t>
      </w:r>
      <w:r>
        <w:rPr>
          <w:rFonts w:hint="eastAsia"/>
          <w:color w:val="auto"/>
          <w:highlight w:val="none"/>
          <w:lang w:eastAsia="zh-CN"/>
        </w:rPr>
        <w:t>，</w:t>
      </w:r>
      <w:r>
        <w:rPr>
          <w:rFonts w:hint="eastAsia"/>
          <w:color w:val="auto"/>
          <w:highlight w:val="none"/>
          <w:lang w:val="en-US" w:eastAsia="zh-CN"/>
        </w:rPr>
        <w:t>主体</w:t>
      </w:r>
      <w:r>
        <w:rPr>
          <w:rFonts w:hint="eastAsia"/>
          <w:color w:val="auto"/>
          <w:highlight w:val="none"/>
        </w:rPr>
        <w:t>工程包括1条1800</w:t>
      </w:r>
      <w:r>
        <w:rPr>
          <w:rFonts w:hint="eastAsia"/>
          <w:color w:val="auto"/>
          <w:highlight w:val="none"/>
          <w:lang w:val="en-US" w:eastAsia="zh-CN"/>
        </w:rPr>
        <w:t>m</w:t>
      </w:r>
      <w:r>
        <w:rPr>
          <w:rFonts w:hint="eastAsia"/>
          <w:color w:val="auto"/>
          <w:highlight w:val="none"/>
        </w:rPr>
        <w:t>×30</w:t>
      </w:r>
      <w:r>
        <w:rPr>
          <w:rFonts w:hint="eastAsia"/>
          <w:color w:val="auto"/>
          <w:highlight w:val="none"/>
          <w:lang w:val="en-US" w:eastAsia="zh-CN"/>
        </w:rPr>
        <w:t>m</w:t>
      </w:r>
      <w:r>
        <w:rPr>
          <w:rFonts w:hint="eastAsia"/>
          <w:color w:val="auto"/>
          <w:highlight w:val="none"/>
        </w:rPr>
        <w:t>跑道、1条垂直联络道、7个机位（5B2H）的机坪、610</w:t>
      </w:r>
      <w:r>
        <w:rPr>
          <w:rFonts w:hint="eastAsia"/>
          <w:color w:val="auto"/>
          <w:highlight w:val="none"/>
          <w:lang w:val="en-US" w:eastAsia="zh-CN"/>
        </w:rPr>
        <w:t>m</w:t>
      </w:r>
      <w:r>
        <w:rPr>
          <w:rFonts w:hint="eastAsia"/>
          <w:color w:val="auto"/>
          <w:highlight w:val="none"/>
          <w:vertAlign w:val="superscript"/>
          <w:lang w:val="en-US" w:eastAsia="zh-CN"/>
        </w:rPr>
        <w:t>2</w:t>
      </w:r>
      <w:r>
        <w:rPr>
          <w:rFonts w:hint="eastAsia"/>
          <w:color w:val="auto"/>
          <w:highlight w:val="none"/>
        </w:rPr>
        <w:t>航管楼及塔台，配套空管、消防、供电、供热、油车棚、特种车库、生活用房等设施，以及污水处理站、垃圾站等环保工程。</w:t>
      </w:r>
      <w:r>
        <w:rPr>
          <w:rFonts w:hint="eastAsia"/>
          <w:color w:val="auto"/>
          <w:highlight w:val="none"/>
          <w:lang w:val="en-US" w:eastAsia="zh-CN"/>
        </w:rPr>
        <w:t>项目建成后</w:t>
      </w:r>
      <w:r>
        <w:rPr>
          <w:rFonts w:hint="eastAsia"/>
          <w:color w:val="auto"/>
          <w:highlight w:val="none"/>
        </w:rPr>
        <w:t>由新疆杞福机场经营管理有限责任公司负责运营，</w:t>
      </w:r>
      <w:r>
        <w:rPr>
          <w:rFonts w:hint="eastAsia"/>
          <w:color w:val="auto"/>
          <w:highlight w:val="none"/>
          <w:lang w:val="en-US" w:eastAsia="zh-CN"/>
        </w:rPr>
        <w:t>将</w:t>
      </w:r>
      <w:r>
        <w:rPr>
          <w:rFonts w:hint="eastAsia"/>
          <w:color w:val="auto"/>
          <w:highlight w:val="none"/>
        </w:rPr>
        <w:t>主要承担空中游览、短途客货运输、农林作业、应急救援及飞行培训等业务</w:t>
      </w:r>
      <w:r>
        <w:rPr>
          <w:rFonts w:hint="eastAsia"/>
          <w:color w:val="auto"/>
          <w:highlight w:val="none"/>
          <w:lang w:eastAsia="zh-CN"/>
        </w:rPr>
        <w:t>。</w:t>
      </w:r>
      <w:r>
        <w:rPr>
          <w:rFonts w:hint="default"/>
          <w:color w:val="auto"/>
          <w:highlight w:val="none"/>
          <w:lang w:val="en-US" w:eastAsia="zh-CN"/>
        </w:rPr>
        <w:t>场外配套的供水、供电、供气、通信</w:t>
      </w:r>
      <w:r>
        <w:rPr>
          <w:rFonts w:hint="eastAsia"/>
          <w:color w:val="auto"/>
          <w:highlight w:val="none"/>
          <w:lang w:val="en-US" w:eastAsia="zh-CN"/>
        </w:rPr>
        <w:t>、道路等基础设施</w:t>
      </w:r>
      <w:r>
        <w:rPr>
          <w:rFonts w:hint="default"/>
          <w:color w:val="auto"/>
          <w:highlight w:val="none"/>
          <w:lang w:val="en-US" w:eastAsia="zh-CN"/>
        </w:rPr>
        <w:t>由当地政府统筹建设</w:t>
      </w:r>
      <w:r>
        <w:rPr>
          <w:rFonts w:hint="eastAsia"/>
          <w:color w:val="auto"/>
          <w:highlight w:val="none"/>
          <w:lang w:val="en-US" w:eastAsia="zh-CN"/>
        </w:rPr>
        <w:t>，</w:t>
      </w:r>
      <w:r>
        <w:rPr>
          <w:rFonts w:hint="default"/>
          <w:color w:val="auto"/>
          <w:highlight w:val="none"/>
          <w:lang w:val="en-US" w:eastAsia="zh-CN"/>
        </w:rPr>
        <w:t>不在</w:t>
      </w:r>
      <w:r>
        <w:rPr>
          <w:rFonts w:hint="eastAsia"/>
          <w:color w:val="auto"/>
          <w:highlight w:val="none"/>
          <w:lang w:val="en-US" w:eastAsia="zh-CN"/>
        </w:rPr>
        <w:t>本次</w:t>
      </w:r>
      <w:r>
        <w:rPr>
          <w:rFonts w:hint="default"/>
          <w:color w:val="auto"/>
          <w:highlight w:val="none"/>
          <w:lang w:val="en-US" w:eastAsia="zh-CN"/>
        </w:rPr>
        <w:t>评价范围内</w:t>
      </w:r>
      <w:r>
        <w:rPr>
          <w:rFonts w:hint="eastAsia"/>
          <w:color w:val="auto"/>
          <w:highlight w:val="none"/>
          <w:lang w:val="en-US" w:eastAsia="zh-CN"/>
        </w:rPr>
        <w:t>；另行环评时须根据《建设项目环境影响评价分类管理名录》相关要求编制相应环境影响报告。</w:t>
      </w:r>
    </w:p>
    <w:p w14:paraId="34559FD9">
      <w:pPr>
        <w:pStyle w:val="4"/>
        <w:pageBreakBefore w:val="0"/>
        <w:kinsoku/>
        <w:wordWrap/>
        <w:overflowPunct/>
        <w:bidi w:val="0"/>
        <w:rPr>
          <w:rFonts w:hint="eastAsia"/>
          <w:color w:val="auto"/>
          <w:sz w:val="30"/>
          <w:szCs w:val="30"/>
          <w:highlight w:val="none"/>
        </w:rPr>
      </w:pPr>
      <w:bookmarkStart w:id="9" w:name="_Toc31599"/>
      <w:bookmarkStart w:id="10" w:name="_Toc23138"/>
      <w:r>
        <w:rPr>
          <w:rFonts w:hint="eastAsia"/>
          <w:color w:val="auto"/>
          <w:sz w:val="30"/>
          <w:szCs w:val="30"/>
          <w:highlight w:val="none"/>
        </w:rPr>
        <w:t>1.2环境影响评价的工作过程</w:t>
      </w:r>
      <w:bookmarkEnd w:id="9"/>
      <w:bookmarkEnd w:id="10"/>
    </w:p>
    <w:p w14:paraId="62DE09F2">
      <w:pPr>
        <w:pageBreakBefore w:val="0"/>
        <w:kinsoku/>
        <w:wordWrap/>
        <w:overflowPunct/>
        <w:bidi w:val="0"/>
        <w:adjustRightInd w:val="0"/>
        <w:snapToGrid w:val="0"/>
        <w:ind w:firstLine="480" w:firstLineChars="200"/>
        <w:rPr>
          <w:rFonts w:hint="eastAsia"/>
          <w:color w:val="auto"/>
          <w:highlight w:val="none"/>
        </w:rPr>
      </w:pPr>
      <w:r>
        <w:rPr>
          <w:rFonts w:hint="eastAsia"/>
          <w:color w:val="auto"/>
          <w:highlight w:val="none"/>
        </w:rPr>
        <w:t>根据《建设项目环境影响评价分类管理名录》（2021年版），新建机场项目</w:t>
      </w:r>
      <w:r>
        <w:rPr>
          <w:rFonts w:hint="eastAsia"/>
          <w:color w:val="auto"/>
          <w:highlight w:val="none"/>
          <w:lang w:eastAsia="zh-CN"/>
        </w:rPr>
        <w:t>，</w:t>
      </w:r>
      <w:r>
        <w:rPr>
          <w:rFonts w:hint="eastAsia"/>
          <w:color w:val="auto"/>
          <w:highlight w:val="none"/>
        </w:rPr>
        <w:t>需要编制环境影响报告书。</w:t>
      </w:r>
    </w:p>
    <w:p w14:paraId="0544B889">
      <w:pPr>
        <w:pageBreakBefore w:val="0"/>
        <w:kinsoku/>
        <w:wordWrap/>
        <w:overflowPunct/>
        <w:bidi w:val="0"/>
        <w:adjustRightInd w:val="0"/>
        <w:snapToGrid w:val="0"/>
        <w:ind w:firstLine="480" w:firstLineChars="200"/>
        <w:rPr>
          <w:rFonts w:hint="eastAsia"/>
          <w:color w:val="auto"/>
          <w:highlight w:val="none"/>
        </w:rPr>
      </w:pPr>
      <w:r>
        <w:rPr>
          <w:rFonts w:hint="eastAsia"/>
          <w:color w:val="auto"/>
          <w:highlight w:val="none"/>
        </w:rPr>
        <w:t>根据《中华人民共和国环境保护法》《中华人民共和国环境影响评价法》和《建设项目环境保护管理条例》（国务院令第682号）的有关规定，2022年8月22日，新疆杞福机场经营管理有限责任公司委托新疆天合环境技术咨询有限公司承担本项目环境影响评价工作（委托书见附件1）。</w:t>
      </w:r>
    </w:p>
    <w:p w14:paraId="6295FBB9">
      <w:pPr>
        <w:pageBreakBefore w:val="0"/>
        <w:kinsoku/>
        <w:wordWrap/>
        <w:overflowPunct/>
        <w:bidi w:val="0"/>
        <w:adjustRightInd w:val="0"/>
        <w:snapToGrid w:val="0"/>
        <w:ind w:firstLine="480" w:firstLineChars="200"/>
        <w:rPr>
          <w:rFonts w:hint="eastAsia"/>
          <w:color w:val="auto"/>
          <w:highlight w:val="none"/>
        </w:rPr>
      </w:pPr>
      <w:r>
        <w:rPr>
          <w:rFonts w:hint="eastAsia"/>
          <w:color w:val="auto"/>
          <w:highlight w:val="none"/>
          <w:lang w:val="en-US" w:eastAsia="zh-CN"/>
        </w:rPr>
        <w:t>机场</w:t>
      </w:r>
      <w:r>
        <w:rPr>
          <w:rFonts w:hint="eastAsia"/>
          <w:color w:val="auto"/>
          <w:highlight w:val="none"/>
        </w:rPr>
        <w:t>环境影响评价工作一般分为</w:t>
      </w:r>
      <w:r>
        <w:rPr>
          <w:rFonts w:hint="eastAsia"/>
          <w:color w:val="auto"/>
          <w:highlight w:val="none"/>
          <w:lang w:val="en-US" w:eastAsia="zh-CN"/>
        </w:rPr>
        <w:t>四</w:t>
      </w:r>
      <w:r>
        <w:rPr>
          <w:rFonts w:hint="eastAsia"/>
          <w:color w:val="auto"/>
          <w:highlight w:val="none"/>
        </w:rPr>
        <w:t>个阶段，即</w:t>
      </w:r>
      <w:r>
        <w:rPr>
          <w:rFonts w:hint="eastAsia"/>
          <w:color w:val="auto"/>
          <w:highlight w:val="none"/>
          <w:lang w:val="en-US" w:eastAsia="zh-CN"/>
        </w:rPr>
        <w:t>场址比选及相关符合性分析阶段、资料收集及工程分析阶段、环境现状调查及环境影响评价阶段、环保措施可行性论证及下定结论阶段。</w:t>
      </w:r>
      <w:r>
        <w:rPr>
          <w:rFonts w:hint="eastAsia"/>
          <w:color w:val="auto"/>
          <w:highlight w:val="none"/>
        </w:rPr>
        <w:t>天合公司项目组在认真研究</w:t>
      </w:r>
      <w:r>
        <w:rPr>
          <w:rFonts w:hint="eastAsia"/>
          <w:color w:val="auto"/>
          <w:highlight w:val="none"/>
          <w:lang w:eastAsia="zh-CN"/>
        </w:rPr>
        <w:t>《新疆精河通用机场选址报告》（新管局函〔202</w:t>
      </w:r>
      <w:r>
        <w:rPr>
          <w:rFonts w:hint="eastAsia"/>
          <w:color w:val="auto"/>
          <w:highlight w:val="none"/>
          <w:lang w:val="en-US" w:eastAsia="zh-CN"/>
        </w:rPr>
        <w:t>2</w:t>
      </w:r>
      <w:r>
        <w:rPr>
          <w:rFonts w:hint="eastAsia"/>
          <w:color w:val="auto"/>
          <w:highlight w:val="none"/>
          <w:lang w:eastAsia="zh-CN"/>
        </w:rPr>
        <w:t>〕119号）、</w:t>
      </w:r>
      <w:r>
        <w:rPr>
          <w:rFonts w:hint="eastAsia"/>
          <w:color w:val="auto"/>
          <w:highlight w:val="none"/>
        </w:rPr>
        <w:t>《新疆精河通用机场建设工程可行性研究报告》</w:t>
      </w:r>
      <w:r>
        <w:rPr>
          <w:rFonts w:hint="eastAsia"/>
          <w:color w:val="auto"/>
          <w:highlight w:val="none"/>
          <w:lang w:eastAsia="zh-CN"/>
        </w:rPr>
        <w:t>（新发改批复〔2024〕230号）</w:t>
      </w:r>
      <w:r>
        <w:rPr>
          <w:rFonts w:hint="eastAsia"/>
          <w:color w:val="auto"/>
          <w:highlight w:val="none"/>
        </w:rPr>
        <w:t>及</w:t>
      </w:r>
      <w:r>
        <w:rPr>
          <w:rFonts w:hint="eastAsia"/>
          <w:color w:val="auto"/>
          <w:highlight w:val="none"/>
          <w:lang w:val="en-US" w:eastAsia="zh-CN"/>
        </w:rPr>
        <w:t>现行规划、环保政策</w:t>
      </w:r>
      <w:r>
        <w:rPr>
          <w:rFonts w:hint="eastAsia"/>
          <w:color w:val="auto"/>
          <w:highlight w:val="none"/>
        </w:rPr>
        <w:t>等资料后，按照早期介入的原则开展场址比选，分析</w:t>
      </w:r>
      <w:r>
        <w:rPr>
          <w:rFonts w:hint="eastAsia"/>
          <w:color w:val="auto"/>
          <w:highlight w:val="none"/>
          <w:lang w:val="en-US" w:eastAsia="zh-CN"/>
        </w:rPr>
        <w:t>了八家户牧业四队及产业园西场址</w:t>
      </w:r>
      <w:r>
        <w:rPr>
          <w:rFonts w:hint="eastAsia"/>
          <w:color w:val="auto"/>
          <w:highlight w:val="none"/>
        </w:rPr>
        <w:t>与国家和地方有关法律法规、标准、政策、规范、国土空间规划等相关规划、生态环境分区管控、规划环境影响评价要求的符合性，识别牧业四队</w:t>
      </w:r>
      <w:r>
        <w:rPr>
          <w:rFonts w:hint="eastAsia"/>
          <w:color w:val="auto"/>
          <w:highlight w:val="none"/>
          <w:lang w:val="en-US" w:eastAsia="zh-CN"/>
        </w:rPr>
        <w:t>等</w:t>
      </w:r>
      <w:r>
        <w:rPr>
          <w:rFonts w:hint="eastAsia"/>
          <w:color w:val="auto"/>
          <w:highlight w:val="none"/>
        </w:rPr>
        <w:t>声</w:t>
      </w:r>
      <w:r>
        <w:rPr>
          <w:rFonts w:hint="eastAsia"/>
          <w:color w:val="auto"/>
          <w:highlight w:val="none"/>
          <w:lang w:val="en-US" w:eastAsia="zh-CN"/>
        </w:rPr>
        <w:t>环境保护目标以及</w:t>
      </w:r>
      <w:r>
        <w:rPr>
          <w:rFonts w:hint="eastAsia"/>
          <w:color w:val="auto"/>
          <w:highlight w:val="none"/>
        </w:rPr>
        <w:t>艾比湖湿地国家级自然保护区</w:t>
      </w:r>
      <w:r>
        <w:rPr>
          <w:rFonts w:hint="eastAsia"/>
          <w:color w:val="auto"/>
          <w:highlight w:val="none"/>
          <w:lang w:val="en-US" w:eastAsia="zh-CN"/>
        </w:rPr>
        <w:t>等</w:t>
      </w:r>
      <w:r>
        <w:rPr>
          <w:rFonts w:hint="eastAsia"/>
          <w:color w:val="auto"/>
          <w:highlight w:val="none"/>
        </w:rPr>
        <w:t>生态</w:t>
      </w:r>
      <w:r>
        <w:rPr>
          <w:rFonts w:hint="eastAsia"/>
          <w:color w:val="auto"/>
          <w:highlight w:val="none"/>
          <w:lang w:val="en-US" w:eastAsia="zh-CN"/>
        </w:rPr>
        <w:t>关注点</w:t>
      </w:r>
      <w:r>
        <w:rPr>
          <w:rFonts w:hint="eastAsia"/>
          <w:color w:val="auto"/>
          <w:highlight w:val="none"/>
        </w:rPr>
        <w:t>，分析不同场址对</w:t>
      </w:r>
      <w:r>
        <w:rPr>
          <w:rFonts w:hint="eastAsia"/>
          <w:color w:val="auto"/>
          <w:highlight w:val="none"/>
          <w:lang w:val="en-US" w:eastAsia="zh-CN"/>
        </w:rPr>
        <w:t>其</w:t>
      </w:r>
      <w:r>
        <w:rPr>
          <w:rFonts w:hint="eastAsia"/>
          <w:color w:val="auto"/>
          <w:highlight w:val="none"/>
        </w:rPr>
        <w:t>影响，从生态环境影响角度给出八家户牧业四队</w:t>
      </w:r>
      <w:r>
        <w:rPr>
          <w:rFonts w:hint="eastAsia"/>
          <w:color w:val="auto"/>
          <w:highlight w:val="none"/>
          <w:lang w:val="en-US" w:eastAsia="zh-CN"/>
        </w:rPr>
        <w:t>场址的优化</w:t>
      </w:r>
      <w:r>
        <w:rPr>
          <w:rFonts w:hint="eastAsia"/>
          <w:color w:val="auto"/>
          <w:highlight w:val="none"/>
        </w:rPr>
        <w:t>建议</w:t>
      </w:r>
      <w:r>
        <w:rPr>
          <w:rFonts w:hint="eastAsia"/>
          <w:color w:val="auto"/>
          <w:highlight w:val="none"/>
          <w:lang w:eastAsia="zh-CN"/>
        </w:rPr>
        <w:t>；</w:t>
      </w:r>
      <w:r>
        <w:rPr>
          <w:rFonts w:hint="eastAsia"/>
          <w:color w:val="auto"/>
          <w:highlight w:val="none"/>
          <w:lang w:val="en-US" w:eastAsia="zh-CN"/>
        </w:rPr>
        <w:t>随后以卢喜林、汪东等工程师为主要成员的项目组对工程概况及工程分析进行了梳理，分析精河机场将产生的噪声、鸟类迁徙等生态环境影响，并给出机场施工期、运营期污染源和污染物排放量，结合新疆正天华能环境工程技术有限公司于2023年3月对项目区域大气、声、地下水、土壤环境质量现状监测数据，以及新疆农业大学科研团队、新疆博大自然科技有限公司于2024年7-11月、2025年1-6月春/秋迁徙季鸟情生态环境调研情况，判断了生态影响和对鸟类迁徙路线、艾比湖湿地国家级自然保护区等影响程度；</w:t>
      </w:r>
      <w:r>
        <w:rPr>
          <w:rFonts w:hint="eastAsia"/>
          <w:color w:val="auto"/>
          <w:highlight w:val="none"/>
        </w:rPr>
        <w:t>提出污染防治、生态保护及风险防控措施，论证环保设施的可行性等。经过对各环境要素的预测成果进行整理，对报告书中的重点内容，如声环境影响预测、生态影响分析等内容进行重点研究论证。</w:t>
      </w:r>
    </w:p>
    <w:p w14:paraId="13888DD5">
      <w:pPr>
        <w:pageBreakBefore w:val="0"/>
        <w:kinsoku/>
        <w:wordWrap/>
        <w:overflowPunct/>
        <w:bidi w:val="0"/>
        <w:adjustRightInd w:val="0"/>
        <w:snapToGrid w:val="0"/>
        <w:ind w:firstLine="480" w:firstLineChars="200"/>
        <w:rPr>
          <w:rFonts w:hint="eastAsia"/>
          <w:color w:val="auto"/>
          <w:highlight w:val="none"/>
        </w:rPr>
      </w:pPr>
      <w:r>
        <w:rPr>
          <w:rFonts w:hint="eastAsia"/>
          <w:color w:val="auto"/>
          <w:highlight w:val="none"/>
        </w:rPr>
        <w:t>环评报告编制期间，建设单位于2022年8月23日在新疆维吾尔自治区生态环境保护产业协会网站进行第一次网络信息公示；随后建设单位按照《环境影响评价公众参与办法》（部令第4号）要求，于2023年3月13日在新疆维吾尔自治区生态环境保护产业协会网站对环境影响报告书征求意见稿进行了第二次公示，并在《博尔塔拉报》进行了两次报纸公示，在项目所在地公告栏张贴了公告；于2023年5月26日开展了拟报批公示，公示期间均未收到反馈意见。在以上工作的基础上，</w:t>
      </w:r>
      <w:r>
        <w:rPr>
          <w:rFonts w:hint="eastAsia"/>
          <w:color w:val="auto"/>
          <w:highlight w:val="none"/>
          <w:lang w:val="en-US" w:eastAsia="zh-CN"/>
        </w:rPr>
        <w:t>天合公司</w:t>
      </w:r>
      <w:r>
        <w:rPr>
          <w:rFonts w:hint="eastAsia"/>
          <w:color w:val="auto"/>
          <w:highlight w:val="none"/>
        </w:rPr>
        <w:t>按照《建设项目环境影响评价技术导则》的要求和各级生态环境主管部门的意见，于202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底</w:t>
      </w:r>
      <w:r>
        <w:rPr>
          <w:rFonts w:hint="eastAsia"/>
          <w:color w:val="auto"/>
          <w:highlight w:val="none"/>
        </w:rPr>
        <w:t>，编制完成了《新疆精河通用机场建设项目环境影响报告书》。</w:t>
      </w:r>
    </w:p>
    <w:p w14:paraId="7A3D919B">
      <w:pPr>
        <w:pStyle w:val="4"/>
        <w:pageBreakBefore w:val="0"/>
        <w:kinsoku/>
        <w:wordWrap/>
        <w:overflowPunct/>
        <w:bidi w:val="0"/>
        <w:rPr>
          <w:rFonts w:hint="eastAsia"/>
          <w:color w:val="auto"/>
          <w:sz w:val="30"/>
          <w:szCs w:val="30"/>
          <w:highlight w:val="none"/>
        </w:rPr>
      </w:pPr>
      <w:bookmarkStart w:id="11" w:name="_Toc11509"/>
      <w:bookmarkStart w:id="12" w:name="_Toc325"/>
      <w:r>
        <w:rPr>
          <w:rFonts w:hint="eastAsia"/>
          <w:color w:val="auto"/>
          <w:sz w:val="30"/>
          <w:szCs w:val="30"/>
          <w:highlight w:val="none"/>
        </w:rPr>
        <w:t>1.3分析判定相关情况</w:t>
      </w:r>
      <w:bookmarkEnd w:id="11"/>
      <w:bookmarkEnd w:id="12"/>
    </w:p>
    <w:p w14:paraId="6900729A">
      <w:pPr>
        <w:pStyle w:val="34"/>
        <w:pageBreakBefore w:val="0"/>
        <w:kinsoku/>
        <w:wordWrap/>
        <w:overflowPunct/>
        <w:bidi w:val="0"/>
        <w:spacing w:after="0"/>
        <w:ind w:firstLine="480" w:firstLineChars="200"/>
        <w:rPr>
          <w:rFonts w:hint="eastAsia"/>
          <w:color w:val="auto"/>
          <w:szCs w:val="22"/>
          <w:highlight w:val="none"/>
        </w:rPr>
      </w:pPr>
      <w:r>
        <w:rPr>
          <w:rFonts w:hint="eastAsia"/>
          <w:color w:val="auto"/>
          <w:szCs w:val="22"/>
          <w:highlight w:val="none"/>
        </w:rPr>
        <w:t>（1）根据《产业结构调整指导目录（20</w:t>
      </w:r>
      <w:r>
        <w:rPr>
          <w:rFonts w:hint="eastAsia"/>
          <w:color w:val="auto"/>
          <w:szCs w:val="22"/>
          <w:highlight w:val="none"/>
          <w:lang w:val="en-US" w:eastAsia="zh-CN"/>
        </w:rPr>
        <w:t>24</w:t>
      </w:r>
      <w:r>
        <w:rPr>
          <w:rFonts w:hint="eastAsia"/>
          <w:color w:val="auto"/>
          <w:szCs w:val="22"/>
          <w:highlight w:val="none"/>
        </w:rPr>
        <w:t>年本）》，</w:t>
      </w:r>
      <w:r>
        <w:rPr>
          <w:rFonts w:hint="eastAsia"/>
          <w:color w:val="auto"/>
          <w:szCs w:val="22"/>
          <w:highlight w:val="none"/>
          <w:lang w:eastAsia="zh-CN"/>
        </w:rPr>
        <w:t>本项目属于</w:t>
      </w:r>
      <w:r>
        <w:rPr>
          <w:rFonts w:hint="eastAsia"/>
          <w:color w:val="auto"/>
          <w:szCs w:val="22"/>
          <w:highlight w:val="none"/>
        </w:rPr>
        <w:t>国家</w:t>
      </w:r>
      <w:r>
        <w:rPr>
          <w:rFonts w:hint="eastAsia"/>
          <w:color w:val="auto"/>
          <w:szCs w:val="22"/>
          <w:highlight w:val="none"/>
          <w:lang w:eastAsia="zh-CN"/>
        </w:rPr>
        <w:t>“</w:t>
      </w:r>
      <w:r>
        <w:rPr>
          <w:rFonts w:hint="eastAsia"/>
          <w:color w:val="auto"/>
          <w:szCs w:val="22"/>
          <w:highlight w:val="none"/>
        </w:rPr>
        <w:t>鼓励类</w:t>
      </w:r>
      <w:r>
        <w:rPr>
          <w:rFonts w:hint="eastAsia"/>
          <w:color w:val="auto"/>
          <w:szCs w:val="22"/>
          <w:highlight w:val="none"/>
          <w:lang w:eastAsia="zh-CN"/>
        </w:rPr>
        <w:t>”</w:t>
      </w:r>
      <w:r>
        <w:rPr>
          <w:rFonts w:hint="eastAsia"/>
          <w:color w:val="auto"/>
          <w:szCs w:val="22"/>
          <w:highlight w:val="none"/>
        </w:rPr>
        <w:t>中“二十六</w:t>
      </w:r>
      <w:r>
        <w:rPr>
          <w:rFonts w:hint="eastAsia"/>
          <w:color w:val="auto"/>
          <w:szCs w:val="22"/>
          <w:highlight w:val="none"/>
          <w:lang w:eastAsia="zh-CN"/>
        </w:rPr>
        <w:t>、</w:t>
      </w:r>
      <w:r>
        <w:rPr>
          <w:rFonts w:hint="eastAsia"/>
          <w:color w:val="auto"/>
          <w:szCs w:val="22"/>
          <w:highlight w:val="none"/>
        </w:rPr>
        <w:t>航空运输”中的</w:t>
      </w:r>
      <w:r>
        <w:rPr>
          <w:rFonts w:hint="eastAsia"/>
          <w:color w:val="auto"/>
          <w:szCs w:val="22"/>
          <w:highlight w:val="none"/>
          <w:lang w:eastAsia="zh-CN"/>
        </w:rPr>
        <w:t>“</w:t>
      </w:r>
      <w:r>
        <w:rPr>
          <w:rFonts w:hint="eastAsia"/>
          <w:color w:val="auto"/>
          <w:szCs w:val="22"/>
          <w:highlight w:val="none"/>
        </w:rPr>
        <w:t>3</w:t>
      </w:r>
      <w:r>
        <w:rPr>
          <w:rFonts w:hint="eastAsia"/>
          <w:color w:val="auto"/>
          <w:szCs w:val="22"/>
          <w:highlight w:val="none"/>
          <w:lang w:val="en-US" w:eastAsia="zh-CN"/>
        </w:rPr>
        <w:t>.</w:t>
      </w:r>
      <w:r>
        <w:rPr>
          <w:rFonts w:hint="eastAsia"/>
          <w:color w:val="auto"/>
          <w:szCs w:val="22"/>
          <w:highlight w:val="none"/>
        </w:rPr>
        <w:t>通用航空、海上空中监督巡逻和搜救服务及设施建设，小型航空器应急起降场地建设</w:t>
      </w:r>
      <w:r>
        <w:rPr>
          <w:rFonts w:hint="eastAsia"/>
          <w:color w:val="auto"/>
          <w:szCs w:val="22"/>
          <w:highlight w:val="none"/>
          <w:lang w:eastAsia="zh-CN"/>
        </w:rPr>
        <w:t>”</w:t>
      </w:r>
      <w:r>
        <w:rPr>
          <w:rFonts w:hint="eastAsia"/>
          <w:color w:val="auto"/>
          <w:szCs w:val="22"/>
          <w:highlight w:val="none"/>
          <w:lang w:val="en-US" w:eastAsia="zh-CN"/>
        </w:rPr>
        <w:t>类</w:t>
      </w:r>
      <w:r>
        <w:rPr>
          <w:rFonts w:hint="eastAsia"/>
          <w:color w:val="auto"/>
          <w:szCs w:val="22"/>
          <w:highlight w:val="none"/>
        </w:rPr>
        <w:t>，符合国家产业政策要求。</w:t>
      </w:r>
    </w:p>
    <w:p w14:paraId="35496F7B">
      <w:pPr>
        <w:pStyle w:val="34"/>
        <w:pageBreakBefore w:val="0"/>
        <w:kinsoku/>
        <w:wordWrap/>
        <w:overflowPunct/>
        <w:bidi w:val="0"/>
        <w:spacing w:after="0"/>
        <w:ind w:firstLine="480" w:firstLineChars="200"/>
        <w:rPr>
          <w:rFonts w:hint="eastAsia" w:eastAsia="宋体"/>
          <w:color w:val="auto"/>
          <w:szCs w:val="22"/>
          <w:highlight w:val="none"/>
          <w:lang w:val="en-US" w:eastAsia="zh-CN"/>
        </w:rPr>
      </w:pPr>
      <w:r>
        <w:rPr>
          <w:rFonts w:hint="eastAsia"/>
          <w:color w:val="auto"/>
          <w:szCs w:val="22"/>
          <w:highlight w:val="none"/>
        </w:rPr>
        <w:t>（2）</w:t>
      </w:r>
      <w:r>
        <w:rPr>
          <w:rFonts w:hint="eastAsia"/>
          <w:color w:val="auto"/>
          <w:szCs w:val="22"/>
          <w:highlight w:val="none"/>
          <w:lang w:eastAsia="zh-CN"/>
        </w:rPr>
        <w:t>本项目</w:t>
      </w:r>
      <w:r>
        <w:rPr>
          <w:rFonts w:hint="eastAsia"/>
          <w:color w:val="auto"/>
          <w:szCs w:val="22"/>
          <w:highlight w:val="none"/>
        </w:rPr>
        <w:t>为</w:t>
      </w:r>
      <w:r>
        <w:rPr>
          <w:rFonts w:hint="eastAsia"/>
          <w:color w:val="auto"/>
          <w:szCs w:val="22"/>
          <w:highlight w:val="none"/>
          <w:lang w:val="en-US" w:eastAsia="zh-CN"/>
        </w:rPr>
        <w:t>新建通用机场</w:t>
      </w:r>
      <w:r>
        <w:rPr>
          <w:rFonts w:hint="eastAsia"/>
          <w:color w:val="auto"/>
          <w:szCs w:val="22"/>
          <w:highlight w:val="none"/>
        </w:rPr>
        <w:t>项目，项目</w:t>
      </w:r>
      <w:r>
        <w:rPr>
          <w:rFonts w:hint="eastAsia"/>
          <w:color w:val="auto"/>
          <w:szCs w:val="22"/>
          <w:highlight w:val="none"/>
          <w:lang w:eastAsia="zh-CN"/>
        </w:rPr>
        <w:t>的</w:t>
      </w:r>
      <w:r>
        <w:rPr>
          <w:rFonts w:hint="eastAsia"/>
          <w:color w:val="auto"/>
          <w:szCs w:val="22"/>
          <w:highlight w:val="none"/>
          <w:lang w:val="en-US" w:eastAsia="zh-CN"/>
        </w:rPr>
        <w:t>建设</w:t>
      </w:r>
      <w:r>
        <w:rPr>
          <w:rFonts w:hint="eastAsia"/>
          <w:color w:val="auto"/>
          <w:szCs w:val="22"/>
          <w:highlight w:val="none"/>
        </w:rPr>
        <w:t>符合《民用机场管理条例》《关于加快通用航空业发展的意见》</w:t>
      </w:r>
      <w:r>
        <w:rPr>
          <w:rFonts w:hint="eastAsia"/>
          <w:color w:val="auto"/>
          <w:szCs w:val="22"/>
          <w:highlight w:val="none"/>
          <w:lang w:val="en-US" w:eastAsia="zh-CN"/>
        </w:rPr>
        <w:t>等法律法规要求。</w:t>
      </w:r>
    </w:p>
    <w:p w14:paraId="73E3E424">
      <w:pPr>
        <w:pStyle w:val="34"/>
        <w:pageBreakBefore w:val="0"/>
        <w:kinsoku/>
        <w:wordWrap/>
        <w:overflowPunct/>
        <w:bidi w:val="0"/>
        <w:spacing w:after="0"/>
        <w:ind w:firstLine="480" w:firstLineChars="200"/>
        <w:rPr>
          <w:rFonts w:hint="eastAsia"/>
          <w:color w:val="auto"/>
          <w:szCs w:val="22"/>
          <w:highlight w:val="none"/>
        </w:rPr>
      </w:pPr>
      <w:r>
        <w:rPr>
          <w:rFonts w:hint="eastAsia"/>
          <w:color w:val="auto"/>
          <w:szCs w:val="22"/>
          <w:highlight w:val="none"/>
          <w:lang w:eastAsia="zh-CN"/>
        </w:rPr>
        <w:t>（</w:t>
      </w:r>
      <w:r>
        <w:rPr>
          <w:rFonts w:hint="eastAsia"/>
          <w:color w:val="auto"/>
          <w:szCs w:val="22"/>
          <w:highlight w:val="none"/>
          <w:lang w:val="en-US" w:eastAsia="zh-CN"/>
        </w:rPr>
        <w:t>3</w:t>
      </w:r>
      <w:r>
        <w:rPr>
          <w:rFonts w:hint="eastAsia"/>
          <w:color w:val="auto"/>
          <w:szCs w:val="22"/>
          <w:highlight w:val="none"/>
          <w:lang w:eastAsia="zh-CN"/>
        </w:rPr>
        <w:t>）</w:t>
      </w:r>
      <w:r>
        <w:rPr>
          <w:rFonts w:hint="eastAsia"/>
          <w:color w:val="auto"/>
          <w:szCs w:val="22"/>
          <w:highlight w:val="none"/>
          <w:lang w:val="en-US" w:eastAsia="zh-CN"/>
        </w:rPr>
        <w:t>本项目位于博尔塔拉蒙古自治州精河县，符合</w:t>
      </w:r>
      <w:r>
        <w:rPr>
          <w:rFonts w:hint="eastAsia"/>
          <w:color w:val="auto"/>
          <w:szCs w:val="22"/>
          <w:highlight w:val="none"/>
        </w:rPr>
        <w:t>《“十四五”民用航空发展规划》</w:t>
      </w:r>
      <w:r>
        <w:rPr>
          <w:rFonts w:hint="eastAsia"/>
          <w:color w:val="auto"/>
          <w:szCs w:val="22"/>
          <w:highlight w:val="none"/>
          <w:lang w:val="en-US" w:eastAsia="zh-CN"/>
        </w:rPr>
        <w:t>《“十四五”通用航空发展专项规划》</w:t>
      </w:r>
      <w:r>
        <w:rPr>
          <w:rFonts w:hint="eastAsia"/>
          <w:color w:val="auto"/>
          <w:szCs w:val="22"/>
          <w:highlight w:val="none"/>
          <w:lang w:eastAsia="zh-CN"/>
        </w:rPr>
        <w:t>《综合运输服务“十四五”发展规划》</w:t>
      </w:r>
      <w:r>
        <w:rPr>
          <w:rFonts w:hint="eastAsia"/>
          <w:color w:val="auto"/>
          <w:szCs w:val="22"/>
          <w:highlight w:val="none"/>
        </w:rPr>
        <w:t>《新疆维吾尔自治区综合立体交通网规划（2021-2050年）》《新疆维吾尔自治区综合立体交通网规划环境影响报告书》</w:t>
      </w:r>
      <w:r>
        <w:rPr>
          <w:rFonts w:hint="eastAsia"/>
          <w:color w:val="auto"/>
          <w:szCs w:val="22"/>
          <w:highlight w:val="none"/>
          <w:lang w:eastAsia="zh-CN"/>
        </w:rPr>
        <w:t>《新疆通用航空机场布局规划（2018-2035）》</w:t>
      </w:r>
      <w:r>
        <w:rPr>
          <w:rFonts w:hint="eastAsia"/>
          <w:color w:val="auto"/>
          <w:szCs w:val="22"/>
          <w:highlight w:val="none"/>
        </w:rPr>
        <w:t>《</w:t>
      </w:r>
      <w:r>
        <w:rPr>
          <w:rFonts w:hint="eastAsia"/>
          <w:color w:val="auto"/>
          <w:szCs w:val="22"/>
          <w:highlight w:val="none"/>
          <w:lang w:val="en-US" w:eastAsia="zh-CN"/>
        </w:rPr>
        <w:t>精河县国土空间总体规划（2021-2035年）</w:t>
      </w:r>
      <w:r>
        <w:rPr>
          <w:rFonts w:hint="eastAsia"/>
          <w:color w:val="auto"/>
          <w:szCs w:val="22"/>
          <w:highlight w:val="none"/>
        </w:rPr>
        <w:t>》</w:t>
      </w:r>
      <w:r>
        <w:rPr>
          <w:rFonts w:hint="eastAsia"/>
          <w:color w:val="auto"/>
          <w:szCs w:val="22"/>
          <w:highlight w:val="none"/>
          <w:lang w:val="en-US" w:eastAsia="zh-CN"/>
        </w:rPr>
        <w:t>等相关规划要求</w:t>
      </w:r>
      <w:r>
        <w:rPr>
          <w:rFonts w:hint="eastAsia"/>
          <w:color w:val="auto"/>
          <w:szCs w:val="22"/>
          <w:highlight w:val="none"/>
        </w:rPr>
        <w:t>。</w:t>
      </w:r>
    </w:p>
    <w:p w14:paraId="7514E4CF">
      <w:pPr>
        <w:pStyle w:val="34"/>
        <w:pageBreakBefore w:val="0"/>
        <w:kinsoku/>
        <w:wordWrap/>
        <w:overflowPunct/>
        <w:bidi w:val="0"/>
        <w:spacing w:after="0"/>
        <w:ind w:firstLine="480" w:firstLineChars="200"/>
        <w:rPr>
          <w:rFonts w:hint="eastAsia"/>
          <w:color w:val="auto"/>
          <w:szCs w:val="22"/>
          <w:highlight w:val="none"/>
        </w:rPr>
      </w:pPr>
      <w:r>
        <w:rPr>
          <w:rFonts w:hint="eastAsia"/>
          <w:color w:val="auto"/>
          <w:szCs w:val="22"/>
          <w:highlight w:val="none"/>
        </w:rPr>
        <w:t>（4）</w:t>
      </w:r>
      <w:r>
        <w:rPr>
          <w:rFonts w:hint="eastAsia"/>
          <w:color w:val="auto"/>
          <w:szCs w:val="22"/>
          <w:highlight w:val="none"/>
          <w:lang w:eastAsia="zh-CN"/>
        </w:rPr>
        <w:t>本项目场址位于精河县八家户牧业四队</w:t>
      </w:r>
      <w:r>
        <w:rPr>
          <w:rFonts w:hint="eastAsia"/>
          <w:color w:val="auto"/>
          <w:szCs w:val="22"/>
          <w:highlight w:val="none"/>
        </w:rPr>
        <w:t>，</w:t>
      </w:r>
      <w:r>
        <w:rPr>
          <w:rFonts w:hint="eastAsia"/>
          <w:color w:val="auto"/>
          <w:szCs w:val="22"/>
          <w:highlight w:val="none"/>
          <w:lang w:val="en-US" w:eastAsia="zh-CN"/>
        </w:rPr>
        <w:t>项目区不涉及</w:t>
      </w:r>
      <w:r>
        <w:rPr>
          <w:rFonts w:hint="eastAsia"/>
          <w:color w:val="auto"/>
          <w:szCs w:val="22"/>
          <w:highlight w:val="none"/>
        </w:rPr>
        <w:t>法定生态保护区域、重要生境以及其他具有重要生态功能、对保护生物多样性具有重要意义的区域。</w:t>
      </w:r>
      <w:r>
        <w:rPr>
          <w:rFonts w:hint="eastAsia"/>
          <w:color w:val="auto"/>
          <w:szCs w:val="22"/>
          <w:highlight w:val="none"/>
          <w:lang w:val="en-US" w:eastAsia="zh-CN"/>
        </w:rPr>
        <w:t>新增占地不涉及永久基本农田、生态保护红线及城镇开发边界等</w:t>
      </w:r>
      <w:r>
        <w:rPr>
          <w:rFonts w:hint="eastAsia"/>
          <w:color w:val="auto"/>
          <w:szCs w:val="22"/>
          <w:highlight w:val="none"/>
        </w:rPr>
        <w:t>。</w:t>
      </w:r>
    </w:p>
    <w:p w14:paraId="477C04D5">
      <w:pPr>
        <w:pStyle w:val="34"/>
        <w:pageBreakBefore w:val="0"/>
        <w:kinsoku/>
        <w:wordWrap/>
        <w:overflowPunct/>
        <w:bidi w:val="0"/>
        <w:spacing w:after="0"/>
        <w:ind w:firstLine="480" w:firstLineChars="200"/>
        <w:rPr>
          <w:rFonts w:hint="eastAsia"/>
          <w:color w:val="auto"/>
          <w:szCs w:val="22"/>
          <w:highlight w:val="none"/>
        </w:rPr>
      </w:pPr>
      <w:r>
        <w:rPr>
          <w:rFonts w:hint="eastAsia"/>
          <w:color w:val="auto"/>
          <w:szCs w:val="22"/>
          <w:highlight w:val="none"/>
        </w:rPr>
        <w:t>（5）</w:t>
      </w:r>
      <w:r>
        <w:rPr>
          <w:rFonts w:hint="eastAsia"/>
          <w:color w:val="auto"/>
          <w:szCs w:val="22"/>
          <w:highlight w:val="none"/>
          <w:lang w:val="en-US" w:eastAsia="zh-CN"/>
        </w:rPr>
        <w:t>生态环境分区管控</w:t>
      </w:r>
      <w:r>
        <w:rPr>
          <w:rFonts w:hint="eastAsia"/>
          <w:color w:val="auto"/>
          <w:szCs w:val="22"/>
          <w:highlight w:val="none"/>
        </w:rPr>
        <w:t>符合性分析</w:t>
      </w:r>
    </w:p>
    <w:p w14:paraId="75424D61">
      <w:pPr>
        <w:pStyle w:val="34"/>
        <w:keepNext w:val="0"/>
        <w:keepLines w:val="0"/>
        <w:pageBreakBefore w:val="0"/>
        <w:widowControl w:val="0"/>
        <w:kinsoku/>
        <w:wordWrap/>
        <w:overflowPunct/>
        <w:topLinePunct/>
        <w:autoSpaceDE/>
        <w:autoSpaceDN/>
        <w:bidi w:val="0"/>
        <w:adjustRightInd/>
        <w:snapToGrid/>
        <w:spacing w:after="0"/>
        <w:ind w:firstLine="480" w:firstLineChars="200"/>
        <w:textAlignment w:val="auto"/>
        <w:rPr>
          <w:color w:val="auto"/>
          <w:szCs w:val="22"/>
          <w:highlight w:val="none"/>
        </w:rPr>
      </w:pPr>
      <w:r>
        <w:rPr>
          <w:rFonts w:hint="eastAsia"/>
          <w:color w:val="auto"/>
          <w:szCs w:val="22"/>
          <w:highlight w:val="none"/>
          <w:lang w:eastAsia="zh-CN"/>
        </w:rPr>
        <w:t>根据《关于印发&lt;2023年博尔塔拉蒙古自治州“三线一单”生态环境分区管控动态更新成果&gt;的通知》（博州环发〔2024〕16号），本项目</w:t>
      </w:r>
      <w:r>
        <w:rPr>
          <w:rFonts w:hint="eastAsia"/>
          <w:color w:val="auto"/>
          <w:szCs w:val="22"/>
          <w:highlight w:val="none"/>
          <w:lang w:val="en-US" w:eastAsia="zh-CN"/>
        </w:rPr>
        <w:t>所在区域属精河县一般管控单元1（ZH65272230001）</w:t>
      </w:r>
      <w:r>
        <w:rPr>
          <w:rFonts w:hint="eastAsia"/>
          <w:color w:val="auto"/>
          <w:szCs w:val="22"/>
          <w:highlight w:val="none"/>
          <w:lang w:eastAsia="zh-CN"/>
        </w:rPr>
        <w:t>，</w:t>
      </w:r>
      <w:r>
        <w:rPr>
          <w:rFonts w:hint="eastAsia"/>
          <w:color w:val="auto"/>
          <w:szCs w:val="22"/>
          <w:highlight w:val="none"/>
          <w:lang w:val="en-US" w:eastAsia="zh-CN"/>
        </w:rPr>
        <w:t>项目</w:t>
      </w:r>
      <w:r>
        <w:rPr>
          <w:rFonts w:hint="eastAsia"/>
          <w:color w:val="auto"/>
          <w:szCs w:val="22"/>
          <w:highlight w:val="none"/>
          <w:lang w:eastAsia="zh-CN"/>
        </w:rPr>
        <w:t>建设满足区域生态环境准入清单要求和一般管控单元的空间布局约束、污染物排放管控、环境风险防控和资源利用效率的要求，符合生态环境分区管控要求</w:t>
      </w:r>
      <w:r>
        <w:rPr>
          <w:rFonts w:hint="eastAsia"/>
          <w:color w:val="auto"/>
          <w:szCs w:val="22"/>
          <w:highlight w:val="none"/>
        </w:rPr>
        <w:t>。</w:t>
      </w:r>
    </w:p>
    <w:p w14:paraId="66A768A3">
      <w:pPr>
        <w:pStyle w:val="4"/>
        <w:pageBreakBefore w:val="0"/>
        <w:kinsoku/>
        <w:wordWrap/>
        <w:overflowPunct/>
        <w:bidi w:val="0"/>
        <w:rPr>
          <w:rFonts w:hint="eastAsia"/>
          <w:color w:val="auto"/>
          <w:sz w:val="30"/>
          <w:szCs w:val="30"/>
          <w:highlight w:val="none"/>
        </w:rPr>
      </w:pPr>
      <w:bookmarkStart w:id="13" w:name="_Toc434352245"/>
      <w:bookmarkStart w:id="14" w:name="_Toc7440"/>
      <w:bookmarkStart w:id="15" w:name="_Toc7276"/>
      <w:r>
        <w:rPr>
          <w:rFonts w:hint="eastAsia"/>
          <w:color w:val="auto"/>
          <w:sz w:val="30"/>
          <w:szCs w:val="30"/>
          <w:highlight w:val="none"/>
        </w:rPr>
        <w:t>1.4</w:t>
      </w:r>
      <w:bookmarkEnd w:id="13"/>
      <w:r>
        <w:rPr>
          <w:rFonts w:hint="eastAsia"/>
          <w:color w:val="auto"/>
          <w:sz w:val="30"/>
          <w:szCs w:val="30"/>
          <w:highlight w:val="none"/>
        </w:rPr>
        <w:t>关注的主要环境问题及环境影响</w:t>
      </w:r>
      <w:bookmarkEnd w:id="14"/>
      <w:bookmarkEnd w:id="15"/>
    </w:p>
    <w:p w14:paraId="6130BAAE">
      <w:pPr>
        <w:pStyle w:val="5"/>
        <w:pageBreakBefore w:val="0"/>
        <w:kinsoku/>
        <w:wordWrap/>
        <w:overflowPunct/>
        <w:bidi w:val="0"/>
        <w:rPr>
          <w:rFonts w:hint="eastAsia" w:ascii="黑体" w:hAnsi="黑体"/>
          <w:color w:val="auto"/>
          <w:sz w:val="28"/>
          <w:szCs w:val="28"/>
          <w:highlight w:val="none"/>
        </w:rPr>
      </w:pPr>
      <w:r>
        <w:rPr>
          <w:rFonts w:hint="eastAsia" w:ascii="黑体" w:hAnsi="黑体"/>
          <w:color w:val="auto"/>
          <w:sz w:val="28"/>
          <w:szCs w:val="28"/>
          <w:highlight w:val="none"/>
          <w:lang w:val="en-US" w:eastAsia="zh-CN"/>
        </w:rPr>
        <w:t>1.4</w:t>
      </w:r>
      <w:r>
        <w:rPr>
          <w:rFonts w:hint="eastAsia" w:ascii="黑体" w:hAnsi="黑体"/>
          <w:color w:val="auto"/>
          <w:sz w:val="28"/>
          <w:szCs w:val="28"/>
          <w:highlight w:val="none"/>
        </w:rPr>
        <w:t>.1评价区现状环境问题或制约因素</w:t>
      </w:r>
    </w:p>
    <w:p w14:paraId="3AFCB8C2">
      <w:pPr>
        <w:pStyle w:val="34"/>
        <w:pageBreakBefore w:val="0"/>
        <w:kinsoku/>
        <w:wordWrap/>
        <w:overflowPunct/>
        <w:bidi w:val="0"/>
        <w:spacing w:after="0"/>
        <w:ind w:firstLine="480" w:firstLineChars="200"/>
        <w:rPr>
          <w:rFonts w:hint="eastAsia"/>
          <w:color w:val="auto"/>
          <w:szCs w:val="22"/>
          <w:highlight w:val="none"/>
          <w:lang w:eastAsia="zh-CN"/>
        </w:rPr>
      </w:pPr>
      <w:r>
        <w:rPr>
          <w:rFonts w:hint="eastAsia"/>
          <w:color w:val="auto"/>
          <w:szCs w:val="22"/>
          <w:highlight w:val="none"/>
          <w:lang w:val="en-US" w:eastAsia="zh-CN"/>
        </w:rPr>
        <w:t>重点</w:t>
      </w:r>
      <w:r>
        <w:rPr>
          <w:rFonts w:hint="eastAsia"/>
          <w:color w:val="auto"/>
          <w:szCs w:val="22"/>
          <w:highlight w:val="none"/>
          <w:lang w:eastAsia="zh-CN"/>
        </w:rPr>
        <w:t>关注</w:t>
      </w:r>
      <w:r>
        <w:rPr>
          <w:rFonts w:hint="eastAsia"/>
          <w:color w:val="auto"/>
          <w:szCs w:val="22"/>
          <w:highlight w:val="none"/>
          <w:lang w:val="en-US" w:eastAsia="zh-CN"/>
        </w:rPr>
        <w:t>项目所在区域现有</w:t>
      </w:r>
      <w:r>
        <w:rPr>
          <w:rFonts w:hint="eastAsia"/>
          <w:color w:val="auto"/>
          <w:szCs w:val="22"/>
          <w:highlight w:val="none"/>
          <w:lang w:eastAsia="zh-CN"/>
        </w:rPr>
        <w:t>的荒漠植被破坏</w:t>
      </w:r>
      <w:r>
        <w:rPr>
          <w:rFonts w:hint="eastAsia"/>
          <w:color w:val="auto"/>
          <w:szCs w:val="22"/>
          <w:highlight w:val="none"/>
          <w:lang w:val="en-US" w:eastAsia="zh-CN"/>
        </w:rPr>
        <w:t>、</w:t>
      </w:r>
      <w:r>
        <w:rPr>
          <w:rFonts w:hint="eastAsia"/>
          <w:color w:val="auto"/>
          <w:szCs w:val="22"/>
          <w:highlight w:val="none"/>
          <w:lang w:eastAsia="zh-CN"/>
        </w:rPr>
        <w:t>土壤盐渍化、风沙危害、农田污染</w:t>
      </w:r>
      <w:r>
        <w:rPr>
          <w:rFonts w:hint="eastAsia"/>
          <w:color w:val="auto"/>
          <w:szCs w:val="22"/>
          <w:highlight w:val="none"/>
          <w:lang w:val="en-US" w:eastAsia="zh-CN"/>
        </w:rPr>
        <w:t>等生态</w:t>
      </w:r>
      <w:r>
        <w:rPr>
          <w:rFonts w:hint="eastAsia"/>
          <w:color w:val="auto"/>
          <w:szCs w:val="22"/>
          <w:highlight w:val="none"/>
          <w:lang w:eastAsia="zh-CN"/>
        </w:rPr>
        <w:t>环境问题。</w:t>
      </w:r>
    </w:p>
    <w:p w14:paraId="13A2BA16">
      <w:pPr>
        <w:pStyle w:val="5"/>
        <w:pageBreakBefore w:val="0"/>
        <w:kinsoku/>
        <w:wordWrap/>
        <w:overflowPunct/>
        <w:bidi w:val="0"/>
        <w:rPr>
          <w:rFonts w:hint="eastAsia" w:ascii="黑体" w:hAnsi="黑体"/>
          <w:color w:val="auto"/>
          <w:sz w:val="28"/>
          <w:szCs w:val="28"/>
          <w:highlight w:val="none"/>
        </w:rPr>
      </w:pPr>
      <w:r>
        <w:rPr>
          <w:rFonts w:hint="eastAsia" w:ascii="黑体" w:hAnsi="黑体"/>
          <w:color w:val="auto"/>
          <w:sz w:val="28"/>
          <w:szCs w:val="28"/>
          <w:highlight w:val="none"/>
          <w:lang w:val="en-US" w:eastAsia="zh-CN"/>
        </w:rPr>
        <w:t>1.4</w:t>
      </w:r>
      <w:r>
        <w:rPr>
          <w:rFonts w:hint="eastAsia" w:ascii="黑体" w:hAnsi="黑体"/>
          <w:color w:val="auto"/>
          <w:sz w:val="28"/>
          <w:szCs w:val="28"/>
          <w:highlight w:val="none"/>
        </w:rPr>
        <w:t>.</w:t>
      </w:r>
      <w:r>
        <w:rPr>
          <w:rFonts w:hint="eastAsia" w:ascii="黑体" w:hAnsi="黑体"/>
          <w:color w:val="auto"/>
          <w:sz w:val="28"/>
          <w:szCs w:val="28"/>
          <w:highlight w:val="none"/>
          <w:lang w:val="en-US" w:eastAsia="zh-CN"/>
        </w:rPr>
        <w:t>2</w:t>
      </w:r>
      <w:r>
        <w:rPr>
          <w:rFonts w:hint="eastAsia" w:ascii="黑体" w:hAnsi="黑体"/>
          <w:color w:val="auto"/>
          <w:sz w:val="28"/>
          <w:szCs w:val="28"/>
          <w:highlight w:val="none"/>
        </w:rPr>
        <w:t>项目实施的主要环境影响</w:t>
      </w:r>
    </w:p>
    <w:p w14:paraId="4D5D8BCB">
      <w:pPr>
        <w:pStyle w:val="34"/>
        <w:pageBreakBefore w:val="0"/>
        <w:kinsoku/>
        <w:wordWrap/>
        <w:overflowPunct/>
        <w:bidi w:val="0"/>
        <w:spacing w:after="0"/>
        <w:ind w:firstLine="480" w:firstLineChars="200"/>
        <w:rPr>
          <w:rFonts w:hint="eastAsia"/>
          <w:color w:val="auto"/>
          <w:szCs w:val="22"/>
          <w:highlight w:val="none"/>
          <w:lang w:eastAsia="zh-CN"/>
        </w:rPr>
      </w:pPr>
      <w:r>
        <w:rPr>
          <w:rFonts w:hint="eastAsia"/>
          <w:color w:val="auto"/>
          <w:szCs w:val="22"/>
          <w:highlight w:val="none"/>
          <w:lang w:eastAsia="zh-CN"/>
        </w:rPr>
        <w:t>（1）噪声影响：</w:t>
      </w:r>
      <w:r>
        <w:rPr>
          <w:rFonts w:hint="eastAsia"/>
          <w:color w:val="auto"/>
          <w:szCs w:val="22"/>
          <w:highlight w:val="none"/>
          <w:lang w:val="en-US" w:eastAsia="zh-CN"/>
        </w:rPr>
        <w:t>关注</w:t>
      </w:r>
      <w:r>
        <w:rPr>
          <w:rFonts w:hint="eastAsia"/>
          <w:color w:val="auto"/>
          <w:szCs w:val="22"/>
          <w:highlight w:val="none"/>
          <w:lang w:eastAsia="zh-CN"/>
        </w:rPr>
        <w:t>评价范围</w:t>
      </w:r>
      <w:r>
        <w:rPr>
          <w:rFonts w:hint="eastAsia"/>
          <w:color w:val="auto"/>
          <w:szCs w:val="22"/>
          <w:highlight w:val="none"/>
          <w:lang w:val="en-US" w:eastAsia="zh-CN"/>
        </w:rPr>
        <w:t>内航空器噪声对</w:t>
      </w:r>
      <w:r>
        <w:rPr>
          <w:rFonts w:hint="eastAsia"/>
          <w:color w:val="auto"/>
          <w:szCs w:val="22"/>
          <w:highlight w:val="none"/>
          <w:lang w:eastAsia="zh-CN"/>
        </w:rPr>
        <w:t>居民点</w:t>
      </w:r>
      <w:r>
        <w:rPr>
          <w:rFonts w:hint="eastAsia"/>
          <w:color w:val="auto"/>
          <w:szCs w:val="22"/>
          <w:highlight w:val="none"/>
          <w:lang w:val="en-US" w:eastAsia="zh-CN"/>
        </w:rPr>
        <w:t>声环境</w:t>
      </w:r>
      <w:r>
        <w:rPr>
          <w:rFonts w:hint="eastAsia"/>
          <w:color w:val="auto"/>
          <w:szCs w:val="22"/>
          <w:highlight w:val="none"/>
          <w:lang w:eastAsia="zh-CN"/>
        </w:rPr>
        <w:t>的</w:t>
      </w:r>
      <w:r>
        <w:rPr>
          <w:rFonts w:hint="eastAsia"/>
          <w:color w:val="auto"/>
          <w:szCs w:val="22"/>
          <w:highlight w:val="none"/>
          <w:lang w:val="en-US" w:eastAsia="zh-CN"/>
        </w:rPr>
        <w:t>影响，以</w:t>
      </w:r>
      <w:r>
        <w:rPr>
          <w:rFonts w:hint="eastAsia"/>
          <w:color w:val="auto"/>
          <w:szCs w:val="22"/>
          <w:highlight w:val="none"/>
          <w:lang w:eastAsia="zh-CN"/>
        </w:rPr>
        <w:t>及相应的</w:t>
      </w:r>
      <w:r>
        <w:rPr>
          <w:rFonts w:hint="eastAsia"/>
          <w:color w:val="auto"/>
          <w:szCs w:val="22"/>
          <w:highlight w:val="none"/>
          <w:lang w:val="en-US" w:eastAsia="zh-CN"/>
        </w:rPr>
        <w:t>噪声</w:t>
      </w:r>
      <w:r>
        <w:rPr>
          <w:rFonts w:hint="eastAsia"/>
          <w:color w:val="auto"/>
          <w:szCs w:val="22"/>
          <w:highlight w:val="none"/>
          <w:lang w:eastAsia="zh-CN"/>
        </w:rPr>
        <w:t>污染防治措施；</w:t>
      </w:r>
    </w:p>
    <w:p w14:paraId="67701687">
      <w:pPr>
        <w:pStyle w:val="34"/>
        <w:pageBreakBefore w:val="0"/>
        <w:kinsoku/>
        <w:wordWrap/>
        <w:overflowPunct/>
        <w:bidi w:val="0"/>
        <w:spacing w:after="0"/>
        <w:ind w:firstLine="480" w:firstLineChars="200"/>
        <w:rPr>
          <w:rFonts w:hint="eastAsia"/>
          <w:color w:val="auto"/>
          <w:szCs w:val="22"/>
          <w:highlight w:val="none"/>
          <w:lang w:eastAsia="zh-CN"/>
        </w:rPr>
      </w:pPr>
      <w:r>
        <w:rPr>
          <w:rFonts w:hint="eastAsia"/>
          <w:color w:val="auto"/>
          <w:szCs w:val="22"/>
          <w:highlight w:val="none"/>
          <w:lang w:eastAsia="zh-CN"/>
        </w:rPr>
        <w:t>（2）大气影响：本项目设置两辆罐式加油车供油，</w:t>
      </w:r>
      <w:r>
        <w:rPr>
          <w:rFonts w:hint="eastAsia"/>
          <w:color w:val="auto"/>
          <w:szCs w:val="22"/>
          <w:highlight w:val="none"/>
          <w:lang w:val="en-US" w:eastAsia="zh-CN"/>
        </w:rPr>
        <w:t>关注</w:t>
      </w:r>
      <w:r>
        <w:rPr>
          <w:rFonts w:hint="eastAsia"/>
          <w:color w:val="auto"/>
          <w:szCs w:val="22"/>
          <w:highlight w:val="none"/>
          <w:lang w:eastAsia="zh-CN"/>
        </w:rPr>
        <w:t>运营期飞机尾气、</w:t>
      </w:r>
      <w:r>
        <w:rPr>
          <w:rFonts w:hint="eastAsia"/>
          <w:color w:val="auto"/>
          <w:szCs w:val="22"/>
          <w:highlight w:val="none"/>
          <w:lang w:val="en-US" w:eastAsia="zh-CN"/>
        </w:rPr>
        <w:t>加油车无组织</w:t>
      </w:r>
      <w:r>
        <w:rPr>
          <w:rFonts w:hint="eastAsia"/>
          <w:color w:val="auto"/>
          <w:szCs w:val="22"/>
          <w:highlight w:val="none"/>
          <w:lang w:eastAsia="zh-CN"/>
        </w:rPr>
        <w:t>废气等对周围大气环境的影响；</w:t>
      </w:r>
    </w:p>
    <w:p w14:paraId="199DF451">
      <w:pPr>
        <w:pStyle w:val="34"/>
        <w:pageBreakBefore w:val="0"/>
        <w:kinsoku/>
        <w:wordWrap/>
        <w:overflowPunct/>
        <w:bidi w:val="0"/>
        <w:spacing w:after="0"/>
        <w:ind w:firstLine="480" w:firstLineChars="200"/>
        <w:rPr>
          <w:rFonts w:hint="eastAsia"/>
          <w:color w:val="auto"/>
          <w:szCs w:val="22"/>
          <w:highlight w:val="none"/>
          <w:lang w:eastAsia="zh-CN"/>
        </w:rPr>
      </w:pPr>
      <w:r>
        <w:rPr>
          <w:rFonts w:hint="eastAsia"/>
          <w:color w:val="auto"/>
          <w:szCs w:val="22"/>
          <w:highlight w:val="none"/>
          <w:lang w:eastAsia="zh-CN"/>
        </w:rPr>
        <w:t>（3）生态影响：</w:t>
      </w:r>
      <w:r>
        <w:rPr>
          <w:rFonts w:hint="eastAsia"/>
          <w:color w:val="auto"/>
          <w:szCs w:val="22"/>
          <w:highlight w:val="none"/>
          <w:lang w:val="en-US" w:eastAsia="zh-CN"/>
        </w:rPr>
        <w:t>关注</w:t>
      </w:r>
      <w:r>
        <w:rPr>
          <w:rFonts w:hint="eastAsia"/>
          <w:color w:val="auto"/>
          <w:szCs w:val="22"/>
          <w:highlight w:val="none"/>
          <w:lang w:eastAsia="zh-CN"/>
        </w:rPr>
        <w:t>施工期占地等对周边生态环境的影响，</w:t>
      </w:r>
      <w:r>
        <w:rPr>
          <w:rFonts w:hint="eastAsia"/>
          <w:color w:val="auto"/>
          <w:szCs w:val="22"/>
          <w:highlight w:val="none"/>
          <w:lang w:val="en-US" w:eastAsia="zh-CN"/>
        </w:rPr>
        <w:t>以及</w:t>
      </w:r>
      <w:r>
        <w:rPr>
          <w:rFonts w:hint="eastAsia"/>
          <w:color w:val="auto"/>
          <w:szCs w:val="22"/>
          <w:highlight w:val="none"/>
          <w:lang w:eastAsia="zh-CN"/>
        </w:rPr>
        <w:t>机场运营对生态的影响因素、影响方式和影响程度，重点关注航空器飞行航线对重要物种中的候鸟迁徙的影响，以及航空器噪声、灯光等对</w:t>
      </w:r>
      <w:r>
        <w:rPr>
          <w:rFonts w:hint="eastAsia"/>
          <w:color w:val="auto"/>
          <w:szCs w:val="22"/>
          <w:highlight w:val="none"/>
          <w:lang w:val="en-US" w:eastAsia="zh-CN"/>
        </w:rPr>
        <w:t>评价区域内</w:t>
      </w:r>
      <w:r>
        <w:rPr>
          <w:rFonts w:hint="eastAsia"/>
          <w:color w:val="auto"/>
          <w:szCs w:val="22"/>
          <w:highlight w:val="none"/>
          <w:lang w:eastAsia="zh-CN"/>
        </w:rPr>
        <w:t>重要物种的影响。</w:t>
      </w:r>
    </w:p>
    <w:p w14:paraId="36BC4E7F">
      <w:pPr>
        <w:pStyle w:val="34"/>
        <w:pageBreakBefore w:val="0"/>
        <w:kinsoku/>
        <w:wordWrap/>
        <w:overflowPunct/>
        <w:bidi w:val="0"/>
        <w:spacing w:after="0"/>
        <w:ind w:firstLine="480" w:firstLineChars="200"/>
        <w:rPr>
          <w:rFonts w:hint="eastAsia"/>
          <w:color w:val="auto"/>
          <w:szCs w:val="22"/>
          <w:highlight w:val="none"/>
          <w:lang w:eastAsia="zh-CN"/>
        </w:rPr>
      </w:pPr>
      <w:r>
        <w:rPr>
          <w:rFonts w:hint="eastAsia"/>
          <w:color w:val="auto"/>
          <w:szCs w:val="22"/>
          <w:highlight w:val="none"/>
          <w:lang w:eastAsia="zh-CN"/>
        </w:rPr>
        <w:t>（4）环境风险：</w:t>
      </w:r>
      <w:r>
        <w:rPr>
          <w:rFonts w:hint="eastAsia"/>
          <w:color w:val="auto"/>
          <w:szCs w:val="22"/>
          <w:highlight w:val="none"/>
          <w:lang w:val="en-US" w:eastAsia="zh-CN"/>
        </w:rPr>
        <w:t>关注机场航空煤油等风险物质的存放、</w:t>
      </w:r>
      <w:r>
        <w:rPr>
          <w:rFonts w:hint="eastAsia"/>
          <w:color w:val="auto"/>
          <w:szCs w:val="22"/>
          <w:highlight w:val="none"/>
          <w:lang w:eastAsia="zh-CN"/>
        </w:rPr>
        <w:t>可能发生的油类物质泄漏、火灾及爆炸风险</w:t>
      </w:r>
      <w:r>
        <w:rPr>
          <w:rFonts w:hint="eastAsia"/>
          <w:color w:val="auto"/>
          <w:szCs w:val="22"/>
          <w:highlight w:val="none"/>
          <w:lang w:val="en-US" w:eastAsia="zh-CN"/>
        </w:rPr>
        <w:t>等环境风险事故</w:t>
      </w:r>
      <w:r>
        <w:rPr>
          <w:rFonts w:hint="eastAsia"/>
          <w:color w:val="auto"/>
          <w:szCs w:val="22"/>
          <w:highlight w:val="none"/>
          <w:lang w:eastAsia="zh-CN"/>
        </w:rPr>
        <w:t>，</w:t>
      </w:r>
      <w:r>
        <w:rPr>
          <w:rFonts w:hint="eastAsia"/>
          <w:color w:val="auto"/>
          <w:szCs w:val="22"/>
          <w:highlight w:val="none"/>
          <w:lang w:val="en-US" w:eastAsia="zh-CN"/>
        </w:rPr>
        <w:t>及非正常工况下对项目周边</w:t>
      </w:r>
      <w:r>
        <w:rPr>
          <w:rFonts w:hint="eastAsia"/>
          <w:color w:val="auto"/>
          <w:szCs w:val="22"/>
          <w:highlight w:val="none"/>
          <w:lang w:eastAsia="zh-CN"/>
        </w:rPr>
        <w:t>环境空气、土壤、水环境</w:t>
      </w:r>
      <w:r>
        <w:rPr>
          <w:rFonts w:hint="eastAsia"/>
          <w:color w:val="auto"/>
          <w:szCs w:val="22"/>
          <w:highlight w:val="none"/>
          <w:lang w:val="en-US" w:eastAsia="zh-CN"/>
        </w:rPr>
        <w:t>等产生的影响</w:t>
      </w:r>
      <w:r>
        <w:rPr>
          <w:rFonts w:hint="eastAsia"/>
          <w:color w:val="auto"/>
          <w:szCs w:val="22"/>
          <w:highlight w:val="none"/>
          <w:lang w:eastAsia="zh-CN"/>
        </w:rPr>
        <w:t>。</w:t>
      </w:r>
    </w:p>
    <w:p w14:paraId="67746DCB">
      <w:pPr>
        <w:pStyle w:val="4"/>
        <w:pageBreakBefore w:val="0"/>
        <w:kinsoku/>
        <w:wordWrap/>
        <w:overflowPunct/>
        <w:bidi w:val="0"/>
        <w:rPr>
          <w:rFonts w:hint="eastAsia"/>
          <w:color w:val="auto"/>
          <w:sz w:val="30"/>
          <w:szCs w:val="30"/>
          <w:highlight w:val="none"/>
        </w:rPr>
      </w:pPr>
      <w:bookmarkStart w:id="16" w:name="_Toc31160"/>
      <w:bookmarkStart w:id="17" w:name="_Toc24674"/>
      <w:bookmarkStart w:id="18" w:name="_Toc434352246"/>
      <w:r>
        <w:rPr>
          <w:rFonts w:hint="eastAsia"/>
          <w:color w:val="auto"/>
          <w:sz w:val="30"/>
          <w:szCs w:val="30"/>
          <w:highlight w:val="none"/>
        </w:rPr>
        <w:t>1.5环境影响评价的主要结论</w:t>
      </w:r>
      <w:bookmarkEnd w:id="16"/>
      <w:bookmarkEnd w:id="17"/>
      <w:bookmarkEnd w:id="18"/>
    </w:p>
    <w:p w14:paraId="16323F51">
      <w:pPr>
        <w:pageBreakBefore w:val="0"/>
        <w:kinsoku/>
        <w:wordWrap/>
        <w:overflowPunct/>
        <w:bidi w:val="0"/>
        <w:ind w:firstLine="480" w:firstLineChars="200"/>
        <w:rPr>
          <w:rFonts w:hint="default" w:eastAsia="宋体"/>
          <w:color w:val="auto"/>
          <w:kern w:val="21"/>
          <w:sz w:val="24"/>
          <w:szCs w:val="22"/>
          <w:highlight w:val="none"/>
          <w:lang w:val="en-US" w:eastAsia="zh-CN"/>
        </w:rPr>
      </w:pPr>
      <w:r>
        <w:rPr>
          <w:rFonts w:hint="eastAsia"/>
          <w:color w:val="auto"/>
          <w:kern w:val="21"/>
          <w:sz w:val="24"/>
          <w:szCs w:val="22"/>
          <w:highlight w:val="none"/>
          <w:lang w:eastAsia="zh-CN"/>
        </w:rPr>
        <w:t>本项目</w:t>
      </w:r>
      <w:r>
        <w:rPr>
          <w:rFonts w:hint="eastAsia"/>
          <w:color w:val="auto"/>
          <w:kern w:val="21"/>
          <w:sz w:val="24"/>
          <w:szCs w:val="22"/>
          <w:highlight w:val="none"/>
        </w:rPr>
        <w:t>属于国家产业政策</w:t>
      </w:r>
      <w:r>
        <w:rPr>
          <w:rFonts w:hint="eastAsia"/>
          <w:color w:val="auto"/>
          <w:kern w:val="21"/>
          <w:sz w:val="24"/>
          <w:szCs w:val="22"/>
          <w:highlight w:val="none"/>
          <w:lang w:eastAsia="zh-CN"/>
        </w:rPr>
        <w:t>“</w:t>
      </w:r>
      <w:r>
        <w:rPr>
          <w:rFonts w:hint="eastAsia"/>
          <w:color w:val="auto"/>
          <w:kern w:val="21"/>
          <w:sz w:val="24"/>
          <w:szCs w:val="22"/>
          <w:highlight w:val="none"/>
        </w:rPr>
        <w:t>鼓励类</w:t>
      </w:r>
      <w:r>
        <w:rPr>
          <w:rFonts w:hint="eastAsia"/>
          <w:color w:val="auto"/>
          <w:kern w:val="21"/>
          <w:sz w:val="24"/>
          <w:szCs w:val="22"/>
          <w:highlight w:val="none"/>
          <w:lang w:eastAsia="zh-CN"/>
        </w:rPr>
        <w:t>”</w:t>
      </w:r>
      <w:r>
        <w:rPr>
          <w:rFonts w:hint="eastAsia"/>
          <w:color w:val="auto"/>
          <w:kern w:val="21"/>
          <w:sz w:val="24"/>
          <w:szCs w:val="22"/>
          <w:highlight w:val="none"/>
        </w:rPr>
        <w:t>项目，符合国家和地方有关法律法规、标准、政策、规范、国土空间规划等相关规划、生态环境分区管控</w:t>
      </w:r>
      <w:r>
        <w:rPr>
          <w:rFonts w:hint="eastAsia"/>
          <w:color w:val="auto"/>
          <w:kern w:val="21"/>
          <w:sz w:val="24"/>
          <w:szCs w:val="22"/>
          <w:highlight w:val="none"/>
          <w:lang w:val="en-US" w:eastAsia="zh-CN"/>
        </w:rPr>
        <w:t>相关</w:t>
      </w:r>
      <w:r>
        <w:rPr>
          <w:rFonts w:hint="eastAsia"/>
          <w:color w:val="auto"/>
          <w:kern w:val="21"/>
          <w:sz w:val="24"/>
          <w:szCs w:val="22"/>
          <w:highlight w:val="none"/>
        </w:rPr>
        <w:t>要求，</w:t>
      </w:r>
      <w:r>
        <w:rPr>
          <w:rFonts w:hint="eastAsia"/>
          <w:color w:val="auto"/>
          <w:kern w:val="21"/>
          <w:sz w:val="24"/>
          <w:szCs w:val="22"/>
          <w:highlight w:val="none"/>
          <w:lang w:val="en-US" w:eastAsia="zh-CN"/>
        </w:rPr>
        <w:t>项目</w:t>
      </w:r>
      <w:r>
        <w:rPr>
          <w:rFonts w:hint="eastAsia"/>
          <w:color w:val="auto"/>
          <w:kern w:val="21"/>
          <w:sz w:val="24"/>
          <w:szCs w:val="22"/>
          <w:highlight w:val="none"/>
        </w:rPr>
        <w:t>所在区域不涉及法定生态保护区域、重要生境以及其他具有重要生态功能、对保护生物多样性具有重要意义的区域，无重大环境制约因素</w:t>
      </w:r>
      <w:r>
        <w:rPr>
          <w:rFonts w:hint="eastAsia"/>
          <w:color w:val="auto"/>
          <w:kern w:val="21"/>
          <w:sz w:val="24"/>
          <w:szCs w:val="22"/>
          <w:highlight w:val="none"/>
          <w:lang w:eastAsia="zh-CN"/>
        </w:rPr>
        <w:t>，</w:t>
      </w:r>
      <w:r>
        <w:rPr>
          <w:rFonts w:hint="eastAsia"/>
          <w:color w:val="auto"/>
          <w:kern w:val="21"/>
          <w:sz w:val="24"/>
          <w:szCs w:val="22"/>
          <w:highlight w:val="none"/>
        </w:rPr>
        <w:t>公示期间均未收到</w:t>
      </w:r>
      <w:r>
        <w:rPr>
          <w:rFonts w:hint="eastAsia"/>
          <w:color w:val="auto"/>
          <w:kern w:val="21"/>
          <w:sz w:val="24"/>
          <w:szCs w:val="22"/>
          <w:highlight w:val="none"/>
          <w:lang w:val="en-US" w:eastAsia="zh-CN"/>
        </w:rPr>
        <w:t>公众</w:t>
      </w:r>
      <w:r>
        <w:rPr>
          <w:rFonts w:hint="eastAsia"/>
          <w:color w:val="auto"/>
          <w:kern w:val="21"/>
          <w:sz w:val="24"/>
          <w:szCs w:val="22"/>
          <w:highlight w:val="none"/>
        </w:rPr>
        <w:t>反馈意见</w:t>
      </w:r>
      <w:r>
        <w:rPr>
          <w:rFonts w:hint="eastAsia"/>
          <w:color w:val="auto"/>
          <w:kern w:val="21"/>
          <w:sz w:val="24"/>
          <w:szCs w:val="22"/>
          <w:highlight w:val="none"/>
          <w:lang w:val="en-US" w:eastAsia="zh-CN"/>
        </w:rPr>
        <w:t>。</w:t>
      </w:r>
    </w:p>
    <w:p w14:paraId="44D49849">
      <w:pPr>
        <w:pageBreakBefore w:val="0"/>
        <w:kinsoku/>
        <w:wordWrap/>
        <w:overflowPunct/>
        <w:bidi w:val="0"/>
        <w:ind w:firstLine="480" w:firstLineChars="200"/>
        <w:rPr>
          <w:color w:val="auto"/>
          <w:highlight w:val="none"/>
        </w:rPr>
      </w:pPr>
      <w:r>
        <w:rPr>
          <w:rFonts w:hint="eastAsia"/>
          <w:color w:val="auto"/>
          <w:kern w:val="21"/>
          <w:sz w:val="24"/>
          <w:szCs w:val="22"/>
          <w:highlight w:val="none"/>
        </w:rPr>
        <w:t>评价认为：</w:t>
      </w:r>
      <w:r>
        <w:rPr>
          <w:rFonts w:hint="eastAsia"/>
          <w:color w:val="auto"/>
          <w:kern w:val="21"/>
          <w:sz w:val="24"/>
          <w:szCs w:val="22"/>
          <w:highlight w:val="none"/>
          <w:lang w:eastAsia="zh-CN"/>
        </w:rPr>
        <w:t>本项目</w:t>
      </w:r>
      <w:r>
        <w:rPr>
          <w:rFonts w:hint="eastAsia"/>
          <w:color w:val="auto"/>
          <w:kern w:val="21"/>
          <w:sz w:val="24"/>
          <w:szCs w:val="22"/>
          <w:highlight w:val="none"/>
        </w:rPr>
        <w:t>符合国家产业政策和新疆经济发展规划，符合生态环境分区管控要求。只要在建设和运营过程中认真落实各项污染防治措施、生态</w:t>
      </w:r>
      <w:r>
        <w:rPr>
          <w:rFonts w:hint="eastAsia"/>
          <w:color w:val="auto"/>
          <w:kern w:val="21"/>
          <w:sz w:val="24"/>
          <w:szCs w:val="22"/>
          <w:highlight w:val="none"/>
          <w:lang w:val="en-US" w:eastAsia="zh-CN"/>
        </w:rPr>
        <w:t>保护</w:t>
      </w:r>
      <w:r>
        <w:rPr>
          <w:rFonts w:hint="eastAsia"/>
          <w:color w:val="auto"/>
          <w:kern w:val="21"/>
          <w:sz w:val="24"/>
          <w:szCs w:val="22"/>
          <w:highlight w:val="none"/>
        </w:rPr>
        <w:t>措施、风险防范措施及应急措施，各项环保措施使得污染物能够稳定达标排放，固体废物和废水</w:t>
      </w:r>
      <w:r>
        <w:rPr>
          <w:rFonts w:hint="eastAsia"/>
          <w:color w:val="auto"/>
          <w:kern w:val="21"/>
          <w:sz w:val="24"/>
          <w:szCs w:val="22"/>
          <w:highlight w:val="none"/>
          <w:lang w:val="en-US" w:eastAsia="zh-CN"/>
        </w:rPr>
        <w:t>合规</w:t>
      </w:r>
      <w:r>
        <w:rPr>
          <w:rFonts w:hint="eastAsia"/>
          <w:color w:val="auto"/>
          <w:kern w:val="21"/>
          <w:sz w:val="24"/>
          <w:szCs w:val="22"/>
          <w:highlight w:val="none"/>
        </w:rPr>
        <w:t>处置，噪声影响、环境风险可以接受，在严格执行“三同时”制度，并落实本报告书提出的各项环保措施的前提下，从生态环境影响的角度，</w:t>
      </w:r>
      <w:r>
        <w:rPr>
          <w:rFonts w:hint="eastAsia"/>
          <w:color w:val="auto"/>
          <w:kern w:val="21"/>
          <w:sz w:val="24"/>
          <w:szCs w:val="22"/>
          <w:highlight w:val="none"/>
          <w:lang w:eastAsia="zh-CN"/>
        </w:rPr>
        <w:t>本项目</w:t>
      </w:r>
      <w:r>
        <w:rPr>
          <w:rFonts w:hint="eastAsia"/>
          <w:color w:val="auto"/>
          <w:kern w:val="21"/>
          <w:sz w:val="24"/>
          <w:szCs w:val="22"/>
          <w:highlight w:val="none"/>
        </w:rPr>
        <w:t>建设是可行的</w:t>
      </w:r>
      <w:r>
        <w:rPr>
          <w:rFonts w:hint="eastAsia"/>
          <w:color w:val="auto"/>
          <w:kern w:val="21"/>
          <w:sz w:val="24"/>
          <w:szCs w:val="22"/>
          <w:highlight w:val="none"/>
          <w:lang w:eastAsia="zh-CN"/>
        </w:rPr>
        <w:t>。</w:t>
      </w:r>
    </w:p>
    <w:p w14:paraId="2CC3C934">
      <w:pPr>
        <w:pageBreakBefore w:val="0"/>
        <w:kinsoku/>
        <w:wordWrap/>
        <w:overflowPunct/>
        <w:bidi w:val="0"/>
        <w:ind w:firstLine="480" w:firstLineChars="200"/>
        <w:rPr>
          <w:color w:val="auto"/>
          <w:highlight w:val="none"/>
        </w:rPr>
        <w:sectPr>
          <w:headerReference r:id="rId7" w:type="default"/>
          <w:footerReference r:id="rId8" w:type="default"/>
          <w:pgSz w:w="11906" w:h="16838"/>
          <w:pgMar w:top="1474" w:right="1474" w:bottom="1474" w:left="1814" w:header="851" w:footer="992" w:gutter="0"/>
          <w:pgNumType w:fmt="decimal" w:start="1"/>
          <w:cols w:space="425" w:num="1"/>
          <w:docGrid w:linePitch="312" w:charSpace="0"/>
        </w:sectPr>
      </w:pPr>
    </w:p>
    <w:p w14:paraId="60496CA6">
      <w:pPr>
        <w:keepNext/>
        <w:keepLines/>
        <w:pageBreakBefore w:val="0"/>
        <w:widowControl w:val="0"/>
        <w:numPr>
          <w:ilvl w:val="0"/>
          <w:numId w:val="10"/>
        </w:numPr>
        <w:kinsoku/>
        <w:overflowPunct/>
        <w:bidi w:val="0"/>
        <w:spacing w:before="0" w:after="0" w:line="360" w:lineRule="auto"/>
        <w:ind w:left="425" w:hanging="425"/>
        <w:jc w:val="both"/>
        <w:outlineLvl w:val="0"/>
        <w:rPr>
          <w:rFonts w:ascii="Times New Roman" w:hAnsi="Times New Roman" w:eastAsia="黑体" w:cs="Times New Roman"/>
          <w:b w:val="0"/>
          <w:bCs w:val="0"/>
          <w:color w:val="auto"/>
          <w:kern w:val="44"/>
          <w:sz w:val="44"/>
          <w:szCs w:val="44"/>
          <w:highlight w:val="none"/>
          <w:lang w:val="en-US" w:eastAsia="zh-CN" w:bidi="ar-SA"/>
        </w:rPr>
      </w:pPr>
      <w:bookmarkStart w:id="19" w:name="_Toc17819"/>
      <w:r>
        <w:rPr>
          <w:rFonts w:hint="eastAsia" w:ascii="Times New Roman" w:hAnsi="Times New Roman" w:eastAsia="黑体" w:cs="Times New Roman"/>
          <w:b w:val="0"/>
          <w:bCs w:val="0"/>
          <w:color w:val="auto"/>
          <w:kern w:val="44"/>
          <w:sz w:val="44"/>
          <w:szCs w:val="44"/>
          <w:highlight w:val="none"/>
          <w:lang w:val="en-US" w:eastAsia="zh-CN" w:bidi="ar-SA"/>
        </w:rPr>
        <w:t>总则</w:t>
      </w:r>
      <w:bookmarkEnd w:id="19"/>
    </w:p>
    <w:p w14:paraId="6DA9A20B">
      <w:pPr>
        <w:pStyle w:val="4"/>
        <w:pageBreakBefore w:val="0"/>
        <w:kinsoku/>
        <w:wordWrap/>
        <w:overflowPunct/>
        <w:bidi w:val="0"/>
        <w:rPr>
          <w:color w:val="auto"/>
          <w:sz w:val="30"/>
          <w:szCs w:val="30"/>
          <w:highlight w:val="none"/>
        </w:rPr>
      </w:pPr>
      <w:bookmarkStart w:id="20" w:name="_Toc133987572"/>
      <w:bookmarkStart w:id="21" w:name="_Toc143925535"/>
      <w:bookmarkStart w:id="22" w:name="_Toc29857"/>
      <w:bookmarkStart w:id="23" w:name="_Toc118368817"/>
      <w:bookmarkStart w:id="24" w:name="_Toc145148596"/>
      <w:bookmarkStart w:id="25" w:name="_Toc240165909"/>
      <w:bookmarkStart w:id="26" w:name="_Toc240083820"/>
      <w:bookmarkStart w:id="27" w:name="_Toc239499247"/>
      <w:bookmarkStart w:id="28" w:name="_Toc142237584"/>
      <w:bookmarkStart w:id="29" w:name="_Toc319045782"/>
      <w:bookmarkStart w:id="30" w:name="_Toc112496126"/>
      <w:bookmarkStart w:id="31" w:name="_Toc142275515"/>
      <w:bookmarkStart w:id="32" w:name="_Toc148165603"/>
      <w:bookmarkStart w:id="33" w:name="_Toc131828131"/>
      <w:bookmarkStart w:id="34" w:name="_Toc434352248"/>
      <w:bookmarkStart w:id="35" w:name="_Toc2574"/>
      <w:bookmarkStart w:id="36" w:name="_Toc239760136"/>
      <w:bookmarkStart w:id="37" w:name="_Toc144648423"/>
      <w:bookmarkStart w:id="38" w:name="_Toc141948801"/>
      <w:bookmarkStart w:id="39" w:name="_Toc316558127"/>
      <w:r>
        <w:rPr>
          <w:rFonts w:hint="eastAsia"/>
          <w:color w:val="auto"/>
          <w:sz w:val="30"/>
          <w:szCs w:val="30"/>
          <w:highlight w:val="none"/>
        </w:rPr>
        <w:t>2.1编制依据</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4ACA18BE">
      <w:pPr>
        <w:pStyle w:val="5"/>
        <w:pageBreakBefore w:val="0"/>
        <w:kinsoku/>
        <w:wordWrap/>
        <w:overflowPunct/>
        <w:bidi w:val="0"/>
        <w:rPr>
          <w:rFonts w:hint="eastAsia" w:ascii="黑体" w:hAnsi="黑体"/>
          <w:color w:val="auto"/>
          <w:sz w:val="28"/>
          <w:szCs w:val="28"/>
          <w:highlight w:val="none"/>
        </w:rPr>
      </w:pPr>
      <w:bookmarkStart w:id="40" w:name="_Toc434352249"/>
      <w:bookmarkStart w:id="41" w:name="_Toc434259898"/>
      <w:bookmarkStart w:id="42" w:name="_Toc418694290"/>
      <w:bookmarkStart w:id="43" w:name="_Toc5015486"/>
      <w:bookmarkStart w:id="44" w:name="_Toc131828132"/>
      <w:bookmarkStart w:id="45" w:name="_Toc418086132"/>
      <w:bookmarkStart w:id="46" w:name="_Toc374032643"/>
      <w:bookmarkStart w:id="47" w:name="_Toc417997027"/>
      <w:bookmarkStart w:id="48" w:name="_Toc5015103"/>
      <w:bookmarkStart w:id="49" w:name="_Toc5076815"/>
      <w:r>
        <w:rPr>
          <w:rFonts w:hint="eastAsia" w:ascii="黑体" w:hAnsi="黑体"/>
          <w:color w:val="auto"/>
          <w:sz w:val="28"/>
          <w:szCs w:val="28"/>
          <w:highlight w:val="none"/>
        </w:rPr>
        <w:t>2.1.1国家及地方</w:t>
      </w:r>
      <w:r>
        <w:rPr>
          <w:rFonts w:hint="eastAsia" w:ascii="黑体" w:hAnsi="黑体"/>
          <w:color w:val="auto"/>
          <w:sz w:val="28"/>
          <w:szCs w:val="28"/>
          <w:highlight w:val="none"/>
          <w:lang w:eastAsia="zh-CN"/>
        </w:rPr>
        <w:t>法律法规</w:t>
      </w:r>
      <w:r>
        <w:rPr>
          <w:rFonts w:hint="eastAsia" w:ascii="黑体" w:hAnsi="黑体"/>
          <w:color w:val="auto"/>
          <w:sz w:val="28"/>
          <w:szCs w:val="28"/>
          <w:highlight w:val="none"/>
        </w:rPr>
        <w:t>、条例、规章</w:t>
      </w:r>
    </w:p>
    <w:p w14:paraId="3A70997D">
      <w:pPr>
        <w:pageBreakBefore w:val="0"/>
        <w:kinsoku/>
        <w:wordWrap/>
        <w:overflowPunct/>
        <w:bidi w:val="0"/>
        <w:ind w:left="0" w:leftChars="0" w:firstLine="0" w:firstLineChars="0"/>
        <w:jc w:val="center"/>
        <w:rPr>
          <w:rFonts w:hint="eastAsia"/>
          <w:color w:val="auto"/>
          <w:highlight w:val="none"/>
          <w:lang w:eastAsia="zh-CN"/>
        </w:rPr>
      </w:pPr>
      <w:r>
        <w:rPr>
          <w:rFonts w:hint="eastAsia" w:ascii="黑体" w:hAnsi="黑体" w:eastAsia="黑体" w:cs="黑体"/>
          <w:color w:val="auto"/>
          <w:sz w:val="21"/>
          <w:szCs w:val="21"/>
          <w:highlight w:val="none"/>
        </w:rPr>
        <w:t>表2.1-1国家和地方法律法规一览表</w:t>
      </w:r>
    </w:p>
    <w:tbl>
      <w:tblPr>
        <w:tblStyle w:val="8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637"/>
        <w:gridCol w:w="2302"/>
        <w:gridCol w:w="1292"/>
      </w:tblGrid>
      <w:tr w14:paraId="10F0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341" w:type="pct"/>
            <w:vAlign w:val="center"/>
          </w:tcPr>
          <w:p w14:paraId="75DD18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序号</w:t>
            </w:r>
          </w:p>
        </w:tc>
        <w:tc>
          <w:tcPr>
            <w:tcW w:w="2624" w:type="pct"/>
            <w:vAlign w:val="center"/>
          </w:tcPr>
          <w:p w14:paraId="418B73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依据名称</w:t>
            </w:r>
          </w:p>
        </w:tc>
        <w:tc>
          <w:tcPr>
            <w:tcW w:w="1302" w:type="pct"/>
            <w:vAlign w:val="center"/>
          </w:tcPr>
          <w:p w14:paraId="352400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会议、主席令、文号</w:t>
            </w:r>
          </w:p>
        </w:tc>
        <w:tc>
          <w:tcPr>
            <w:tcW w:w="731" w:type="pct"/>
            <w:vAlign w:val="center"/>
          </w:tcPr>
          <w:p w14:paraId="17E5A6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实施时间</w:t>
            </w:r>
          </w:p>
        </w:tc>
      </w:tr>
      <w:tr w14:paraId="7FA2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404210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一</w:t>
            </w:r>
          </w:p>
        </w:tc>
        <w:tc>
          <w:tcPr>
            <w:tcW w:w="2624" w:type="pct"/>
            <w:vAlign w:val="center"/>
          </w:tcPr>
          <w:p w14:paraId="6B344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环境保护相关法律</w:t>
            </w:r>
          </w:p>
        </w:tc>
        <w:tc>
          <w:tcPr>
            <w:tcW w:w="1302" w:type="pct"/>
            <w:vAlign w:val="center"/>
          </w:tcPr>
          <w:p w14:paraId="4F9686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p>
        </w:tc>
        <w:tc>
          <w:tcPr>
            <w:tcW w:w="731" w:type="pct"/>
            <w:vAlign w:val="center"/>
          </w:tcPr>
          <w:p w14:paraId="5625EE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p>
        </w:tc>
      </w:tr>
      <w:tr w14:paraId="0278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70D9B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w:t>
            </w:r>
          </w:p>
        </w:tc>
        <w:tc>
          <w:tcPr>
            <w:tcW w:w="2624" w:type="pct"/>
            <w:vAlign w:val="center"/>
          </w:tcPr>
          <w:p w14:paraId="222E2D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eastAsia" w:cs="Times New Roman"/>
                <w:color w:val="auto"/>
                <w:spacing w:val="-6"/>
                <w:kern w:val="0"/>
                <w:sz w:val="21"/>
                <w:szCs w:val="21"/>
                <w:highlight w:val="none"/>
                <w:lang w:eastAsia="zh-CN"/>
              </w:rPr>
              <w:t>《中华人民共和国环境保护法》</w:t>
            </w:r>
            <w:r>
              <w:rPr>
                <w:rFonts w:hint="default" w:ascii="Times New Roman" w:hAnsi="Times New Roman" w:eastAsia="宋体" w:cs="Times New Roman"/>
                <w:color w:val="auto"/>
                <w:spacing w:val="-6"/>
                <w:kern w:val="0"/>
                <w:sz w:val="21"/>
                <w:szCs w:val="21"/>
                <w:highlight w:val="none"/>
              </w:rPr>
              <w:t>（2014年修正）</w:t>
            </w:r>
          </w:p>
        </w:tc>
        <w:tc>
          <w:tcPr>
            <w:tcW w:w="1302" w:type="pct"/>
            <w:vAlign w:val="center"/>
          </w:tcPr>
          <w:p w14:paraId="7D7091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default" w:ascii="Times New Roman" w:hAnsi="Times New Roman" w:eastAsia="宋体" w:cs="Times New Roman"/>
                <w:color w:val="auto"/>
                <w:spacing w:val="-6"/>
                <w:kern w:val="0"/>
                <w:sz w:val="21"/>
                <w:szCs w:val="21"/>
                <w:highlight w:val="none"/>
              </w:rPr>
              <w:t>12届人大第8次会议</w:t>
            </w:r>
          </w:p>
        </w:tc>
        <w:tc>
          <w:tcPr>
            <w:tcW w:w="731" w:type="pct"/>
            <w:vAlign w:val="center"/>
          </w:tcPr>
          <w:p w14:paraId="46D3AE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2015</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75F1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3F2497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w:t>
            </w:r>
          </w:p>
        </w:tc>
        <w:tc>
          <w:tcPr>
            <w:tcW w:w="2624" w:type="pct"/>
            <w:vAlign w:val="center"/>
          </w:tcPr>
          <w:p w14:paraId="661938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eastAsia" w:cs="Times New Roman"/>
                <w:color w:val="auto"/>
                <w:spacing w:val="-17"/>
                <w:kern w:val="0"/>
                <w:sz w:val="21"/>
                <w:szCs w:val="21"/>
                <w:highlight w:val="none"/>
                <w:lang w:eastAsia="zh-CN"/>
              </w:rPr>
              <w:t>《中华人民共和国环境影响评价法》</w:t>
            </w:r>
            <w:r>
              <w:rPr>
                <w:rFonts w:hint="default" w:ascii="Times New Roman" w:hAnsi="Times New Roman" w:eastAsia="宋体" w:cs="Times New Roman"/>
                <w:color w:val="auto"/>
                <w:spacing w:val="-17"/>
                <w:kern w:val="0"/>
                <w:sz w:val="21"/>
                <w:szCs w:val="21"/>
                <w:highlight w:val="none"/>
              </w:rPr>
              <w:t>（2018年修正）</w:t>
            </w:r>
          </w:p>
        </w:tc>
        <w:tc>
          <w:tcPr>
            <w:tcW w:w="1302" w:type="pct"/>
            <w:vAlign w:val="center"/>
          </w:tcPr>
          <w:p w14:paraId="48AC60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default" w:ascii="Times New Roman" w:hAnsi="Times New Roman" w:eastAsia="宋体" w:cs="Times New Roman"/>
                <w:color w:val="auto"/>
                <w:spacing w:val="-6"/>
                <w:kern w:val="0"/>
                <w:sz w:val="21"/>
                <w:szCs w:val="21"/>
                <w:highlight w:val="none"/>
              </w:rPr>
              <w:t>13届人大第7次会议</w:t>
            </w:r>
          </w:p>
        </w:tc>
        <w:tc>
          <w:tcPr>
            <w:tcW w:w="731" w:type="pct"/>
            <w:vAlign w:val="center"/>
          </w:tcPr>
          <w:p w14:paraId="178960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2018</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12</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29</w:t>
            </w:r>
          </w:p>
        </w:tc>
      </w:tr>
      <w:tr w14:paraId="0E1E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1C000C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w:t>
            </w:r>
          </w:p>
        </w:tc>
        <w:tc>
          <w:tcPr>
            <w:tcW w:w="2624" w:type="pct"/>
            <w:vAlign w:val="center"/>
          </w:tcPr>
          <w:p w14:paraId="5E5759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eastAsia" w:cs="Times New Roman"/>
                <w:color w:val="auto"/>
                <w:spacing w:val="-17"/>
                <w:kern w:val="0"/>
                <w:sz w:val="21"/>
                <w:szCs w:val="21"/>
                <w:highlight w:val="none"/>
                <w:lang w:eastAsia="zh-CN"/>
              </w:rPr>
              <w:t>《中华人民共和国大气污染防治法》</w:t>
            </w:r>
            <w:r>
              <w:rPr>
                <w:rFonts w:hint="default" w:ascii="Times New Roman" w:hAnsi="Times New Roman" w:eastAsia="宋体" w:cs="Times New Roman"/>
                <w:color w:val="auto"/>
                <w:spacing w:val="-17"/>
                <w:kern w:val="0"/>
                <w:sz w:val="21"/>
                <w:szCs w:val="21"/>
                <w:highlight w:val="none"/>
              </w:rPr>
              <w:t>（2018年修正）</w:t>
            </w:r>
          </w:p>
        </w:tc>
        <w:tc>
          <w:tcPr>
            <w:tcW w:w="1302" w:type="pct"/>
            <w:vAlign w:val="center"/>
          </w:tcPr>
          <w:p w14:paraId="2A481D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default" w:ascii="Times New Roman" w:hAnsi="Times New Roman" w:eastAsia="宋体" w:cs="Times New Roman"/>
                <w:color w:val="auto"/>
                <w:spacing w:val="-6"/>
                <w:kern w:val="0"/>
                <w:sz w:val="21"/>
                <w:szCs w:val="21"/>
                <w:highlight w:val="none"/>
              </w:rPr>
              <w:t>13届人大第6次会议</w:t>
            </w:r>
          </w:p>
        </w:tc>
        <w:tc>
          <w:tcPr>
            <w:tcW w:w="731" w:type="pct"/>
            <w:vAlign w:val="center"/>
          </w:tcPr>
          <w:p w14:paraId="0283EC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2018</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10</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26</w:t>
            </w:r>
          </w:p>
        </w:tc>
      </w:tr>
      <w:tr w14:paraId="3702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2CB1BE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w:t>
            </w:r>
          </w:p>
        </w:tc>
        <w:tc>
          <w:tcPr>
            <w:tcW w:w="2624" w:type="pct"/>
            <w:vAlign w:val="center"/>
          </w:tcPr>
          <w:p w14:paraId="793AF4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eastAsia" w:cs="Times New Roman"/>
                <w:color w:val="auto"/>
                <w:spacing w:val="-6"/>
                <w:kern w:val="0"/>
                <w:sz w:val="21"/>
                <w:szCs w:val="21"/>
                <w:highlight w:val="none"/>
                <w:lang w:eastAsia="zh-CN"/>
              </w:rPr>
              <w:t>《中华人民共和国水污染防治法》</w:t>
            </w:r>
            <w:r>
              <w:rPr>
                <w:rFonts w:hint="default" w:ascii="Times New Roman" w:hAnsi="Times New Roman" w:eastAsia="宋体" w:cs="Times New Roman"/>
                <w:color w:val="auto"/>
                <w:spacing w:val="-6"/>
                <w:kern w:val="0"/>
                <w:sz w:val="21"/>
                <w:szCs w:val="21"/>
                <w:highlight w:val="none"/>
              </w:rPr>
              <w:t>（2017年修正）</w:t>
            </w:r>
          </w:p>
        </w:tc>
        <w:tc>
          <w:tcPr>
            <w:tcW w:w="1302" w:type="pct"/>
            <w:vAlign w:val="center"/>
          </w:tcPr>
          <w:p w14:paraId="6FCD49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default" w:ascii="Times New Roman" w:hAnsi="Times New Roman" w:eastAsia="宋体" w:cs="Times New Roman"/>
                <w:color w:val="auto"/>
                <w:spacing w:val="-6"/>
                <w:kern w:val="0"/>
                <w:sz w:val="21"/>
                <w:szCs w:val="21"/>
                <w:highlight w:val="none"/>
              </w:rPr>
              <w:t>12届人大第28次会议</w:t>
            </w:r>
          </w:p>
        </w:tc>
        <w:tc>
          <w:tcPr>
            <w:tcW w:w="731" w:type="pct"/>
            <w:vAlign w:val="center"/>
          </w:tcPr>
          <w:p w14:paraId="66C9C2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2018</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18B5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10C721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w:t>
            </w:r>
          </w:p>
        </w:tc>
        <w:tc>
          <w:tcPr>
            <w:tcW w:w="2624" w:type="pct"/>
            <w:vAlign w:val="center"/>
          </w:tcPr>
          <w:p w14:paraId="6BB75B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eastAsia" w:cs="Times New Roman"/>
                <w:color w:val="auto"/>
                <w:spacing w:val="-11"/>
                <w:kern w:val="0"/>
                <w:sz w:val="21"/>
                <w:szCs w:val="21"/>
                <w:highlight w:val="none"/>
                <w:lang w:eastAsia="zh-CN"/>
              </w:rPr>
              <w:t>《中华人民共和国噪声污染防治法》</w:t>
            </w:r>
            <w:r>
              <w:rPr>
                <w:rFonts w:hint="default" w:ascii="Times New Roman" w:hAnsi="Times New Roman" w:eastAsia="宋体" w:cs="Times New Roman"/>
                <w:color w:val="auto"/>
                <w:spacing w:val="-11"/>
                <w:kern w:val="0"/>
                <w:sz w:val="21"/>
                <w:szCs w:val="21"/>
                <w:highlight w:val="none"/>
              </w:rPr>
              <w:t>（2021年修正）</w:t>
            </w:r>
          </w:p>
        </w:tc>
        <w:tc>
          <w:tcPr>
            <w:tcW w:w="1302" w:type="pct"/>
            <w:vAlign w:val="center"/>
          </w:tcPr>
          <w:p w14:paraId="1A6C1E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default" w:ascii="Times New Roman" w:hAnsi="Times New Roman" w:eastAsia="宋体" w:cs="Times New Roman"/>
                <w:color w:val="auto"/>
                <w:spacing w:val="-6"/>
                <w:kern w:val="0"/>
                <w:sz w:val="21"/>
                <w:szCs w:val="21"/>
                <w:highlight w:val="none"/>
              </w:rPr>
              <w:t>13届人大第32次会议</w:t>
            </w:r>
          </w:p>
        </w:tc>
        <w:tc>
          <w:tcPr>
            <w:tcW w:w="731" w:type="pct"/>
            <w:vAlign w:val="center"/>
          </w:tcPr>
          <w:p w14:paraId="4AFBBE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2022</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6</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5</w:t>
            </w:r>
          </w:p>
        </w:tc>
      </w:tr>
      <w:tr w14:paraId="4091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15BF57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w:t>
            </w:r>
          </w:p>
        </w:tc>
        <w:tc>
          <w:tcPr>
            <w:tcW w:w="2624" w:type="pct"/>
            <w:vAlign w:val="center"/>
          </w:tcPr>
          <w:p w14:paraId="2AA805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eastAsia" w:cs="Times New Roman"/>
                <w:color w:val="auto"/>
                <w:spacing w:val="-6"/>
                <w:kern w:val="0"/>
                <w:sz w:val="21"/>
                <w:szCs w:val="21"/>
                <w:highlight w:val="none"/>
                <w:lang w:eastAsia="zh-CN"/>
              </w:rPr>
              <w:t>《中华人民共和国固体废物污染环境防治法》</w:t>
            </w:r>
            <w:r>
              <w:rPr>
                <w:rFonts w:hint="default" w:ascii="Times New Roman" w:hAnsi="Times New Roman" w:eastAsia="宋体" w:cs="Times New Roman"/>
                <w:color w:val="auto"/>
                <w:spacing w:val="-6"/>
                <w:kern w:val="0"/>
                <w:sz w:val="21"/>
                <w:szCs w:val="21"/>
                <w:highlight w:val="none"/>
              </w:rPr>
              <w:t>（2020年修订）</w:t>
            </w:r>
          </w:p>
        </w:tc>
        <w:tc>
          <w:tcPr>
            <w:tcW w:w="1302" w:type="pct"/>
            <w:vAlign w:val="center"/>
          </w:tcPr>
          <w:p w14:paraId="548C1D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default" w:ascii="Times New Roman" w:hAnsi="Times New Roman" w:eastAsia="宋体" w:cs="Times New Roman"/>
                <w:color w:val="auto"/>
                <w:spacing w:val="-6"/>
                <w:kern w:val="0"/>
                <w:sz w:val="21"/>
                <w:szCs w:val="21"/>
                <w:highlight w:val="none"/>
              </w:rPr>
              <w:t>13届人大第17次会议</w:t>
            </w:r>
          </w:p>
        </w:tc>
        <w:tc>
          <w:tcPr>
            <w:tcW w:w="731" w:type="pct"/>
            <w:vAlign w:val="center"/>
          </w:tcPr>
          <w:p w14:paraId="112A1E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2020</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9</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5165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4E21E1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7</w:t>
            </w:r>
          </w:p>
        </w:tc>
        <w:tc>
          <w:tcPr>
            <w:tcW w:w="2624" w:type="pct"/>
            <w:vAlign w:val="center"/>
          </w:tcPr>
          <w:p w14:paraId="65B722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eastAsia" w:cs="Times New Roman"/>
                <w:color w:val="auto"/>
                <w:spacing w:val="-6"/>
                <w:kern w:val="0"/>
                <w:sz w:val="21"/>
                <w:szCs w:val="21"/>
                <w:highlight w:val="none"/>
                <w:lang w:eastAsia="zh-CN"/>
              </w:rPr>
              <w:t>《中华人民共和国土壤污染防治法》</w:t>
            </w:r>
          </w:p>
        </w:tc>
        <w:tc>
          <w:tcPr>
            <w:tcW w:w="1302" w:type="pct"/>
            <w:vAlign w:val="center"/>
          </w:tcPr>
          <w:p w14:paraId="32DF8C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default" w:ascii="Times New Roman" w:hAnsi="Times New Roman" w:eastAsia="宋体" w:cs="Times New Roman"/>
                <w:color w:val="auto"/>
                <w:spacing w:val="-6"/>
                <w:kern w:val="0"/>
                <w:sz w:val="21"/>
                <w:szCs w:val="21"/>
                <w:highlight w:val="none"/>
              </w:rPr>
              <w:t>13届人大第5次会议</w:t>
            </w:r>
          </w:p>
        </w:tc>
        <w:tc>
          <w:tcPr>
            <w:tcW w:w="731" w:type="pct"/>
            <w:vAlign w:val="center"/>
          </w:tcPr>
          <w:p w14:paraId="2857AA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2019</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727C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1AE806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8</w:t>
            </w:r>
          </w:p>
        </w:tc>
        <w:tc>
          <w:tcPr>
            <w:tcW w:w="2624" w:type="pct"/>
            <w:vAlign w:val="center"/>
          </w:tcPr>
          <w:p w14:paraId="15AD88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eastAsia" w:cs="Times New Roman"/>
                <w:color w:val="auto"/>
                <w:spacing w:val="-6"/>
                <w:kern w:val="0"/>
                <w:sz w:val="21"/>
                <w:szCs w:val="21"/>
                <w:highlight w:val="none"/>
                <w:lang w:eastAsia="zh-CN"/>
              </w:rPr>
              <w:t>《中华人民共和国水法》</w:t>
            </w:r>
            <w:r>
              <w:rPr>
                <w:rFonts w:hint="default" w:ascii="Times New Roman" w:hAnsi="Times New Roman" w:eastAsia="宋体" w:cs="Times New Roman"/>
                <w:color w:val="auto"/>
                <w:spacing w:val="-6"/>
                <w:kern w:val="0"/>
                <w:sz w:val="21"/>
                <w:szCs w:val="21"/>
                <w:highlight w:val="none"/>
              </w:rPr>
              <w:t>（2016年修正）</w:t>
            </w:r>
          </w:p>
        </w:tc>
        <w:tc>
          <w:tcPr>
            <w:tcW w:w="1302" w:type="pct"/>
            <w:vAlign w:val="center"/>
          </w:tcPr>
          <w:p w14:paraId="5A9FE4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default" w:ascii="Times New Roman" w:hAnsi="Times New Roman" w:eastAsia="宋体" w:cs="Times New Roman"/>
                <w:color w:val="auto"/>
                <w:spacing w:val="-6"/>
                <w:kern w:val="0"/>
                <w:sz w:val="21"/>
                <w:szCs w:val="21"/>
                <w:highlight w:val="none"/>
              </w:rPr>
              <w:t>12届人大第21次会议</w:t>
            </w:r>
          </w:p>
        </w:tc>
        <w:tc>
          <w:tcPr>
            <w:tcW w:w="731" w:type="pct"/>
            <w:vAlign w:val="center"/>
          </w:tcPr>
          <w:p w14:paraId="63953B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2016</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9</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070C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64E8C0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9</w:t>
            </w:r>
          </w:p>
        </w:tc>
        <w:tc>
          <w:tcPr>
            <w:tcW w:w="2624" w:type="pct"/>
            <w:vAlign w:val="center"/>
          </w:tcPr>
          <w:p w14:paraId="178E08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eastAsia" w:cs="Times New Roman"/>
                <w:color w:val="auto"/>
                <w:spacing w:val="-6"/>
                <w:kern w:val="0"/>
                <w:sz w:val="21"/>
                <w:szCs w:val="21"/>
                <w:highlight w:val="none"/>
                <w:lang w:eastAsia="zh-CN"/>
              </w:rPr>
              <w:t>《中华人民共和国水土保持法》</w:t>
            </w:r>
            <w:r>
              <w:rPr>
                <w:rFonts w:hint="default" w:ascii="Times New Roman" w:hAnsi="Times New Roman" w:eastAsia="宋体" w:cs="Times New Roman"/>
                <w:color w:val="auto"/>
                <w:spacing w:val="-6"/>
                <w:kern w:val="0"/>
                <w:sz w:val="21"/>
                <w:szCs w:val="21"/>
                <w:highlight w:val="none"/>
              </w:rPr>
              <w:t>（2010年修订）</w:t>
            </w:r>
          </w:p>
        </w:tc>
        <w:tc>
          <w:tcPr>
            <w:tcW w:w="1302" w:type="pct"/>
            <w:vAlign w:val="center"/>
          </w:tcPr>
          <w:p w14:paraId="680DAB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default" w:ascii="Times New Roman" w:hAnsi="Times New Roman" w:eastAsia="宋体" w:cs="Times New Roman"/>
                <w:color w:val="auto"/>
                <w:spacing w:val="-6"/>
                <w:kern w:val="0"/>
                <w:sz w:val="21"/>
                <w:szCs w:val="21"/>
                <w:highlight w:val="none"/>
              </w:rPr>
              <w:t>11届人大第18次会议</w:t>
            </w:r>
          </w:p>
        </w:tc>
        <w:tc>
          <w:tcPr>
            <w:tcW w:w="731" w:type="pct"/>
            <w:vAlign w:val="center"/>
          </w:tcPr>
          <w:p w14:paraId="35F559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3</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1052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166065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w:t>
            </w:r>
          </w:p>
        </w:tc>
        <w:tc>
          <w:tcPr>
            <w:tcW w:w="2624" w:type="pct"/>
            <w:vAlign w:val="center"/>
          </w:tcPr>
          <w:p w14:paraId="1A3321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eastAsia" w:cs="Times New Roman"/>
                <w:color w:val="auto"/>
                <w:spacing w:val="-11"/>
                <w:kern w:val="0"/>
                <w:sz w:val="21"/>
                <w:szCs w:val="21"/>
                <w:highlight w:val="none"/>
                <w:lang w:eastAsia="zh-CN"/>
              </w:rPr>
              <w:t>《中华人民共和国清洁生产促进法》</w:t>
            </w:r>
            <w:r>
              <w:rPr>
                <w:rFonts w:hint="default" w:ascii="Times New Roman" w:hAnsi="Times New Roman" w:eastAsia="宋体" w:cs="Times New Roman"/>
                <w:color w:val="auto"/>
                <w:spacing w:val="-11"/>
                <w:kern w:val="0"/>
                <w:sz w:val="21"/>
                <w:szCs w:val="21"/>
                <w:highlight w:val="none"/>
              </w:rPr>
              <w:t>（2012年修正）</w:t>
            </w:r>
          </w:p>
        </w:tc>
        <w:tc>
          <w:tcPr>
            <w:tcW w:w="1302" w:type="pct"/>
            <w:vAlign w:val="center"/>
          </w:tcPr>
          <w:p w14:paraId="4C6B50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default" w:ascii="Times New Roman" w:hAnsi="Times New Roman" w:eastAsia="宋体" w:cs="Times New Roman"/>
                <w:color w:val="auto"/>
                <w:spacing w:val="-6"/>
                <w:kern w:val="0"/>
                <w:sz w:val="21"/>
                <w:szCs w:val="21"/>
                <w:highlight w:val="none"/>
              </w:rPr>
              <w:t>12届人大第25次会议</w:t>
            </w:r>
          </w:p>
        </w:tc>
        <w:tc>
          <w:tcPr>
            <w:tcW w:w="731" w:type="pct"/>
            <w:vAlign w:val="center"/>
          </w:tcPr>
          <w:p w14:paraId="003B3B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2012</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7</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7F5F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4CB46E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w:t>
            </w:r>
          </w:p>
        </w:tc>
        <w:tc>
          <w:tcPr>
            <w:tcW w:w="2624" w:type="pct"/>
            <w:vAlign w:val="center"/>
          </w:tcPr>
          <w:p w14:paraId="249B42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eastAsia" w:cs="Times New Roman"/>
                <w:color w:val="auto"/>
                <w:spacing w:val="-6"/>
                <w:kern w:val="0"/>
                <w:sz w:val="21"/>
                <w:szCs w:val="21"/>
                <w:highlight w:val="none"/>
                <w:lang w:eastAsia="zh-CN"/>
              </w:rPr>
              <w:t>《中华人民共和国节约能源法》</w:t>
            </w:r>
            <w:r>
              <w:rPr>
                <w:rFonts w:hint="default" w:ascii="Times New Roman" w:hAnsi="Times New Roman" w:eastAsia="宋体" w:cs="Times New Roman"/>
                <w:color w:val="auto"/>
                <w:spacing w:val="-6"/>
                <w:kern w:val="0"/>
                <w:sz w:val="21"/>
                <w:szCs w:val="21"/>
                <w:highlight w:val="none"/>
              </w:rPr>
              <w:t>（2018年修正）</w:t>
            </w:r>
          </w:p>
        </w:tc>
        <w:tc>
          <w:tcPr>
            <w:tcW w:w="1302" w:type="pct"/>
            <w:vAlign w:val="center"/>
          </w:tcPr>
          <w:p w14:paraId="014DA2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default" w:ascii="Times New Roman" w:hAnsi="Times New Roman" w:eastAsia="宋体" w:cs="Times New Roman"/>
                <w:color w:val="auto"/>
                <w:spacing w:val="-6"/>
                <w:kern w:val="0"/>
                <w:sz w:val="21"/>
                <w:szCs w:val="21"/>
                <w:highlight w:val="none"/>
              </w:rPr>
              <w:t>13届人大第6次会议</w:t>
            </w:r>
          </w:p>
        </w:tc>
        <w:tc>
          <w:tcPr>
            <w:tcW w:w="731" w:type="pct"/>
            <w:vAlign w:val="center"/>
          </w:tcPr>
          <w:p w14:paraId="493CBE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2018</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10</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26</w:t>
            </w:r>
          </w:p>
        </w:tc>
      </w:tr>
      <w:tr w14:paraId="46A1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3F6710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12</w:t>
            </w:r>
          </w:p>
        </w:tc>
        <w:tc>
          <w:tcPr>
            <w:tcW w:w="2624" w:type="pct"/>
            <w:vAlign w:val="center"/>
          </w:tcPr>
          <w:p w14:paraId="79F530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eastAsia" w:cs="Times New Roman"/>
                <w:color w:val="auto"/>
                <w:spacing w:val="-6"/>
                <w:kern w:val="0"/>
                <w:sz w:val="21"/>
                <w:szCs w:val="21"/>
                <w:highlight w:val="none"/>
                <w:lang w:eastAsia="zh-CN"/>
              </w:rPr>
              <w:t>《中华人民共和国土地管理法》</w:t>
            </w:r>
            <w:r>
              <w:rPr>
                <w:rFonts w:hint="default" w:ascii="Times New Roman" w:hAnsi="Times New Roman" w:eastAsia="宋体" w:cs="Times New Roman"/>
                <w:color w:val="auto"/>
                <w:spacing w:val="-6"/>
                <w:kern w:val="0"/>
                <w:sz w:val="21"/>
                <w:szCs w:val="21"/>
                <w:highlight w:val="none"/>
              </w:rPr>
              <w:t>（2019年修订）</w:t>
            </w:r>
          </w:p>
        </w:tc>
        <w:tc>
          <w:tcPr>
            <w:tcW w:w="1302" w:type="pct"/>
            <w:vAlign w:val="center"/>
          </w:tcPr>
          <w:p w14:paraId="0B33D2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default" w:ascii="Times New Roman" w:hAnsi="Times New Roman" w:eastAsia="宋体" w:cs="Times New Roman"/>
                <w:color w:val="auto"/>
                <w:spacing w:val="-6"/>
                <w:kern w:val="0"/>
                <w:sz w:val="21"/>
                <w:szCs w:val="21"/>
                <w:highlight w:val="none"/>
              </w:rPr>
              <w:t>13届人大第12次会议</w:t>
            </w:r>
          </w:p>
        </w:tc>
        <w:tc>
          <w:tcPr>
            <w:tcW w:w="731" w:type="pct"/>
            <w:vAlign w:val="center"/>
          </w:tcPr>
          <w:p w14:paraId="389D44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2020</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0D79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266C7C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13</w:t>
            </w:r>
          </w:p>
        </w:tc>
        <w:tc>
          <w:tcPr>
            <w:tcW w:w="2624" w:type="pct"/>
            <w:vAlign w:val="center"/>
          </w:tcPr>
          <w:p w14:paraId="2F227C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eastAsia" w:cs="Times New Roman"/>
                <w:color w:val="auto"/>
                <w:spacing w:val="-6"/>
                <w:kern w:val="0"/>
                <w:sz w:val="21"/>
                <w:szCs w:val="21"/>
                <w:highlight w:val="none"/>
                <w:lang w:eastAsia="zh-CN"/>
              </w:rPr>
              <w:t>《中华人民共和国城乡规划法》</w:t>
            </w:r>
            <w:r>
              <w:rPr>
                <w:rFonts w:hint="default" w:ascii="Times New Roman" w:hAnsi="Times New Roman" w:eastAsia="宋体" w:cs="Times New Roman"/>
                <w:color w:val="auto"/>
                <w:spacing w:val="-6"/>
                <w:kern w:val="0"/>
                <w:sz w:val="21"/>
                <w:szCs w:val="21"/>
                <w:highlight w:val="none"/>
              </w:rPr>
              <w:t>（2019年修正）</w:t>
            </w:r>
          </w:p>
        </w:tc>
        <w:tc>
          <w:tcPr>
            <w:tcW w:w="1302" w:type="pct"/>
            <w:vAlign w:val="center"/>
          </w:tcPr>
          <w:p w14:paraId="134808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default" w:ascii="Times New Roman" w:hAnsi="Times New Roman" w:eastAsia="宋体" w:cs="Times New Roman"/>
                <w:color w:val="auto"/>
                <w:spacing w:val="-6"/>
                <w:kern w:val="0"/>
                <w:sz w:val="21"/>
                <w:szCs w:val="21"/>
                <w:highlight w:val="none"/>
              </w:rPr>
              <w:t>13届人大第10次会议</w:t>
            </w:r>
          </w:p>
        </w:tc>
        <w:tc>
          <w:tcPr>
            <w:tcW w:w="731" w:type="pct"/>
            <w:vAlign w:val="center"/>
          </w:tcPr>
          <w:p w14:paraId="443E23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2019</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4</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23</w:t>
            </w:r>
          </w:p>
        </w:tc>
      </w:tr>
      <w:tr w14:paraId="601D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1E91CC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14</w:t>
            </w:r>
          </w:p>
        </w:tc>
        <w:tc>
          <w:tcPr>
            <w:tcW w:w="2624" w:type="pct"/>
            <w:vAlign w:val="center"/>
          </w:tcPr>
          <w:p w14:paraId="5D0D2E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eastAsia" w:cs="Times New Roman"/>
                <w:color w:val="auto"/>
                <w:spacing w:val="-6"/>
                <w:kern w:val="0"/>
                <w:sz w:val="21"/>
                <w:szCs w:val="21"/>
                <w:highlight w:val="none"/>
                <w:lang w:eastAsia="zh-CN"/>
              </w:rPr>
              <w:t>《中华人民共和国防洪法》</w:t>
            </w:r>
            <w:r>
              <w:rPr>
                <w:rFonts w:hint="default" w:ascii="Times New Roman" w:hAnsi="Times New Roman" w:eastAsia="宋体" w:cs="Times New Roman"/>
                <w:color w:val="auto"/>
                <w:spacing w:val="-6"/>
                <w:kern w:val="0"/>
                <w:sz w:val="21"/>
                <w:szCs w:val="21"/>
                <w:highlight w:val="none"/>
              </w:rPr>
              <w:t>（2016年修正）</w:t>
            </w:r>
          </w:p>
        </w:tc>
        <w:tc>
          <w:tcPr>
            <w:tcW w:w="1302" w:type="pct"/>
            <w:vAlign w:val="center"/>
          </w:tcPr>
          <w:p w14:paraId="12A0DD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default" w:ascii="Times New Roman" w:hAnsi="Times New Roman" w:eastAsia="宋体" w:cs="Times New Roman"/>
                <w:color w:val="auto"/>
                <w:spacing w:val="-6"/>
                <w:kern w:val="0"/>
                <w:sz w:val="21"/>
                <w:szCs w:val="21"/>
                <w:highlight w:val="none"/>
              </w:rPr>
              <w:t>12届人大第21次会议</w:t>
            </w:r>
          </w:p>
        </w:tc>
        <w:tc>
          <w:tcPr>
            <w:tcW w:w="731" w:type="pct"/>
            <w:vAlign w:val="center"/>
          </w:tcPr>
          <w:p w14:paraId="357B9A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2016</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9</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791D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5CC532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15</w:t>
            </w:r>
          </w:p>
        </w:tc>
        <w:tc>
          <w:tcPr>
            <w:tcW w:w="2624" w:type="pct"/>
            <w:vAlign w:val="center"/>
          </w:tcPr>
          <w:p w14:paraId="18F96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eastAsia" w:cs="Times New Roman"/>
                <w:color w:val="auto"/>
                <w:spacing w:val="-6"/>
                <w:kern w:val="0"/>
                <w:sz w:val="21"/>
                <w:szCs w:val="21"/>
                <w:highlight w:val="none"/>
                <w:lang w:eastAsia="zh-CN"/>
              </w:rPr>
              <w:t>《中华人民共和国草原法》</w:t>
            </w:r>
            <w:r>
              <w:rPr>
                <w:rFonts w:hint="default" w:ascii="Times New Roman" w:hAnsi="Times New Roman" w:eastAsia="宋体" w:cs="Times New Roman"/>
                <w:color w:val="auto"/>
                <w:spacing w:val="-6"/>
                <w:kern w:val="0"/>
                <w:sz w:val="21"/>
                <w:szCs w:val="21"/>
                <w:highlight w:val="none"/>
              </w:rPr>
              <w:t>（2012年修正）</w:t>
            </w:r>
          </w:p>
        </w:tc>
        <w:tc>
          <w:tcPr>
            <w:tcW w:w="1302" w:type="pct"/>
            <w:vAlign w:val="center"/>
          </w:tcPr>
          <w:p w14:paraId="7F854D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default" w:ascii="Times New Roman" w:hAnsi="Times New Roman" w:eastAsia="宋体" w:cs="Times New Roman"/>
                <w:color w:val="auto"/>
                <w:spacing w:val="-6"/>
                <w:kern w:val="0"/>
                <w:sz w:val="21"/>
                <w:szCs w:val="21"/>
                <w:highlight w:val="none"/>
              </w:rPr>
              <w:t>12届人大第3次会议</w:t>
            </w:r>
          </w:p>
        </w:tc>
        <w:tc>
          <w:tcPr>
            <w:tcW w:w="731" w:type="pct"/>
            <w:vAlign w:val="center"/>
          </w:tcPr>
          <w:p w14:paraId="395BC6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2013</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6</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29</w:t>
            </w:r>
          </w:p>
        </w:tc>
      </w:tr>
      <w:tr w14:paraId="25CD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382855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16</w:t>
            </w:r>
          </w:p>
        </w:tc>
        <w:tc>
          <w:tcPr>
            <w:tcW w:w="2624" w:type="pct"/>
            <w:vAlign w:val="center"/>
          </w:tcPr>
          <w:p w14:paraId="3D1638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eastAsia" w:cs="Times New Roman"/>
                <w:color w:val="auto"/>
                <w:spacing w:val="-11"/>
                <w:kern w:val="0"/>
                <w:sz w:val="21"/>
                <w:szCs w:val="21"/>
                <w:highlight w:val="none"/>
                <w:lang w:eastAsia="zh-CN"/>
              </w:rPr>
              <w:t>《中华人民共和国野生动物保护法》</w:t>
            </w:r>
            <w:r>
              <w:rPr>
                <w:rFonts w:hint="default" w:ascii="Times New Roman" w:hAnsi="Times New Roman" w:eastAsia="宋体" w:cs="Times New Roman"/>
                <w:color w:val="auto"/>
                <w:spacing w:val="-11"/>
                <w:kern w:val="0"/>
                <w:sz w:val="21"/>
                <w:szCs w:val="21"/>
                <w:highlight w:val="none"/>
              </w:rPr>
              <w:t>（2022年修正）</w:t>
            </w:r>
          </w:p>
        </w:tc>
        <w:tc>
          <w:tcPr>
            <w:tcW w:w="1302" w:type="pct"/>
            <w:vAlign w:val="center"/>
          </w:tcPr>
          <w:p w14:paraId="02A345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eastAsia" w:ascii="Times New Roman" w:hAnsi="Times New Roman" w:eastAsia="宋体" w:cs="Times New Roman"/>
                <w:color w:val="auto"/>
                <w:spacing w:val="-6"/>
                <w:kern w:val="0"/>
                <w:sz w:val="21"/>
                <w:szCs w:val="21"/>
                <w:highlight w:val="none"/>
              </w:rPr>
              <w:t>1</w:t>
            </w:r>
            <w:r>
              <w:rPr>
                <w:rFonts w:hint="default" w:ascii="Times New Roman" w:hAnsi="Times New Roman" w:eastAsia="宋体" w:cs="Times New Roman"/>
                <w:color w:val="auto"/>
                <w:spacing w:val="-6"/>
                <w:kern w:val="0"/>
                <w:sz w:val="21"/>
                <w:szCs w:val="21"/>
                <w:highlight w:val="none"/>
              </w:rPr>
              <w:t>3</w:t>
            </w:r>
            <w:r>
              <w:rPr>
                <w:rFonts w:hint="eastAsia" w:ascii="Times New Roman" w:hAnsi="Times New Roman" w:eastAsia="宋体" w:cs="Times New Roman"/>
                <w:color w:val="auto"/>
                <w:spacing w:val="-6"/>
                <w:kern w:val="0"/>
                <w:sz w:val="21"/>
                <w:szCs w:val="21"/>
                <w:highlight w:val="none"/>
              </w:rPr>
              <w:t>届人大第3</w:t>
            </w:r>
            <w:r>
              <w:rPr>
                <w:rFonts w:hint="default" w:ascii="Times New Roman" w:hAnsi="Times New Roman" w:eastAsia="宋体" w:cs="Times New Roman"/>
                <w:color w:val="auto"/>
                <w:spacing w:val="-6"/>
                <w:kern w:val="0"/>
                <w:sz w:val="21"/>
                <w:szCs w:val="21"/>
                <w:highlight w:val="none"/>
              </w:rPr>
              <w:t>8</w:t>
            </w:r>
            <w:r>
              <w:rPr>
                <w:rFonts w:hint="eastAsia" w:ascii="Times New Roman" w:hAnsi="Times New Roman" w:eastAsia="宋体" w:cs="Times New Roman"/>
                <w:color w:val="auto"/>
                <w:spacing w:val="-6"/>
                <w:kern w:val="0"/>
                <w:sz w:val="21"/>
                <w:szCs w:val="21"/>
                <w:highlight w:val="none"/>
              </w:rPr>
              <w:t>次会议</w:t>
            </w:r>
          </w:p>
        </w:tc>
        <w:tc>
          <w:tcPr>
            <w:tcW w:w="731" w:type="pct"/>
            <w:vAlign w:val="center"/>
          </w:tcPr>
          <w:p w14:paraId="1DB282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2023</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05</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01</w:t>
            </w:r>
          </w:p>
        </w:tc>
      </w:tr>
      <w:tr w14:paraId="5200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72FCD7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17</w:t>
            </w:r>
          </w:p>
        </w:tc>
        <w:tc>
          <w:tcPr>
            <w:tcW w:w="2624" w:type="pct"/>
            <w:vAlign w:val="center"/>
          </w:tcPr>
          <w:p w14:paraId="1F5491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eastAsia" w:cs="Times New Roman"/>
                <w:color w:val="auto"/>
                <w:spacing w:val="-6"/>
                <w:kern w:val="0"/>
                <w:sz w:val="21"/>
                <w:szCs w:val="21"/>
                <w:highlight w:val="none"/>
                <w:lang w:eastAsia="zh-CN"/>
              </w:rPr>
              <w:t>《中华人民共和国突发事件应对法》</w:t>
            </w:r>
          </w:p>
        </w:tc>
        <w:tc>
          <w:tcPr>
            <w:tcW w:w="1302" w:type="pct"/>
            <w:vAlign w:val="center"/>
          </w:tcPr>
          <w:p w14:paraId="441FD7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default" w:ascii="Times New Roman" w:hAnsi="Times New Roman" w:eastAsia="宋体" w:cs="Times New Roman"/>
                <w:color w:val="auto"/>
                <w:spacing w:val="-6"/>
                <w:kern w:val="0"/>
                <w:sz w:val="21"/>
                <w:szCs w:val="21"/>
                <w:highlight w:val="none"/>
              </w:rPr>
              <w:t>10届人大第29次会议</w:t>
            </w:r>
          </w:p>
        </w:tc>
        <w:tc>
          <w:tcPr>
            <w:tcW w:w="731" w:type="pct"/>
            <w:vAlign w:val="center"/>
          </w:tcPr>
          <w:p w14:paraId="22922E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2007</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3D8A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7DEEB5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18</w:t>
            </w:r>
          </w:p>
        </w:tc>
        <w:tc>
          <w:tcPr>
            <w:tcW w:w="2624" w:type="pct"/>
            <w:vAlign w:val="center"/>
          </w:tcPr>
          <w:p w14:paraId="407D7E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eastAsia" w:cs="Times New Roman"/>
                <w:color w:val="auto"/>
                <w:spacing w:val="-6"/>
                <w:kern w:val="0"/>
                <w:sz w:val="21"/>
                <w:szCs w:val="21"/>
                <w:highlight w:val="none"/>
                <w:lang w:eastAsia="zh-CN"/>
              </w:rPr>
              <w:t>《中华人民共和国气象法》</w:t>
            </w:r>
            <w:r>
              <w:rPr>
                <w:rFonts w:hint="default" w:ascii="Times New Roman" w:hAnsi="Times New Roman" w:eastAsia="宋体" w:cs="Times New Roman"/>
                <w:color w:val="auto"/>
                <w:spacing w:val="-6"/>
                <w:kern w:val="0"/>
                <w:sz w:val="21"/>
                <w:szCs w:val="21"/>
                <w:highlight w:val="none"/>
              </w:rPr>
              <w:t>（2016年修正）</w:t>
            </w:r>
          </w:p>
        </w:tc>
        <w:tc>
          <w:tcPr>
            <w:tcW w:w="1302" w:type="pct"/>
            <w:vAlign w:val="center"/>
          </w:tcPr>
          <w:p w14:paraId="444D5A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6"/>
                <w:kern w:val="0"/>
                <w:sz w:val="21"/>
                <w:szCs w:val="21"/>
                <w:highlight w:val="none"/>
              </w:rPr>
            </w:pPr>
            <w:r>
              <w:rPr>
                <w:rFonts w:hint="default" w:ascii="Times New Roman" w:hAnsi="Times New Roman" w:eastAsia="宋体" w:cs="Times New Roman"/>
                <w:color w:val="auto"/>
                <w:spacing w:val="-6"/>
                <w:kern w:val="0"/>
                <w:sz w:val="21"/>
                <w:szCs w:val="21"/>
                <w:highlight w:val="none"/>
              </w:rPr>
              <w:t>12届人大第24次会议</w:t>
            </w:r>
          </w:p>
        </w:tc>
        <w:tc>
          <w:tcPr>
            <w:tcW w:w="731" w:type="pct"/>
            <w:vAlign w:val="center"/>
          </w:tcPr>
          <w:p w14:paraId="5FC9D4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2016</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7</w:t>
            </w:r>
          </w:p>
        </w:tc>
      </w:tr>
      <w:tr w14:paraId="5E34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268A67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二</w:t>
            </w:r>
          </w:p>
        </w:tc>
        <w:tc>
          <w:tcPr>
            <w:tcW w:w="2624" w:type="pct"/>
            <w:vAlign w:val="center"/>
          </w:tcPr>
          <w:p w14:paraId="32ADB3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行政法规与国务院发布的规范性文件</w:t>
            </w:r>
          </w:p>
        </w:tc>
        <w:tc>
          <w:tcPr>
            <w:tcW w:w="1302" w:type="pct"/>
            <w:vAlign w:val="center"/>
          </w:tcPr>
          <w:p w14:paraId="35F973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w:t>
            </w:r>
          </w:p>
        </w:tc>
        <w:tc>
          <w:tcPr>
            <w:tcW w:w="731" w:type="pct"/>
            <w:vAlign w:val="center"/>
          </w:tcPr>
          <w:p w14:paraId="420FEB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w:t>
            </w:r>
          </w:p>
        </w:tc>
      </w:tr>
      <w:tr w14:paraId="2881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16D3AC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w:t>
            </w:r>
          </w:p>
        </w:tc>
        <w:tc>
          <w:tcPr>
            <w:tcW w:w="2624" w:type="pct"/>
            <w:vAlign w:val="center"/>
          </w:tcPr>
          <w:p w14:paraId="606E13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eastAsia" w:cs="Times New Roman"/>
                <w:color w:val="auto"/>
                <w:spacing w:val="-6"/>
                <w:kern w:val="0"/>
                <w:sz w:val="21"/>
                <w:szCs w:val="21"/>
                <w:highlight w:val="none"/>
                <w:lang w:eastAsia="zh-CN"/>
              </w:rPr>
              <w:t>《建设项目环境保护管理条例》</w:t>
            </w:r>
            <w:r>
              <w:rPr>
                <w:rFonts w:hint="default" w:ascii="Times New Roman" w:hAnsi="Times New Roman" w:eastAsia="宋体" w:cs="Times New Roman"/>
                <w:color w:val="auto"/>
                <w:spacing w:val="-6"/>
                <w:kern w:val="0"/>
                <w:sz w:val="21"/>
                <w:szCs w:val="21"/>
                <w:highlight w:val="none"/>
              </w:rPr>
              <w:t>（2017年修正）</w:t>
            </w:r>
          </w:p>
        </w:tc>
        <w:tc>
          <w:tcPr>
            <w:tcW w:w="1302" w:type="pct"/>
            <w:vAlign w:val="center"/>
          </w:tcPr>
          <w:p w14:paraId="682865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国务院令第682号</w:t>
            </w:r>
          </w:p>
        </w:tc>
        <w:tc>
          <w:tcPr>
            <w:tcW w:w="731" w:type="pct"/>
            <w:vAlign w:val="center"/>
          </w:tcPr>
          <w:p w14:paraId="6F3751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2017</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10</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2DE0A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2E97A9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w:t>
            </w:r>
          </w:p>
        </w:tc>
        <w:tc>
          <w:tcPr>
            <w:tcW w:w="2624" w:type="pct"/>
            <w:vAlign w:val="center"/>
          </w:tcPr>
          <w:p w14:paraId="25F3CD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eastAsia" w:cs="Times New Roman"/>
                <w:color w:val="auto"/>
                <w:spacing w:val="-17"/>
                <w:kern w:val="0"/>
                <w:sz w:val="21"/>
                <w:szCs w:val="21"/>
                <w:highlight w:val="none"/>
                <w:lang w:eastAsia="zh-CN"/>
              </w:rPr>
              <w:t>《中华人民共和国野生植物保护条例》</w:t>
            </w:r>
            <w:r>
              <w:rPr>
                <w:rFonts w:hint="default" w:ascii="Times New Roman" w:hAnsi="Times New Roman" w:eastAsia="宋体" w:cs="Times New Roman"/>
                <w:color w:val="auto"/>
                <w:spacing w:val="-17"/>
                <w:kern w:val="0"/>
                <w:sz w:val="21"/>
                <w:szCs w:val="21"/>
                <w:highlight w:val="none"/>
              </w:rPr>
              <w:t>（2017年修正）</w:t>
            </w:r>
          </w:p>
        </w:tc>
        <w:tc>
          <w:tcPr>
            <w:tcW w:w="1302" w:type="pct"/>
            <w:vAlign w:val="center"/>
          </w:tcPr>
          <w:p w14:paraId="2A0B8A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国务院令687号</w:t>
            </w:r>
          </w:p>
        </w:tc>
        <w:tc>
          <w:tcPr>
            <w:tcW w:w="731" w:type="pct"/>
            <w:vAlign w:val="center"/>
          </w:tcPr>
          <w:p w14:paraId="1724D5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2017</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10</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7</w:t>
            </w:r>
          </w:p>
        </w:tc>
      </w:tr>
      <w:tr w14:paraId="5E5E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67D026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w:t>
            </w:r>
          </w:p>
        </w:tc>
        <w:tc>
          <w:tcPr>
            <w:tcW w:w="2624" w:type="pct"/>
            <w:vAlign w:val="center"/>
          </w:tcPr>
          <w:p w14:paraId="1F9FDD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eastAsia" w:cs="Times New Roman"/>
                <w:color w:val="auto"/>
                <w:kern w:val="0"/>
                <w:sz w:val="21"/>
                <w:szCs w:val="21"/>
                <w:highlight w:val="none"/>
                <w:lang w:eastAsia="zh-CN"/>
              </w:rPr>
              <w:t>《中华人民共和国陆生野生动物保护实施条例》</w:t>
            </w:r>
            <w:r>
              <w:rPr>
                <w:rFonts w:hint="default" w:ascii="Times New Roman" w:hAnsi="Times New Roman" w:eastAsia="宋体" w:cs="Times New Roman"/>
                <w:color w:val="auto"/>
                <w:kern w:val="0"/>
                <w:sz w:val="21"/>
                <w:szCs w:val="21"/>
                <w:highlight w:val="none"/>
              </w:rPr>
              <w:t>（2016年修正）</w:t>
            </w:r>
          </w:p>
        </w:tc>
        <w:tc>
          <w:tcPr>
            <w:tcW w:w="1302" w:type="pct"/>
            <w:vAlign w:val="center"/>
          </w:tcPr>
          <w:p w14:paraId="405AB7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国务院令666号</w:t>
            </w:r>
          </w:p>
        </w:tc>
        <w:tc>
          <w:tcPr>
            <w:tcW w:w="731" w:type="pct"/>
            <w:vAlign w:val="center"/>
          </w:tcPr>
          <w:p w14:paraId="366941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2016</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2</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6</w:t>
            </w:r>
          </w:p>
        </w:tc>
      </w:tr>
      <w:tr w14:paraId="7C65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0A241A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w:t>
            </w:r>
          </w:p>
        </w:tc>
        <w:tc>
          <w:tcPr>
            <w:tcW w:w="2624" w:type="pct"/>
            <w:vAlign w:val="center"/>
          </w:tcPr>
          <w:p w14:paraId="1A3F12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eastAsia" w:cs="Times New Roman"/>
                <w:color w:val="auto"/>
                <w:kern w:val="0"/>
                <w:sz w:val="21"/>
                <w:szCs w:val="21"/>
                <w:highlight w:val="none"/>
                <w:lang w:eastAsia="zh-CN"/>
              </w:rPr>
              <w:t>《地下水管理条例》</w:t>
            </w:r>
          </w:p>
        </w:tc>
        <w:tc>
          <w:tcPr>
            <w:tcW w:w="1302" w:type="pct"/>
            <w:vAlign w:val="center"/>
          </w:tcPr>
          <w:p w14:paraId="6D8B9F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国务院令第748号</w:t>
            </w:r>
          </w:p>
        </w:tc>
        <w:tc>
          <w:tcPr>
            <w:tcW w:w="731" w:type="pct"/>
            <w:vAlign w:val="center"/>
          </w:tcPr>
          <w:p w14:paraId="6074C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2021</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10</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21</w:t>
            </w:r>
          </w:p>
        </w:tc>
      </w:tr>
      <w:tr w14:paraId="79737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108E43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w:t>
            </w:r>
          </w:p>
        </w:tc>
        <w:tc>
          <w:tcPr>
            <w:tcW w:w="2624" w:type="pct"/>
            <w:vAlign w:val="center"/>
          </w:tcPr>
          <w:p w14:paraId="2487B3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fldChar w:fldCharType="begin"/>
            </w:r>
            <w:r>
              <w:rPr>
                <w:rFonts w:hint="default" w:ascii="Times New Roman" w:hAnsi="Times New Roman" w:eastAsia="宋体" w:cs="Times New Roman"/>
                <w:color w:val="auto"/>
                <w:sz w:val="21"/>
                <w:szCs w:val="21"/>
                <w:highlight w:val="none"/>
              </w:rPr>
              <w:instrText xml:space="preserve"> HYPERLINK "http://search.chinalaw.gov.cn/law/searchTitleDetail?LawID=335179&amp;Query=%E4%B8%AD%E5%8D%8E%E4%BA%BA%E6%B0%91%E5%85%B1%E5%92%8C%E5%9B%BD%E5%9C%9F%E5%9C%B0%E7%AE%A1%E7%90%86%E6%B3%95%E5%AE%9E%E6%96%BD%E6%9D%A1%E4%BE%8B&amp;IsExact=" \t "http://search.chinalaw.gov.cn/_blank" </w:instrText>
            </w:r>
            <w:r>
              <w:rPr>
                <w:rFonts w:hint="default" w:ascii="Times New Roman" w:hAnsi="Times New Roman" w:eastAsia="宋体" w:cs="Times New Roman"/>
                <w:color w:val="auto"/>
                <w:sz w:val="21"/>
                <w:szCs w:val="21"/>
                <w:highlight w:val="none"/>
              </w:rPr>
              <w:fldChar w:fldCharType="separate"/>
            </w:r>
            <w:r>
              <w:rPr>
                <w:rFonts w:hint="eastAsia" w:cs="Times New Roman"/>
                <w:color w:val="auto"/>
                <w:sz w:val="21"/>
                <w:szCs w:val="21"/>
                <w:highlight w:val="none"/>
                <w:lang w:eastAsia="zh-CN"/>
              </w:rPr>
              <w:t>《中华人民共和国土地管理法实施条例》</w:t>
            </w:r>
            <w:r>
              <w:rPr>
                <w:rFonts w:hint="default" w:ascii="Times New Roman" w:hAnsi="Times New Roman" w:eastAsia="宋体" w:cs="Times New Roman"/>
                <w:color w:val="auto"/>
                <w:kern w:val="0"/>
                <w:sz w:val="21"/>
                <w:szCs w:val="21"/>
                <w:highlight w:val="none"/>
              </w:rPr>
              <w:t>（2021年修订）</w:t>
            </w:r>
            <w:r>
              <w:rPr>
                <w:rFonts w:hint="default" w:ascii="Times New Roman" w:hAnsi="Times New Roman" w:eastAsia="宋体" w:cs="Times New Roman"/>
                <w:color w:val="auto"/>
                <w:kern w:val="0"/>
                <w:sz w:val="21"/>
                <w:szCs w:val="21"/>
                <w:highlight w:val="none"/>
              </w:rPr>
              <w:fldChar w:fldCharType="end"/>
            </w:r>
          </w:p>
        </w:tc>
        <w:tc>
          <w:tcPr>
            <w:tcW w:w="1302" w:type="pct"/>
            <w:vAlign w:val="center"/>
          </w:tcPr>
          <w:p w14:paraId="5F854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国务院令743号</w:t>
            </w:r>
          </w:p>
        </w:tc>
        <w:tc>
          <w:tcPr>
            <w:tcW w:w="731" w:type="pct"/>
            <w:vAlign w:val="center"/>
          </w:tcPr>
          <w:p w14:paraId="118C32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2021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9</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44BC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707153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w:t>
            </w:r>
          </w:p>
        </w:tc>
        <w:tc>
          <w:tcPr>
            <w:tcW w:w="2624" w:type="pct"/>
            <w:vAlign w:val="center"/>
          </w:tcPr>
          <w:p w14:paraId="2DC06D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fldChar w:fldCharType="begin"/>
            </w:r>
            <w:r>
              <w:rPr>
                <w:rFonts w:hint="default" w:ascii="Times New Roman" w:hAnsi="Times New Roman" w:eastAsia="宋体" w:cs="Times New Roman"/>
                <w:color w:val="auto"/>
                <w:sz w:val="21"/>
                <w:szCs w:val="21"/>
                <w:highlight w:val="none"/>
              </w:rPr>
              <w:instrText xml:space="preserve"> HYPERLINK "javascript:SLC(38905,0)" </w:instrText>
            </w:r>
            <w:r>
              <w:rPr>
                <w:rFonts w:hint="default" w:ascii="Times New Roman" w:hAnsi="Times New Roman" w:eastAsia="宋体" w:cs="Times New Roman"/>
                <w:color w:val="auto"/>
                <w:sz w:val="21"/>
                <w:szCs w:val="21"/>
                <w:highlight w:val="none"/>
              </w:rPr>
              <w:fldChar w:fldCharType="separate"/>
            </w:r>
            <w:r>
              <w:rPr>
                <w:rFonts w:hint="eastAsia" w:cs="Times New Roman"/>
                <w:color w:val="auto"/>
                <w:sz w:val="21"/>
                <w:szCs w:val="21"/>
                <w:highlight w:val="none"/>
                <w:lang w:eastAsia="zh-CN"/>
              </w:rPr>
              <w:t>《危险化学品安全管理条例》</w:t>
            </w:r>
            <w:r>
              <w:rPr>
                <w:rFonts w:hint="default" w:ascii="Times New Roman" w:hAnsi="Times New Roman" w:eastAsia="宋体" w:cs="Times New Roman"/>
                <w:color w:val="auto"/>
                <w:kern w:val="0"/>
                <w:sz w:val="21"/>
                <w:szCs w:val="21"/>
                <w:highlight w:val="none"/>
              </w:rPr>
              <w:t>（2013年修正）</w:t>
            </w:r>
            <w:r>
              <w:rPr>
                <w:rFonts w:hint="default" w:ascii="Times New Roman" w:hAnsi="Times New Roman" w:eastAsia="宋体" w:cs="Times New Roman"/>
                <w:color w:val="auto"/>
                <w:kern w:val="0"/>
                <w:sz w:val="21"/>
                <w:szCs w:val="21"/>
                <w:highlight w:val="none"/>
              </w:rPr>
              <w:fldChar w:fldCharType="end"/>
            </w:r>
          </w:p>
        </w:tc>
        <w:tc>
          <w:tcPr>
            <w:tcW w:w="1302" w:type="pct"/>
            <w:vAlign w:val="center"/>
          </w:tcPr>
          <w:p w14:paraId="19CA4D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国务院令645号</w:t>
            </w:r>
          </w:p>
        </w:tc>
        <w:tc>
          <w:tcPr>
            <w:tcW w:w="731" w:type="pct"/>
            <w:vAlign w:val="center"/>
          </w:tcPr>
          <w:p w14:paraId="6F0C62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2013</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12</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7</w:t>
            </w:r>
          </w:p>
        </w:tc>
      </w:tr>
      <w:tr w14:paraId="14BF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0D95CC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7</w:t>
            </w:r>
          </w:p>
        </w:tc>
        <w:tc>
          <w:tcPr>
            <w:tcW w:w="2624" w:type="pct"/>
            <w:vAlign w:val="center"/>
          </w:tcPr>
          <w:p w14:paraId="3913D1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eastAsia" w:cs="Times New Roman"/>
                <w:color w:val="auto"/>
                <w:kern w:val="0"/>
                <w:sz w:val="21"/>
                <w:szCs w:val="21"/>
                <w:highlight w:val="none"/>
                <w:lang w:eastAsia="zh-CN"/>
              </w:rPr>
              <w:t>《土地复垦条例》</w:t>
            </w:r>
          </w:p>
        </w:tc>
        <w:tc>
          <w:tcPr>
            <w:tcW w:w="1302" w:type="pct"/>
            <w:vAlign w:val="center"/>
          </w:tcPr>
          <w:p w14:paraId="0031B5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国务院令592号</w:t>
            </w:r>
          </w:p>
        </w:tc>
        <w:tc>
          <w:tcPr>
            <w:tcW w:w="731" w:type="pct"/>
            <w:vAlign w:val="center"/>
          </w:tcPr>
          <w:p w14:paraId="734A2C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3</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5</w:t>
            </w:r>
          </w:p>
        </w:tc>
      </w:tr>
      <w:tr w14:paraId="6C8C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762CD0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8</w:t>
            </w:r>
          </w:p>
        </w:tc>
        <w:tc>
          <w:tcPr>
            <w:tcW w:w="2624" w:type="pct"/>
            <w:vAlign w:val="center"/>
          </w:tcPr>
          <w:p w14:paraId="0BA59D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中华人民共和国水土保持法实施条例（2011年修订）</w:t>
            </w:r>
          </w:p>
        </w:tc>
        <w:tc>
          <w:tcPr>
            <w:tcW w:w="1302" w:type="pct"/>
            <w:vAlign w:val="center"/>
          </w:tcPr>
          <w:p w14:paraId="5067EE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国务院令第120号</w:t>
            </w:r>
          </w:p>
        </w:tc>
        <w:tc>
          <w:tcPr>
            <w:tcW w:w="731" w:type="pct"/>
            <w:vAlign w:val="center"/>
          </w:tcPr>
          <w:p w14:paraId="09FA51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8</w:t>
            </w:r>
          </w:p>
        </w:tc>
      </w:tr>
      <w:tr w14:paraId="7F66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7104EF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9</w:t>
            </w:r>
          </w:p>
        </w:tc>
        <w:tc>
          <w:tcPr>
            <w:tcW w:w="2624" w:type="pct"/>
            <w:vAlign w:val="center"/>
          </w:tcPr>
          <w:p w14:paraId="4B1F2A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eastAsia" w:cs="Times New Roman"/>
                <w:color w:val="auto"/>
                <w:kern w:val="0"/>
                <w:sz w:val="21"/>
                <w:szCs w:val="21"/>
                <w:highlight w:val="none"/>
                <w:lang w:eastAsia="zh-CN"/>
              </w:rPr>
              <w:t>《中华人民共和国道路运输条例》</w:t>
            </w:r>
          </w:p>
        </w:tc>
        <w:tc>
          <w:tcPr>
            <w:tcW w:w="1302" w:type="pct"/>
            <w:vAlign w:val="center"/>
          </w:tcPr>
          <w:p w14:paraId="445E5D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国务院令第709号修订</w:t>
            </w:r>
          </w:p>
        </w:tc>
        <w:tc>
          <w:tcPr>
            <w:tcW w:w="731" w:type="pct"/>
            <w:vAlign w:val="center"/>
          </w:tcPr>
          <w:p w14:paraId="7ABD2F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2019</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3</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2</w:t>
            </w:r>
          </w:p>
        </w:tc>
      </w:tr>
      <w:tr w14:paraId="2FE5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747581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w:t>
            </w:r>
          </w:p>
        </w:tc>
        <w:tc>
          <w:tcPr>
            <w:tcW w:w="2624" w:type="pct"/>
            <w:vAlign w:val="center"/>
          </w:tcPr>
          <w:p w14:paraId="282F52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eastAsia" w:cs="Times New Roman"/>
                <w:color w:val="auto"/>
                <w:kern w:val="0"/>
                <w:sz w:val="21"/>
                <w:szCs w:val="21"/>
                <w:highlight w:val="none"/>
                <w:lang w:eastAsia="zh-CN"/>
              </w:rPr>
              <w:t>《公路安全保护条例》</w:t>
            </w:r>
          </w:p>
        </w:tc>
        <w:tc>
          <w:tcPr>
            <w:tcW w:w="1302" w:type="pct"/>
            <w:vAlign w:val="center"/>
          </w:tcPr>
          <w:p w14:paraId="73ECEB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国务院令593号</w:t>
            </w:r>
          </w:p>
        </w:tc>
        <w:tc>
          <w:tcPr>
            <w:tcW w:w="731" w:type="pct"/>
            <w:vAlign w:val="center"/>
          </w:tcPr>
          <w:p w14:paraId="110778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7</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37ED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23D5D9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w:t>
            </w:r>
          </w:p>
        </w:tc>
        <w:tc>
          <w:tcPr>
            <w:tcW w:w="2624" w:type="pct"/>
            <w:vAlign w:val="center"/>
          </w:tcPr>
          <w:p w14:paraId="6A1CAB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eastAsia" w:cs="Times New Roman"/>
                <w:color w:val="auto"/>
                <w:kern w:val="0"/>
                <w:sz w:val="21"/>
                <w:szCs w:val="21"/>
                <w:highlight w:val="none"/>
                <w:lang w:eastAsia="zh-CN"/>
              </w:rPr>
              <w:t>《中华人民共和国道路交通安全法实施条例》</w:t>
            </w:r>
          </w:p>
        </w:tc>
        <w:tc>
          <w:tcPr>
            <w:tcW w:w="1302" w:type="pct"/>
            <w:vAlign w:val="center"/>
          </w:tcPr>
          <w:p w14:paraId="00AC12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国务院令第405号</w:t>
            </w:r>
          </w:p>
        </w:tc>
        <w:tc>
          <w:tcPr>
            <w:tcW w:w="731" w:type="pct"/>
            <w:vAlign w:val="center"/>
          </w:tcPr>
          <w:p w14:paraId="653B77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2017</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10</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7</w:t>
            </w:r>
          </w:p>
        </w:tc>
      </w:tr>
      <w:tr w14:paraId="1056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0793AB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12</w:t>
            </w:r>
          </w:p>
        </w:tc>
        <w:tc>
          <w:tcPr>
            <w:tcW w:w="2624" w:type="pct"/>
            <w:vAlign w:val="center"/>
          </w:tcPr>
          <w:p w14:paraId="192067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《关于进一步维护新疆社会稳定和实现长治久安的意见》</w:t>
            </w:r>
          </w:p>
        </w:tc>
        <w:tc>
          <w:tcPr>
            <w:tcW w:w="1302" w:type="pct"/>
            <w:vAlign w:val="center"/>
          </w:tcPr>
          <w:p w14:paraId="5BB319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中发〔2010〕5号</w:t>
            </w:r>
          </w:p>
        </w:tc>
        <w:tc>
          <w:tcPr>
            <w:tcW w:w="731" w:type="pct"/>
            <w:vAlign w:val="center"/>
          </w:tcPr>
          <w:p w14:paraId="179B4F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2014</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5</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29</w:t>
            </w:r>
          </w:p>
        </w:tc>
      </w:tr>
      <w:tr w14:paraId="4E41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0715FC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13</w:t>
            </w:r>
          </w:p>
        </w:tc>
        <w:tc>
          <w:tcPr>
            <w:tcW w:w="2624" w:type="pct"/>
            <w:vAlign w:val="center"/>
          </w:tcPr>
          <w:p w14:paraId="5487EA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《国务院关于加强环境保护重点工作的意见》</w:t>
            </w:r>
          </w:p>
        </w:tc>
        <w:tc>
          <w:tcPr>
            <w:tcW w:w="1302" w:type="pct"/>
            <w:vAlign w:val="center"/>
          </w:tcPr>
          <w:p w14:paraId="23B88F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国发〔2011〕35号</w:t>
            </w:r>
          </w:p>
        </w:tc>
        <w:tc>
          <w:tcPr>
            <w:tcW w:w="731" w:type="pct"/>
            <w:vAlign w:val="center"/>
          </w:tcPr>
          <w:p w14:paraId="17601D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2011</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10</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17</w:t>
            </w:r>
          </w:p>
        </w:tc>
      </w:tr>
      <w:tr w14:paraId="270E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7A355D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14</w:t>
            </w:r>
          </w:p>
        </w:tc>
        <w:tc>
          <w:tcPr>
            <w:tcW w:w="2624" w:type="pct"/>
            <w:vAlign w:val="center"/>
          </w:tcPr>
          <w:p w14:paraId="66199B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highlight w:val="none"/>
                <w:lang w:eastAsia="zh-CN"/>
              </w:rPr>
            </w:pPr>
            <w:r>
              <w:rPr>
                <w:rFonts w:hint="eastAsia" w:cs="Times New Roman"/>
                <w:color w:val="auto"/>
                <w:spacing w:val="-6"/>
                <w:kern w:val="0"/>
                <w:sz w:val="21"/>
                <w:szCs w:val="21"/>
                <w:highlight w:val="none"/>
                <w:lang w:eastAsia="zh-CN"/>
              </w:rPr>
              <w:t>《关于进一步加强城市生活垃圾处理工作的意见》</w:t>
            </w:r>
          </w:p>
        </w:tc>
        <w:tc>
          <w:tcPr>
            <w:tcW w:w="1302" w:type="pct"/>
            <w:vAlign w:val="center"/>
          </w:tcPr>
          <w:p w14:paraId="38669E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国发〔2011〕9号</w:t>
            </w:r>
          </w:p>
        </w:tc>
        <w:tc>
          <w:tcPr>
            <w:tcW w:w="731" w:type="pct"/>
            <w:vAlign w:val="center"/>
          </w:tcPr>
          <w:p w14:paraId="643F9E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4</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19</w:t>
            </w:r>
          </w:p>
        </w:tc>
      </w:tr>
      <w:tr w14:paraId="2F35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1DFC4E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15</w:t>
            </w:r>
          </w:p>
        </w:tc>
        <w:tc>
          <w:tcPr>
            <w:tcW w:w="2624" w:type="pct"/>
            <w:vAlign w:val="center"/>
          </w:tcPr>
          <w:p w14:paraId="3DC35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highlight w:val="none"/>
                <w:lang w:eastAsia="zh-CN"/>
              </w:rPr>
            </w:pPr>
            <w:r>
              <w:rPr>
                <w:rFonts w:hint="eastAsia" w:cs="Times New Roman"/>
                <w:color w:val="auto"/>
                <w:spacing w:val="-17"/>
                <w:kern w:val="0"/>
                <w:sz w:val="21"/>
                <w:szCs w:val="21"/>
                <w:highlight w:val="none"/>
                <w:lang w:eastAsia="zh-CN"/>
              </w:rPr>
              <w:t>《国务院关于印发《空气质量持续改善行动计划》的通知》</w:t>
            </w:r>
          </w:p>
        </w:tc>
        <w:tc>
          <w:tcPr>
            <w:tcW w:w="1302" w:type="pct"/>
            <w:vAlign w:val="center"/>
          </w:tcPr>
          <w:p w14:paraId="13FD33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国发〔20</w:t>
            </w:r>
            <w:r>
              <w:rPr>
                <w:rFonts w:hint="eastAsia" w:cs="Times New Roman"/>
                <w:color w:val="auto"/>
                <w:kern w:val="0"/>
                <w:sz w:val="21"/>
                <w:szCs w:val="21"/>
                <w:highlight w:val="none"/>
                <w:lang w:val="en-US" w:eastAsia="zh-CN"/>
              </w:rPr>
              <w:t>23</w:t>
            </w:r>
            <w:r>
              <w:rPr>
                <w:rFonts w:hint="default" w:ascii="Times New Roman" w:hAnsi="Times New Roman" w:eastAsia="宋体" w:cs="Times New Roman"/>
                <w:color w:val="auto"/>
                <w:kern w:val="0"/>
                <w:sz w:val="21"/>
                <w:szCs w:val="21"/>
                <w:highlight w:val="none"/>
              </w:rPr>
              <w:t>〕</w:t>
            </w:r>
            <w:r>
              <w:rPr>
                <w:rFonts w:hint="eastAsia" w:cs="Times New Roman"/>
                <w:color w:val="auto"/>
                <w:kern w:val="0"/>
                <w:sz w:val="21"/>
                <w:szCs w:val="21"/>
                <w:highlight w:val="none"/>
                <w:lang w:val="en-US" w:eastAsia="zh-CN"/>
              </w:rPr>
              <w:t>24</w:t>
            </w:r>
            <w:r>
              <w:rPr>
                <w:rFonts w:hint="default" w:ascii="Times New Roman" w:hAnsi="Times New Roman" w:eastAsia="宋体" w:cs="Times New Roman"/>
                <w:color w:val="auto"/>
                <w:kern w:val="0"/>
                <w:sz w:val="21"/>
                <w:szCs w:val="21"/>
                <w:highlight w:val="none"/>
              </w:rPr>
              <w:t>号</w:t>
            </w:r>
          </w:p>
        </w:tc>
        <w:tc>
          <w:tcPr>
            <w:tcW w:w="731" w:type="pct"/>
            <w:vAlign w:val="center"/>
          </w:tcPr>
          <w:p w14:paraId="5C8D7D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2023-11-30</w:t>
            </w:r>
          </w:p>
        </w:tc>
      </w:tr>
      <w:tr w14:paraId="0B28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626213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16</w:t>
            </w:r>
          </w:p>
        </w:tc>
        <w:tc>
          <w:tcPr>
            <w:tcW w:w="2624" w:type="pct"/>
            <w:vAlign w:val="center"/>
          </w:tcPr>
          <w:p w14:paraId="74123A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《中共中央 国务院关于深入打好污染防治攻坚战的意见》</w:t>
            </w:r>
          </w:p>
        </w:tc>
        <w:tc>
          <w:tcPr>
            <w:tcW w:w="1302" w:type="pct"/>
            <w:vAlign w:val="center"/>
          </w:tcPr>
          <w:p w14:paraId="3165E0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2021年第32号</w:t>
            </w:r>
          </w:p>
        </w:tc>
        <w:tc>
          <w:tcPr>
            <w:tcW w:w="731" w:type="pct"/>
            <w:vAlign w:val="center"/>
          </w:tcPr>
          <w:p w14:paraId="29BA08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2021</w:t>
            </w:r>
            <w:r>
              <w:rPr>
                <w:rFonts w:hint="eastAsia"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rPr>
              <w:t>11</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2</w:t>
            </w:r>
          </w:p>
        </w:tc>
      </w:tr>
      <w:tr w14:paraId="3AE94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4C6CED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17</w:t>
            </w:r>
          </w:p>
        </w:tc>
        <w:tc>
          <w:tcPr>
            <w:tcW w:w="2624" w:type="pct"/>
            <w:vAlign w:val="center"/>
          </w:tcPr>
          <w:p w14:paraId="4ECB85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《关于促进小城镇健康发展的若干意见》</w:t>
            </w:r>
          </w:p>
        </w:tc>
        <w:tc>
          <w:tcPr>
            <w:tcW w:w="1302" w:type="pct"/>
            <w:vAlign w:val="center"/>
          </w:tcPr>
          <w:p w14:paraId="6AA617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eastAsia="zh-CN"/>
              </w:rPr>
              <w:t>中共中央、国务院</w:t>
            </w:r>
          </w:p>
        </w:tc>
        <w:tc>
          <w:tcPr>
            <w:tcW w:w="731" w:type="pct"/>
            <w:vAlign w:val="center"/>
          </w:tcPr>
          <w:p w14:paraId="4B9D97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2000</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6</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13</w:t>
            </w:r>
          </w:p>
        </w:tc>
      </w:tr>
      <w:tr w14:paraId="38207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2A0FE0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18</w:t>
            </w:r>
          </w:p>
        </w:tc>
        <w:tc>
          <w:tcPr>
            <w:tcW w:w="2624" w:type="pct"/>
            <w:vAlign w:val="center"/>
          </w:tcPr>
          <w:p w14:paraId="2A4216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《中共中央、国务院关于全面加强生态环境保护坚决打好污染防治攻坚战的意见》</w:t>
            </w:r>
          </w:p>
        </w:tc>
        <w:tc>
          <w:tcPr>
            <w:tcW w:w="1302" w:type="pct"/>
            <w:vAlign w:val="center"/>
          </w:tcPr>
          <w:p w14:paraId="3F30A1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w:t>
            </w:r>
          </w:p>
        </w:tc>
        <w:tc>
          <w:tcPr>
            <w:tcW w:w="731" w:type="pct"/>
            <w:vAlign w:val="center"/>
          </w:tcPr>
          <w:p w14:paraId="3EF6DA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2018</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6</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16</w:t>
            </w:r>
          </w:p>
        </w:tc>
      </w:tr>
      <w:tr w14:paraId="03DD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79C34F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19</w:t>
            </w:r>
          </w:p>
        </w:tc>
        <w:tc>
          <w:tcPr>
            <w:tcW w:w="2624" w:type="pct"/>
            <w:vAlign w:val="center"/>
          </w:tcPr>
          <w:p w14:paraId="2C4820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eastAsia="zh-CN"/>
              </w:rPr>
              <w:t>《民用机场管理条例》</w:t>
            </w:r>
          </w:p>
        </w:tc>
        <w:tc>
          <w:tcPr>
            <w:tcW w:w="1302" w:type="pct"/>
            <w:vAlign w:val="center"/>
          </w:tcPr>
          <w:p w14:paraId="5C4473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国务院令第553号</w:t>
            </w:r>
          </w:p>
        </w:tc>
        <w:tc>
          <w:tcPr>
            <w:tcW w:w="731" w:type="pct"/>
            <w:vAlign w:val="center"/>
          </w:tcPr>
          <w:p w14:paraId="3C7B1A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2019</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3</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2</w:t>
            </w:r>
          </w:p>
        </w:tc>
      </w:tr>
      <w:tr w14:paraId="5CEE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40F7FE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w:t>
            </w:r>
          </w:p>
        </w:tc>
        <w:tc>
          <w:tcPr>
            <w:tcW w:w="2624" w:type="pct"/>
            <w:vAlign w:val="center"/>
          </w:tcPr>
          <w:p w14:paraId="72F168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eastAsia="zh-CN"/>
              </w:rPr>
              <w:t>《排污许可管理条例》</w:t>
            </w:r>
          </w:p>
        </w:tc>
        <w:tc>
          <w:tcPr>
            <w:tcW w:w="1302" w:type="pct"/>
            <w:vAlign w:val="center"/>
          </w:tcPr>
          <w:p w14:paraId="7FEF52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国务院令第736号</w:t>
            </w:r>
          </w:p>
        </w:tc>
        <w:tc>
          <w:tcPr>
            <w:tcW w:w="731" w:type="pct"/>
            <w:vAlign w:val="center"/>
          </w:tcPr>
          <w:p w14:paraId="1634BD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2021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3</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4607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34BD3E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21</w:t>
            </w:r>
          </w:p>
        </w:tc>
        <w:tc>
          <w:tcPr>
            <w:tcW w:w="2624" w:type="pct"/>
            <w:vAlign w:val="center"/>
          </w:tcPr>
          <w:p w14:paraId="165C95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《国务院关于促进民航业发展的若干意见》</w:t>
            </w:r>
          </w:p>
        </w:tc>
        <w:tc>
          <w:tcPr>
            <w:tcW w:w="1302" w:type="pct"/>
            <w:vAlign w:val="center"/>
          </w:tcPr>
          <w:p w14:paraId="0E3CF5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国发〔2012〕24号</w:t>
            </w:r>
          </w:p>
        </w:tc>
        <w:tc>
          <w:tcPr>
            <w:tcW w:w="731" w:type="pct"/>
            <w:vAlign w:val="center"/>
          </w:tcPr>
          <w:p w14:paraId="4C2F9B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2012</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7</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8</w:t>
            </w:r>
          </w:p>
        </w:tc>
      </w:tr>
      <w:tr w14:paraId="1FDC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59CD6D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22</w:t>
            </w:r>
          </w:p>
        </w:tc>
        <w:tc>
          <w:tcPr>
            <w:tcW w:w="2624" w:type="pct"/>
            <w:vAlign w:val="center"/>
          </w:tcPr>
          <w:p w14:paraId="30BC65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《全国生态环境保护纲要》</w:t>
            </w:r>
          </w:p>
        </w:tc>
        <w:tc>
          <w:tcPr>
            <w:tcW w:w="1302" w:type="pct"/>
            <w:vAlign w:val="center"/>
          </w:tcPr>
          <w:p w14:paraId="6BCB7A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国发〔2000〕38号</w:t>
            </w:r>
          </w:p>
        </w:tc>
        <w:tc>
          <w:tcPr>
            <w:tcW w:w="731" w:type="pct"/>
            <w:vAlign w:val="center"/>
          </w:tcPr>
          <w:p w14:paraId="39A5C1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2000</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11</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26</w:t>
            </w:r>
          </w:p>
        </w:tc>
      </w:tr>
      <w:tr w14:paraId="4932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69D0D6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23</w:t>
            </w:r>
          </w:p>
        </w:tc>
        <w:tc>
          <w:tcPr>
            <w:tcW w:w="2624" w:type="pct"/>
            <w:vAlign w:val="center"/>
          </w:tcPr>
          <w:p w14:paraId="0B9A01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《中华人民共和国国民经济和社会发展第十四个五年规划纲要和2035年远景目标纲要》</w:t>
            </w:r>
          </w:p>
        </w:tc>
        <w:tc>
          <w:tcPr>
            <w:tcW w:w="1302" w:type="pct"/>
            <w:vAlign w:val="center"/>
          </w:tcPr>
          <w:p w14:paraId="576A5F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第</w:t>
            </w:r>
            <w:r>
              <w:rPr>
                <w:rFonts w:hint="eastAsia" w:cs="Times New Roman"/>
                <w:color w:val="auto"/>
                <w:kern w:val="0"/>
                <w:sz w:val="21"/>
                <w:szCs w:val="21"/>
                <w:highlight w:val="none"/>
                <w:lang w:eastAsia="zh-CN"/>
              </w:rPr>
              <w:t>十三届人大四次会议</w:t>
            </w:r>
          </w:p>
        </w:tc>
        <w:tc>
          <w:tcPr>
            <w:tcW w:w="731" w:type="pct"/>
            <w:vAlign w:val="center"/>
          </w:tcPr>
          <w:p w14:paraId="585BC6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2021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3</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12</w:t>
            </w:r>
          </w:p>
        </w:tc>
      </w:tr>
      <w:tr w14:paraId="1577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361FA8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24</w:t>
            </w:r>
          </w:p>
        </w:tc>
        <w:tc>
          <w:tcPr>
            <w:tcW w:w="2624" w:type="pct"/>
            <w:vAlign w:val="center"/>
          </w:tcPr>
          <w:p w14:paraId="58F985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eastAsia="zh-CN"/>
              </w:rPr>
              <w:t>《生态保护补偿条例》</w:t>
            </w:r>
          </w:p>
        </w:tc>
        <w:tc>
          <w:tcPr>
            <w:tcW w:w="1302" w:type="pct"/>
            <w:vAlign w:val="center"/>
          </w:tcPr>
          <w:p w14:paraId="34C0C0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国务院令第779</w:t>
            </w:r>
            <w:r>
              <w:rPr>
                <w:rFonts w:hint="eastAsia" w:cs="Times New Roman"/>
                <w:color w:val="auto"/>
                <w:kern w:val="0"/>
                <w:sz w:val="21"/>
                <w:szCs w:val="21"/>
                <w:highlight w:val="none"/>
                <w:lang w:val="en-US" w:eastAsia="zh-CN"/>
              </w:rPr>
              <w:t>号</w:t>
            </w:r>
          </w:p>
        </w:tc>
        <w:tc>
          <w:tcPr>
            <w:tcW w:w="731" w:type="pct"/>
            <w:vAlign w:val="center"/>
          </w:tcPr>
          <w:p w14:paraId="5266DA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2024-06-01</w:t>
            </w:r>
          </w:p>
        </w:tc>
      </w:tr>
      <w:tr w14:paraId="3162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6E7BC4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三</w:t>
            </w:r>
          </w:p>
        </w:tc>
        <w:tc>
          <w:tcPr>
            <w:tcW w:w="2624" w:type="pct"/>
            <w:vAlign w:val="center"/>
          </w:tcPr>
          <w:p w14:paraId="7DB8AF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部门规章与部门发布的规范性文件</w:t>
            </w:r>
          </w:p>
        </w:tc>
        <w:tc>
          <w:tcPr>
            <w:tcW w:w="1302" w:type="pct"/>
            <w:vAlign w:val="center"/>
          </w:tcPr>
          <w:p w14:paraId="7D2D5B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w:t>
            </w:r>
          </w:p>
        </w:tc>
        <w:tc>
          <w:tcPr>
            <w:tcW w:w="731" w:type="pct"/>
            <w:vAlign w:val="center"/>
          </w:tcPr>
          <w:p w14:paraId="310D6C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w:t>
            </w:r>
          </w:p>
        </w:tc>
      </w:tr>
      <w:tr w14:paraId="4254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462085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w:t>
            </w:r>
          </w:p>
        </w:tc>
        <w:tc>
          <w:tcPr>
            <w:tcW w:w="2624" w:type="pct"/>
            <w:vAlign w:val="center"/>
          </w:tcPr>
          <w:p w14:paraId="18432A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《建设项目环境影响评价分类管理名录（2021年版）》</w:t>
            </w:r>
          </w:p>
        </w:tc>
        <w:tc>
          <w:tcPr>
            <w:tcW w:w="1302" w:type="pct"/>
            <w:vAlign w:val="center"/>
          </w:tcPr>
          <w:p w14:paraId="208A4A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生态环境部令第16号</w:t>
            </w:r>
          </w:p>
        </w:tc>
        <w:tc>
          <w:tcPr>
            <w:tcW w:w="731" w:type="pct"/>
            <w:vAlign w:val="center"/>
          </w:tcPr>
          <w:p w14:paraId="6795E4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2020</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11</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30</w:t>
            </w:r>
          </w:p>
        </w:tc>
      </w:tr>
      <w:tr w14:paraId="6488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4726C0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w:t>
            </w:r>
          </w:p>
        </w:tc>
        <w:tc>
          <w:tcPr>
            <w:tcW w:w="2624" w:type="pct"/>
            <w:vAlign w:val="center"/>
          </w:tcPr>
          <w:p w14:paraId="3768B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《关于发布&lt;环境空气细颗粒物污染综合防治技术政策&gt;的公告》</w:t>
            </w:r>
          </w:p>
        </w:tc>
        <w:tc>
          <w:tcPr>
            <w:tcW w:w="1302" w:type="pct"/>
            <w:noWrap/>
            <w:vAlign w:val="center"/>
          </w:tcPr>
          <w:p w14:paraId="1B4355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环境保护部公告2013年第59号</w:t>
            </w:r>
          </w:p>
        </w:tc>
        <w:tc>
          <w:tcPr>
            <w:tcW w:w="731" w:type="pct"/>
            <w:vAlign w:val="center"/>
          </w:tcPr>
          <w:p w14:paraId="220D9D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2013</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9</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13</w:t>
            </w:r>
          </w:p>
        </w:tc>
      </w:tr>
      <w:tr w14:paraId="05F9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04E37A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w:t>
            </w:r>
          </w:p>
        </w:tc>
        <w:tc>
          <w:tcPr>
            <w:tcW w:w="2624" w:type="pct"/>
            <w:vAlign w:val="center"/>
          </w:tcPr>
          <w:p w14:paraId="79D7FF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《国家危险废物名录（2025年版）》</w:t>
            </w:r>
          </w:p>
        </w:tc>
        <w:tc>
          <w:tcPr>
            <w:tcW w:w="1302" w:type="pct"/>
            <w:noWrap/>
            <w:vAlign w:val="center"/>
          </w:tcPr>
          <w:p w14:paraId="2B84C9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部令第36号</w:t>
            </w:r>
          </w:p>
        </w:tc>
        <w:tc>
          <w:tcPr>
            <w:tcW w:w="731" w:type="pct"/>
            <w:vAlign w:val="center"/>
          </w:tcPr>
          <w:p w14:paraId="73EC64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2025-01-01</w:t>
            </w:r>
          </w:p>
        </w:tc>
      </w:tr>
      <w:tr w14:paraId="21AC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2589AF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w:t>
            </w:r>
          </w:p>
        </w:tc>
        <w:tc>
          <w:tcPr>
            <w:tcW w:w="2624" w:type="pct"/>
            <w:vAlign w:val="center"/>
          </w:tcPr>
          <w:p w14:paraId="0C2E5A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《产业结构调整指导目录（2024年本）》</w:t>
            </w:r>
          </w:p>
        </w:tc>
        <w:tc>
          <w:tcPr>
            <w:tcW w:w="1302" w:type="pct"/>
            <w:vAlign w:val="center"/>
          </w:tcPr>
          <w:p w14:paraId="34ACF0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国家发展和改革委员会令第</w:t>
            </w:r>
            <w:r>
              <w:rPr>
                <w:rFonts w:hint="eastAsia" w:cs="Times New Roman"/>
                <w:color w:val="auto"/>
                <w:kern w:val="0"/>
                <w:sz w:val="21"/>
                <w:szCs w:val="21"/>
                <w:highlight w:val="none"/>
                <w:lang w:val="en-US" w:eastAsia="zh-CN"/>
              </w:rPr>
              <w:t>7</w:t>
            </w:r>
            <w:r>
              <w:rPr>
                <w:rFonts w:hint="default" w:ascii="Times New Roman" w:hAnsi="Times New Roman" w:eastAsia="宋体" w:cs="Times New Roman"/>
                <w:color w:val="auto"/>
                <w:kern w:val="0"/>
                <w:sz w:val="21"/>
                <w:szCs w:val="21"/>
                <w:highlight w:val="none"/>
              </w:rPr>
              <w:t>号</w:t>
            </w:r>
          </w:p>
        </w:tc>
        <w:tc>
          <w:tcPr>
            <w:tcW w:w="731" w:type="pct"/>
            <w:vAlign w:val="center"/>
          </w:tcPr>
          <w:p w14:paraId="63F758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202</w:t>
            </w:r>
            <w:r>
              <w:rPr>
                <w:rFonts w:hint="eastAsia" w:cs="Times New Roman"/>
                <w:color w:val="auto"/>
                <w:kern w:val="0"/>
                <w:sz w:val="21"/>
                <w:szCs w:val="21"/>
                <w:highlight w:val="none"/>
                <w:lang w:val="en-US" w:eastAsia="zh-CN"/>
              </w:rPr>
              <w:t>4</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02</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01</w:t>
            </w:r>
          </w:p>
        </w:tc>
      </w:tr>
      <w:tr w14:paraId="2E4C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2386CB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w:t>
            </w:r>
          </w:p>
        </w:tc>
        <w:tc>
          <w:tcPr>
            <w:tcW w:w="2624" w:type="pct"/>
            <w:vAlign w:val="center"/>
          </w:tcPr>
          <w:p w14:paraId="152DD7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国家重点保护野生植物名录</w:t>
            </w:r>
          </w:p>
        </w:tc>
        <w:tc>
          <w:tcPr>
            <w:tcW w:w="1302" w:type="pct"/>
            <w:vAlign w:val="center"/>
          </w:tcPr>
          <w:p w14:paraId="065973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国家林业和草原局农业农村部公告〔2021年第15号〕</w:t>
            </w:r>
          </w:p>
        </w:tc>
        <w:tc>
          <w:tcPr>
            <w:tcW w:w="731" w:type="pct"/>
            <w:vAlign w:val="center"/>
          </w:tcPr>
          <w:p w14:paraId="77D13C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2021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9</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7</w:t>
            </w:r>
          </w:p>
        </w:tc>
      </w:tr>
      <w:tr w14:paraId="1CB9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13A700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w:t>
            </w:r>
          </w:p>
        </w:tc>
        <w:tc>
          <w:tcPr>
            <w:tcW w:w="2624" w:type="pct"/>
            <w:vAlign w:val="center"/>
          </w:tcPr>
          <w:p w14:paraId="75FB45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国家重点保护野生动物名录</w:t>
            </w:r>
          </w:p>
        </w:tc>
        <w:tc>
          <w:tcPr>
            <w:tcW w:w="1302" w:type="pct"/>
            <w:vAlign w:val="center"/>
          </w:tcPr>
          <w:p w14:paraId="508A82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国家林业和草原局农业农村部公告2021年第3号</w:t>
            </w:r>
          </w:p>
        </w:tc>
        <w:tc>
          <w:tcPr>
            <w:tcW w:w="731" w:type="pct"/>
            <w:vAlign w:val="center"/>
          </w:tcPr>
          <w:p w14:paraId="2A09DD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2021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2</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5</w:t>
            </w:r>
          </w:p>
        </w:tc>
      </w:tr>
      <w:tr w14:paraId="3F2C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4232B2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7</w:t>
            </w:r>
          </w:p>
        </w:tc>
        <w:tc>
          <w:tcPr>
            <w:tcW w:w="2624" w:type="pct"/>
            <w:vAlign w:val="center"/>
          </w:tcPr>
          <w:p w14:paraId="2BCDD9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关于印发《企业事业单位突发环境事件应急预案备案管理办法（试行）》的通知</w:t>
            </w:r>
          </w:p>
        </w:tc>
        <w:tc>
          <w:tcPr>
            <w:tcW w:w="1302" w:type="pct"/>
            <w:vAlign w:val="center"/>
          </w:tcPr>
          <w:p w14:paraId="6BA485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环发〔2015〕4号</w:t>
            </w:r>
          </w:p>
        </w:tc>
        <w:tc>
          <w:tcPr>
            <w:tcW w:w="731" w:type="pct"/>
            <w:vAlign w:val="center"/>
          </w:tcPr>
          <w:p w14:paraId="32EC18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2015</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8</w:t>
            </w:r>
          </w:p>
        </w:tc>
      </w:tr>
      <w:tr w14:paraId="65B1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696ECE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8</w:t>
            </w:r>
          </w:p>
        </w:tc>
        <w:tc>
          <w:tcPr>
            <w:tcW w:w="2624" w:type="pct"/>
            <w:vAlign w:val="center"/>
          </w:tcPr>
          <w:p w14:paraId="6FB427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关于进一步加强环境影响评价管理防范环境风险的通知</w:t>
            </w:r>
          </w:p>
        </w:tc>
        <w:tc>
          <w:tcPr>
            <w:tcW w:w="1302" w:type="pct"/>
            <w:vAlign w:val="center"/>
          </w:tcPr>
          <w:p w14:paraId="2D2CFD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环发〔2012〕77号</w:t>
            </w:r>
          </w:p>
        </w:tc>
        <w:tc>
          <w:tcPr>
            <w:tcW w:w="731" w:type="pct"/>
            <w:vAlign w:val="center"/>
          </w:tcPr>
          <w:p w14:paraId="742A21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2012</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7</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3</w:t>
            </w:r>
          </w:p>
        </w:tc>
      </w:tr>
      <w:tr w14:paraId="54A2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2E85CF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9</w:t>
            </w:r>
          </w:p>
        </w:tc>
        <w:tc>
          <w:tcPr>
            <w:tcW w:w="2624" w:type="pct"/>
            <w:vAlign w:val="center"/>
          </w:tcPr>
          <w:p w14:paraId="45C5FD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关于印发</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危险废物规范化管理指标体系</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的通知</w:t>
            </w:r>
          </w:p>
        </w:tc>
        <w:tc>
          <w:tcPr>
            <w:tcW w:w="1302" w:type="pct"/>
            <w:vAlign w:val="center"/>
          </w:tcPr>
          <w:p w14:paraId="209130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环办〔2015〕99号</w:t>
            </w:r>
          </w:p>
        </w:tc>
        <w:tc>
          <w:tcPr>
            <w:tcW w:w="731" w:type="pct"/>
            <w:vAlign w:val="center"/>
          </w:tcPr>
          <w:p w14:paraId="025FDE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2016</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2BE4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2F931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w:t>
            </w:r>
          </w:p>
        </w:tc>
        <w:tc>
          <w:tcPr>
            <w:tcW w:w="2624" w:type="pct"/>
            <w:vAlign w:val="center"/>
          </w:tcPr>
          <w:p w14:paraId="2DFC2E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关于切实加强风险防范严格环境影响评价管理的通知</w:t>
            </w:r>
          </w:p>
        </w:tc>
        <w:tc>
          <w:tcPr>
            <w:tcW w:w="1302" w:type="pct"/>
            <w:vAlign w:val="center"/>
          </w:tcPr>
          <w:p w14:paraId="3FD879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环发〔2012〕98号</w:t>
            </w:r>
          </w:p>
        </w:tc>
        <w:tc>
          <w:tcPr>
            <w:tcW w:w="731" w:type="pct"/>
            <w:vAlign w:val="center"/>
          </w:tcPr>
          <w:p w14:paraId="2059C8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2012</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8</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7</w:t>
            </w:r>
          </w:p>
        </w:tc>
      </w:tr>
      <w:tr w14:paraId="0635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18EA36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w:t>
            </w:r>
          </w:p>
        </w:tc>
        <w:tc>
          <w:tcPr>
            <w:tcW w:w="2624" w:type="pct"/>
            <w:vAlign w:val="center"/>
          </w:tcPr>
          <w:p w14:paraId="6D6965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关于加强国家重点生态功能区环境保护和管理的意见</w:t>
            </w:r>
          </w:p>
        </w:tc>
        <w:tc>
          <w:tcPr>
            <w:tcW w:w="1302" w:type="pct"/>
            <w:vAlign w:val="center"/>
          </w:tcPr>
          <w:p w14:paraId="12CA6B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环发〔2013〕16号</w:t>
            </w:r>
          </w:p>
        </w:tc>
        <w:tc>
          <w:tcPr>
            <w:tcW w:w="731" w:type="pct"/>
            <w:vAlign w:val="center"/>
          </w:tcPr>
          <w:p w14:paraId="74ED1B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2013</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22</w:t>
            </w:r>
          </w:p>
        </w:tc>
      </w:tr>
      <w:tr w14:paraId="31B7A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568A5D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12</w:t>
            </w:r>
          </w:p>
        </w:tc>
        <w:tc>
          <w:tcPr>
            <w:tcW w:w="2624" w:type="pct"/>
            <w:vAlign w:val="center"/>
          </w:tcPr>
          <w:p w14:paraId="6C1B6C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关于强化建设项目环境影响评价事中事后监管的实施意见</w:t>
            </w:r>
          </w:p>
        </w:tc>
        <w:tc>
          <w:tcPr>
            <w:tcW w:w="1302" w:type="pct"/>
            <w:vAlign w:val="center"/>
          </w:tcPr>
          <w:p w14:paraId="14AC3D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环环评〔2018〕11号</w:t>
            </w:r>
          </w:p>
        </w:tc>
        <w:tc>
          <w:tcPr>
            <w:tcW w:w="731" w:type="pct"/>
            <w:vAlign w:val="center"/>
          </w:tcPr>
          <w:p w14:paraId="518C81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2018</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25</w:t>
            </w:r>
          </w:p>
        </w:tc>
      </w:tr>
      <w:tr w14:paraId="310D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46C1FD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13</w:t>
            </w:r>
          </w:p>
        </w:tc>
        <w:tc>
          <w:tcPr>
            <w:tcW w:w="2624" w:type="pct"/>
            <w:vAlign w:val="center"/>
          </w:tcPr>
          <w:p w14:paraId="46C2DE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关于印发地下水污染防治实施方案的通知</w:t>
            </w:r>
          </w:p>
        </w:tc>
        <w:tc>
          <w:tcPr>
            <w:tcW w:w="1302" w:type="pct"/>
            <w:vAlign w:val="center"/>
          </w:tcPr>
          <w:p w14:paraId="694D1F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环土壤〔2019〕25号</w:t>
            </w:r>
          </w:p>
        </w:tc>
        <w:tc>
          <w:tcPr>
            <w:tcW w:w="731" w:type="pct"/>
            <w:vAlign w:val="center"/>
          </w:tcPr>
          <w:p w14:paraId="558063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2019</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3</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28</w:t>
            </w:r>
          </w:p>
        </w:tc>
      </w:tr>
      <w:tr w14:paraId="0548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5F2065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14</w:t>
            </w:r>
          </w:p>
        </w:tc>
        <w:tc>
          <w:tcPr>
            <w:tcW w:w="2624" w:type="pct"/>
            <w:vAlign w:val="center"/>
          </w:tcPr>
          <w:p w14:paraId="3D4969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关于推进生态文明建设的指导意见</w:t>
            </w:r>
          </w:p>
        </w:tc>
        <w:tc>
          <w:tcPr>
            <w:tcW w:w="1302" w:type="pct"/>
            <w:vAlign w:val="center"/>
          </w:tcPr>
          <w:p w14:paraId="6B258C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环发〔2008〕126号</w:t>
            </w:r>
          </w:p>
        </w:tc>
        <w:tc>
          <w:tcPr>
            <w:tcW w:w="731" w:type="pct"/>
            <w:vAlign w:val="center"/>
          </w:tcPr>
          <w:p w14:paraId="5FBB4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2008</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12</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18</w:t>
            </w:r>
          </w:p>
        </w:tc>
      </w:tr>
      <w:tr w14:paraId="6A6E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15CB6B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15</w:t>
            </w:r>
          </w:p>
        </w:tc>
        <w:tc>
          <w:tcPr>
            <w:tcW w:w="2624" w:type="pct"/>
            <w:vAlign w:val="center"/>
          </w:tcPr>
          <w:p w14:paraId="59C97C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挥发性有机物（VOCs）污染防治技术政策</w:t>
            </w:r>
          </w:p>
        </w:tc>
        <w:tc>
          <w:tcPr>
            <w:tcW w:w="1302" w:type="pct"/>
            <w:vAlign w:val="center"/>
          </w:tcPr>
          <w:p w14:paraId="53F6B1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环境保护部公告2013年第31号</w:t>
            </w:r>
          </w:p>
        </w:tc>
        <w:tc>
          <w:tcPr>
            <w:tcW w:w="731" w:type="pct"/>
            <w:vAlign w:val="center"/>
          </w:tcPr>
          <w:p w14:paraId="32375D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2013</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5</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24</w:t>
            </w:r>
          </w:p>
        </w:tc>
      </w:tr>
      <w:tr w14:paraId="6CB4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50FA18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16</w:t>
            </w:r>
          </w:p>
        </w:tc>
        <w:tc>
          <w:tcPr>
            <w:tcW w:w="2624" w:type="pct"/>
            <w:vAlign w:val="center"/>
          </w:tcPr>
          <w:p w14:paraId="66E0B8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关于做好环境影响评价制度与排污许可</w:t>
            </w:r>
            <w:r>
              <w:rPr>
                <w:rFonts w:hint="eastAsia" w:cs="Times New Roman"/>
                <w:color w:val="auto"/>
                <w:kern w:val="0"/>
                <w:sz w:val="21"/>
                <w:szCs w:val="21"/>
                <w:highlight w:val="none"/>
                <w:lang w:eastAsia="zh-CN"/>
              </w:rPr>
              <w:t>制度</w:t>
            </w:r>
            <w:r>
              <w:rPr>
                <w:rFonts w:hint="default" w:ascii="Times New Roman" w:hAnsi="Times New Roman" w:eastAsia="宋体" w:cs="Times New Roman"/>
                <w:color w:val="auto"/>
                <w:kern w:val="0"/>
                <w:sz w:val="21"/>
                <w:szCs w:val="21"/>
                <w:highlight w:val="none"/>
              </w:rPr>
              <w:t>衔接相关工作的通知</w:t>
            </w:r>
          </w:p>
        </w:tc>
        <w:tc>
          <w:tcPr>
            <w:tcW w:w="1302" w:type="pct"/>
            <w:vAlign w:val="center"/>
          </w:tcPr>
          <w:p w14:paraId="499A14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环办环评〔2017〕84号</w:t>
            </w:r>
          </w:p>
        </w:tc>
        <w:tc>
          <w:tcPr>
            <w:tcW w:w="731" w:type="pct"/>
            <w:vAlign w:val="center"/>
          </w:tcPr>
          <w:p w14:paraId="609070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2017</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11</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14</w:t>
            </w:r>
          </w:p>
        </w:tc>
      </w:tr>
      <w:tr w14:paraId="3DA3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5F5931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17</w:t>
            </w:r>
          </w:p>
        </w:tc>
        <w:tc>
          <w:tcPr>
            <w:tcW w:w="2624" w:type="pct"/>
            <w:vAlign w:val="center"/>
          </w:tcPr>
          <w:p w14:paraId="27BF5B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关于以改善环境质量为核心加强环境影响评价管理的通知</w:t>
            </w:r>
          </w:p>
        </w:tc>
        <w:tc>
          <w:tcPr>
            <w:tcW w:w="1302" w:type="pct"/>
            <w:vAlign w:val="center"/>
          </w:tcPr>
          <w:p w14:paraId="678FAB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环办环评〔2016〕150号</w:t>
            </w:r>
          </w:p>
        </w:tc>
        <w:tc>
          <w:tcPr>
            <w:tcW w:w="731" w:type="pct"/>
            <w:vAlign w:val="center"/>
          </w:tcPr>
          <w:p w14:paraId="5F0624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2016</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10</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26</w:t>
            </w:r>
          </w:p>
        </w:tc>
      </w:tr>
      <w:tr w14:paraId="14F7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5C6826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18</w:t>
            </w:r>
          </w:p>
        </w:tc>
        <w:tc>
          <w:tcPr>
            <w:tcW w:w="2624" w:type="pct"/>
            <w:vAlign w:val="center"/>
          </w:tcPr>
          <w:p w14:paraId="5BD463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环境影响评价公众参与办法</w:t>
            </w:r>
          </w:p>
        </w:tc>
        <w:tc>
          <w:tcPr>
            <w:tcW w:w="1302" w:type="pct"/>
            <w:vAlign w:val="center"/>
          </w:tcPr>
          <w:p w14:paraId="54953C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生态环境部令4号</w:t>
            </w:r>
          </w:p>
        </w:tc>
        <w:tc>
          <w:tcPr>
            <w:tcW w:w="731" w:type="pct"/>
            <w:vAlign w:val="center"/>
          </w:tcPr>
          <w:p w14:paraId="736303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2019-01-01</w:t>
            </w:r>
          </w:p>
        </w:tc>
      </w:tr>
      <w:tr w14:paraId="0CE3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610C7E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19</w:t>
            </w:r>
          </w:p>
        </w:tc>
        <w:tc>
          <w:tcPr>
            <w:tcW w:w="2624" w:type="pct"/>
            <w:vAlign w:val="center"/>
          </w:tcPr>
          <w:p w14:paraId="058131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关于印发</w:t>
            </w:r>
            <w:r>
              <w:rPr>
                <w:rFonts w:hint="eastAsia" w:cs="Times New Roman"/>
                <w:color w:val="auto"/>
                <w:kern w:val="0"/>
                <w:sz w:val="21"/>
                <w:szCs w:val="21"/>
                <w:highlight w:val="none"/>
                <w:lang w:eastAsia="zh-CN"/>
              </w:rPr>
              <w:t>&lt;</w:t>
            </w:r>
            <w:r>
              <w:rPr>
                <w:rFonts w:hint="default" w:ascii="Times New Roman" w:hAnsi="Times New Roman" w:eastAsia="宋体" w:cs="Times New Roman"/>
                <w:color w:val="auto"/>
                <w:kern w:val="0"/>
                <w:sz w:val="21"/>
                <w:szCs w:val="21"/>
                <w:highlight w:val="none"/>
              </w:rPr>
              <w:t>建设项目环境保护事中事后监督管理办法（试行）</w:t>
            </w:r>
            <w:r>
              <w:rPr>
                <w:rFonts w:hint="eastAsia" w:cs="Times New Roman"/>
                <w:color w:val="auto"/>
                <w:kern w:val="0"/>
                <w:sz w:val="21"/>
                <w:szCs w:val="21"/>
                <w:highlight w:val="none"/>
                <w:lang w:eastAsia="zh-CN"/>
              </w:rPr>
              <w:t>&gt;</w:t>
            </w:r>
            <w:r>
              <w:rPr>
                <w:rFonts w:hint="default" w:ascii="Times New Roman" w:hAnsi="Times New Roman" w:eastAsia="宋体" w:cs="Times New Roman"/>
                <w:color w:val="auto"/>
                <w:kern w:val="0"/>
                <w:sz w:val="21"/>
                <w:szCs w:val="21"/>
                <w:highlight w:val="none"/>
              </w:rPr>
              <w:t>的通知</w:t>
            </w:r>
          </w:p>
        </w:tc>
        <w:tc>
          <w:tcPr>
            <w:tcW w:w="1302" w:type="pct"/>
            <w:vAlign w:val="center"/>
          </w:tcPr>
          <w:p w14:paraId="58BD8B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环发〔2015〕163号</w:t>
            </w:r>
          </w:p>
        </w:tc>
        <w:tc>
          <w:tcPr>
            <w:tcW w:w="731" w:type="pct"/>
            <w:vAlign w:val="center"/>
          </w:tcPr>
          <w:p w14:paraId="0D37E7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2015</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12</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10</w:t>
            </w:r>
          </w:p>
        </w:tc>
      </w:tr>
      <w:tr w14:paraId="5595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38C56F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w:t>
            </w:r>
          </w:p>
        </w:tc>
        <w:tc>
          <w:tcPr>
            <w:tcW w:w="2624" w:type="pct"/>
            <w:vAlign w:val="center"/>
          </w:tcPr>
          <w:p w14:paraId="4DEF7C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关于印发</w:t>
            </w:r>
            <w:r>
              <w:rPr>
                <w:rFonts w:hint="eastAsia" w:cs="Times New Roman"/>
                <w:color w:val="auto"/>
                <w:kern w:val="0"/>
                <w:sz w:val="21"/>
                <w:szCs w:val="21"/>
                <w:highlight w:val="none"/>
                <w:lang w:eastAsia="zh-CN"/>
              </w:rPr>
              <w:t>&lt;</w:t>
            </w:r>
            <w:r>
              <w:rPr>
                <w:rFonts w:hint="default" w:ascii="Times New Roman" w:hAnsi="Times New Roman" w:eastAsia="宋体" w:cs="Times New Roman"/>
                <w:color w:val="auto"/>
                <w:kern w:val="0"/>
                <w:sz w:val="21"/>
                <w:szCs w:val="21"/>
                <w:highlight w:val="none"/>
              </w:rPr>
              <w:t>生态保护红线划定指南</w:t>
            </w:r>
            <w:r>
              <w:rPr>
                <w:rFonts w:hint="eastAsia" w:cs="Times New Roman"/>
                <w:color w:val="auto"/>
                <w:kern w:val="0"/>
                <w:sz w:val="21"/>
                <w:szCs w:val="21"/>
                <w:highlight w:val="none"/>
                <w:lang w:eastAsia="zh-CN"/>
              </w:rPr>
              <w:t>&gt;</w:t>
            </w:r>
            <w:r>
              <w:rPr>
                <w:rFonts w:hint="default" w:ascii="Times New Roman" w:hAnsi="Times New Roman" w:eastAsia="宋体" w:cs="Times New Roman"/>
                <w:color w:val="auto"/>
                <w:kern w:val="0"/>
                <w:sz w:val="21"/>
                <w:szCs w:val="21"/>
                <w:highlight w:val="none"/>
              </w:rPr>
              <w:t>的通知</w:t>
            </w:r>
          </w:p>
        </w:tc>
        <w:tc>
          <w:tcPr>
            <w:tcW w:w="1302" w:type="pct"/>
            <w:vAlign w:val="center"/>
          </w:tcPr>
          <w:p w14:paraId="742DD5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环办生态〔2017〕48号</w:t>
            </w:r>
          </w:p>
        </w:tc>
        <w:tc>
          <w:tcPr>
            <w:tcW w:w="731" w:type="pct"/>
            <w:vAlign w:val="center"/>
          </w:tcPr>
          <w:p w14:paraId="429D3B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2015</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5</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27</w:t>
            </w:r>
          </w:p>
        </w:tc>
      </w:tr>
      <w:tr w14:paraId="2411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48872B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21</w:t>
            </w:r>
          </w:p>
        </w:tc>
        <w:tc>
          <w:tcPr>
            <w:tcW w:w="2624" w:type="pct"/>
            <w:vAlign w:val="center"/>
          </w:tcPr>
          <w:p w14:paraId="43D0E8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排污许可证申请与核发技术规范工业固体废物（试行）</w:t>
            </w:r>
          </w:p>
        </w:tc>
        <w:tc>
          <w:tcPr>
            <w:tcW w:w="1302" w:type="pct"/>
            <w:vAlign w:val="center"/>
          </w:tcPr>
          <w:p w14:paraId="353910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HJ1200-2021</w:t>
            </w:r>
          </w:p>
        </w:tc>
        <w:tc>
          <w:tcPr>
            <w:tcW w:w="731" w:type="pct"/>
            <w:vAlign w:val="center"/>
          </w:tcPr>
          <w:p w14:paraId="2B2D2B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2022</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31A2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3EB527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22</w:t>
            </w:r>
          </w:p>
        </w:tc>
        <w:tc>
          <w:tcPr>
            <w:tcW w:w="2624" w:type="pct"/>
            <w:vAlign w:val="center"/>
          </w:tcPr>
          <w:p w14:paraId="3D479A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危险废物收集 贮存 运输技术规范</w:t>
            </w:r>
          </w:p>
        </w:tc>
        <w:tc>
          <w:tcPr>
            <w:tcW w:w="1302" w:type="pct"/>
            <w:vAlign w:val="center"/>
          </w:tcPr>
          <w:p w14:paraId="6B76E3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HJ2025-2012</w:t>
            </w:r>
          </w:p>
        </w:tc>
        <w:tc>
          <w:tcPr>
            <w:tcW w:w="731" w:type="pct"/>
            <w:vAlign w:val="center"/>
          </w:tcPr>
          <w:p w14:paraId="5D33CC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2013</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3</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6524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614B18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23</w:t>
            </w:r>
          </w:p>
        </w:tc>
        <w:tc>
          <w:tcPr>
            <w:tcW w:w="2624" w:type="pct"/>
            <w:vAlign w:val="center"/>
          </w:tcPr>
          <w:p w14:paraId="63E333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关于加强资源环境生态红线管控的指导意见</w:t>
            </w:r>
          </w:p>
        </w:tc>
        <w:tc>
          <w:tcPr>
            <w:tcW w:w="1302" w:type="pct"/>
            <w:vAlign w:val="center"/>
          </w:tcPr>
          <w:p w14:paraId="518F88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发改环资〔2016〕1162号</w:t>
            </w:r>
          </w:p>
        </w:tc>
        <w:tc>
          <w:tcPr>
            <w:tcW w:w="731" w:type="pct"/>
            <w:vAlign w:val="center"/>
          </w:tcPr>
          <w:p w14:paraId="67FBC5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2016</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5</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30</w:t>
            </w:r>
          </w:p>
        </w:tc>
      </w:tr>
      <w:tr w14:paraId="7B049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59875A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24</w:t>
            </w:r>
          </w:p>
        </w:tc>
        <w:tc>
          <w:tcPr>
            <w:tcW w:w="2624" w:type="pct"/>
            <w:vAlign w:val="center"/>
          </w:tcPr>
          <w:p w14:paraId="5CF204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关于落实大气污染防治行动计划严格环境影响评价准入的通知</w:t>
            </w:r>
          </w:p>
        </w:tc>
        <w:tc>
          <w:tcPr>
            <w:tcW w:w="1302" w:type="pct"/>
            <w:vAlign w:val="center"/>
          </w:tcPr>
          <w:p w14:paraId="190C5D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环办〔2014〕30号</w:t>
            </w:r>
          </w:p>
        </w:tc>
        <w:tc>
          <w:tcPr>
            <w:tcW w:w="731" w:type="pct"/>
            <w:vAlign w:val="center"/>
          </w:tcPr>
          <w:p w14:paraId="4D9E84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2014</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3</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25</w:t>
            </w:r>
          </w:p>
        </w:tc>
      </w:tr>
      <w:tr w14:paraId="7EC2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5B204E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25</w:t>
            </w:r>
          </w:p>
        </w:tc>
        <w:tc>
          <w:tcPr>
            <w:tcW w:w="2624" w:type="pct"/>
            <w:vAlign w:val="center"/>
          </w:tcPr>
          <w:p w14:paraId="253EF0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关于印发全国民用运输机场布局规划的通知</w:t>
            </w:r>
          </w:p>
        </w:tc>
        <w:tc>
          <w:tcPr>
            <w:tcW w:w="1302" w:type="pct"/>
            <w:vAlign w:val="center"/>
          </w:tcPr>
          <w:p w14:paraId="086483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发改基础〔2017〕290号</w:t>
            </w:r>
          </w:p>
        </w:tc>
        <w:tc>
          <w:tcPr>
            <w:tcW w:w="731" w:type="pct"/>
            <w:vAlign w:val="center"/>
          </w:tcPr>
          <w:p w14:paraId="082523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2017</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2</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13</w:t>
            </w:r>
          </w:p>
        </w:tc>
      </w:tr>
      <w:tr w14:paraId="005F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031BAB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26</w:t>
            </w:r>
          </w:p>
        </w:tc>
        <w:tc>
          <w:tcPr>
            <w:tcW w:w="2624" w:type="pct"/>
            <w:vAlign w:val="center"/>
          </w:tcPr>
          <w:p w14:paraId="489933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民航局关于进一步促进新疆民航发展的意见</w:t>
            </w:r>
          </w:p>
        </w:tc>
        <w:tc>
          <w:tcPr>
            <w:tcW w:w="1302" w:type="pct"/>
            <w:vAlign w:val="center"/>
          </w:tcPr>
          <w:p w14:paraId="5B7C67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民航发〔2014〕104号</w:t>
            </w:r>
          </w:p>
        </w:tc>
        <w:tc>
          <w:tcPr>
            <w:tcW w:w="731" w:type="pct"/>
            <w:vAlign w:val="center"/>
          </w:tcPr>
          <w:p w14:paraId="69D7A5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2014</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12</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24</w:t>
            </w:r>
          </w:p>
        </w:tc>
      </w:tr>
      <w:tr w14:paraId="052C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357064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27</w:t>
            </w:r>
          </w:p>
        </w:tc>
        <w:tc>
          <w:tcPr>
            <w:tcW w:w="2624" w:type="pct"/>
            <w:vAlign w:val="center"/>
          </w:tcPr>
          <w:p w14:paraId="1F9168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机场建设项目环境影响评价文件审批原则（试行）</w:t>
            </w:r>
          </w:p>
        </w:tc>
        <w:tc>
          <w:tcPr>
            <w:tcW w:w="1302" w:type="pct"/>
            <w:vAlign w:val="center"/>
          </w:tcPr>
          <w:p w14:paraId="55420B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环办环评〔2018〕2号</w:t>
            </w:r>
          </w:p>
        </w:tc>
        <w:tc>
          <w:tcPr>
            <w:tcW w:w="731" w:type="pct"/>
            <w:vAlign w:val="center"/>
          </w:tcPr>
          <w:p w14:paraId="2F8F1E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2018</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5</w:t>
            </w:r>
          </w:p>
        </w:tc>
      </w:tr>
      <w:tr w14:paraId="6887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17F10D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28</w:t>
            </w:r>
          </w:p>
        </w:tc>
        <w:tc>
          <w:tcPr>
            <w:tcW w:w="2624" w:type="pct"/>
            <w:vAlign w:val="center"/>
          </w:tcPr>
          <w:p w14:paraId="22ED11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建设项目主要污染物排放总量指标审核及管理暂行办法</w:t>
            </w:r>
          </w:p>
        </w:tc>
        <w:tc>
          <w:tcPr>
            <w:tcW w:w="1302" w:type="pct"/>
            <w:vAlign w:val="center"/>
          </w:tcPr>
          <w:p w14:paraId="3565B9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环发函〔2014〕197号</w:t>
            </w:r>
          </w:p>
        </w:tc>
        <w:tc>
          <w:tcPr>
            <w:tcW w:w="731" w:type="pct"/>
            <w:vAlign w:val="center"/>
          </w:tcPr>
          <w:p w14:paraId="2BDC2C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2014</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12</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30</w:t>
            </w:r>
          </w:p>
        </w:tc>
      </w:tr>
      <w:tr w14:paraId="31DF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206E95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29</w:t>
            </w:r>
          </w:p>
        </w:tc>
        <w:tc>
          <w:tcPr>
            <w:tcW w:w="2624" w:type="pct"/>
            <w:vAlign w:val="center"/>
          </w:tcPr>
          <w:p w14:paraId="481EC9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全国生态功能区划（修编版）</w:t>
            </w:r>
          </w:p>
        </w:tc>
        <w:tc>
          <w:tcPr>
            <w:tcW w:w="1302" w:type="pct"/>
            <w:vAlign w:val="center"/>
          </w:tcPr>
          <w:p w14:paraId="75E0B3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环境保护部 中国科学院公告2015年 第61号</w:t>
            </w:r>
          </w:p>
        </w:tc>
        <w:tc>
          <w:tcPr>
            <w:tcW w:w="731" w:type="pct"/>
            <w:vAlign w:val="center"/>
          </w:tcPr>
          <w:p w14:paraId="31731D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2015</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11</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23</w:t>
            </w:r>
          </w:p>
        </w:tc>
      </w:tr>
      <w:tr w14:paraId="5996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690189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30</w:t>
            </w:r>
          </w:p>
        </w:tc>
        <w:tc>
          <w:tcPr>
            <w:tcW w:w="2624" w:type="pct"/>
            <w:shd w:val="clear" w:color="auto" w:fill="auto"/>
            <w:vAlign w:val="center"/>
          </w:tcPr>
          <w:p w14:paraId="790062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关于涉及水土保持方案的环境影响报告书有关审批问题的通知</w:t>
            </w:r>
          </w:p>
        </w:tc>
        <w:tc>
          <w:tcPr>
            <w:tcW w:w="1302" w:type="pct"/>
            <w:shd w:val="clear" w:color="auto" w:fill="auto"/>
            <w:vAlign w:val="center"/>
          </w:tcPr>
          <w:p w14:paraId="4B2267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环发〔2002〕129号</w:t>
            </w:r>
          </w:p>
        </w:tc>
        <w:tc>
          <w:tcPr>
            <w:tcW w:w="731" w:type="pct"/>
            <w:shd w:val="clear" w:color="auto" w:fill="auto"/>
            <w:vAlign w:val="center"/>
          </w:tcPr>
          <w:p w14:paraId="18D614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2002</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9</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17</w:t>
            </w:r>
          </w:p>
        </w:tc>
      </w:tr>
      <w:tr w14:paraId="730E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4103F7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31</w:t>
            </w:r>
          </w:p>
        </w:tc>
        <w:tc>
          <w:tcPr>
            <w:tcW w:w="2624" w:type="pct"/>
            <w:shd w:val="clear" w:color="auto" w:fill="auto"/>
            <w:vAlign w:val="center"/>
          </w:tcPr>
          <w:p w14:paraId="0F10CE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危险废物转移管理办法</w:t>
            </w:r>
          </w:p>
        </w:tc>
        <w:tc>
          <w:tcPr>
            <w:tcW w:w="1302" w:type="pct"/>
            <w:shd w:val="clear" w:color="auto" w:fill="auto"/>
            <w:vAlign w:val="center"/>
          </w:tcPr>
          <w:p w14:paraId="0F5B1D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生态环境部公安部交通运输部令第23号</w:t>
            </w:r>
          </w:p>
        </w:tc>
        <w:tc>
          <w:tcPr>
            <w:tcW w:w="731" w:type="pct"/>
            <w:shd w:val="clear" w:color="auto" w:fill="auto"/>
            <w:vAlign w:val="center"/>
          </w:tcPr>
          <w:p w14:paraId="34B32A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2022</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21D5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26A83D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32</w:t>
            </w:r>
          </w:p>
        </w:tc>
        <w:tc>
          <w:tcPr>
            <w:tcW w:w="2624" w:type="pct"/>
            <w:shd w:val="clear" w:color="auto" w:fill="auto"/>
            <w:vAlign w:val="center"/>
          </w:tcPr>
          <w:p w14:paraId="4461DB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关于发布实施《限制用地项目目录（2012年本）》和《禁止用地项目目录（2012年本）》的通知</w:t>
            </w:r>
          </w:p>
        </w:tc>
        <w:tc>
          <w:tcPr>
            <w:tcW w:w="1302" w:type="pct"/>
            <w:shd w:val="clear" w:color="auto" w:fill="auto"/>
            <w:vAlign w:val="center"/>
          </w:tcPr>
          <w:p w14:paraId="46FADB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国土资源部与国家发展和改革委员会联合发布</w:t>
            </w:r>
          </w:p>
        </w:tc>
        <w:tc>
          <w:tcPr>
            <w:tcW w:w="731" w:type="pct"/>
            <w:shd w:val="clear" w:color="auto" w:fill="auto"/>
            <w:vAlign w:val="center"/>
          </w:tcPr>
          <w:p w14:paraId="137D77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2012</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2</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23</w:t>
            </w:r>
          </w:p>
        </w:tc>
      </w:tr>
      <w:tr w14:paraId="557F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65EEF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33</w:t>
            </w:r>
          </w:p>
        </w:tc>
        <w:tc>
          <w:tcPr>
            <w:tcW w:w="2624" w:type="pct"/>
            <w:shd w:val="clear" w:color="auto" w:fill="auto"/>
            <w:vAlign w:val="center"/>
          </w:tcPr>
          <w:p w14:paraId="696510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排污单位自行监测技术指南总则</w:t>
            </w:r>
          </w:p>
        </w:tc>
        <w:tc>
          <w:tcPr>
            <w:tcW w:w="1302" w:type="pct"/>
            <w:shd w:val="clear" w:color="auto" w:fill="auto"/>
            <w:vAlign w:val="center"/>
          </w:tcPr>
          <w:p w14:paraId="05A079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环境保护部公告2017年第16号HJ819-2017</w:t>
            </w:r>
          </w:p>
        </w:tc>
        <w:tc>
          <w:tcPr>
            <w:tcW w:w="731" w:type="pct"/>
            <w:shd w:val="clear" w:color="auto" w:fill="auto"/>
            <w:vAlign w:val="center"/>
          </w:tcPr>
          <w:p w14:paraId="78FA0F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2017</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6</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0DCC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1A3267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34</w:t>
            </w:r>
          </w:p>
        </w:tc>
        <w:tc>
          <w:tcPr>
            <w:tcW w:w="2624" w:type="pct"/>
            <w:shd w:val="clear" w:color="auto" w:fill="auto"/>
            <w:vAlign w:val="center"/>
          </w:tcPr>
          <w:p w14:paraId="0C51F6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危险废物管理计划和管理台账制定技术导则</w:t>
            </w:r>
          </w:p>
        </w:tc>
        <w:tc>
          <w:tcPr>
            <w:tcW w:w="1302" w:type="pct"/>
            <w:shd w:val="clear" w:color="auto" w:fill="auto"/>
            <w:vAlign w:val="center"/>
          </w:tcPr>
          <w:p w14:paraId="2ACA6F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HJ1259-2022</w:t>
            </w:r>
          </w:p>
        </w:tc>
        <w:tc>
          <w:tcPr>
            <w:tcW w:w="731" w:type="pct"/>
            <w:shd w:val="clear" w:color="auto" w:fill="auto"/>
            <w:vAlign w:val="center"/>
          </w:tcPr>
          <w:p w14:paraId="252064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rPr>
              <w:t>2022</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10</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01</w:t>
            </w:r>
          </w:p>
        </w:tc>
      </w:tr>
      <w:tr w14:paraId="51F3B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25EE5B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35</w:t>
            </w:r>
          </w:p>
        </w:tc>
        <w:tc>
          <w:tcPr>
            <w:tcW w:w="2624" w:type="pct"/>
            <w:shd w:val="clear" w:color="auto" w:fill="auto"/>
            <w:vAlign w:val="center"/>
          </w:tcPr>
          <w:p w14:paraId="6EE9F3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危险废物识别标志设置技术规范</w:t>
            </w:r>
          </w:p>
        </w:tc>
        <w:tc>
          <w:tcPr>
            <w:tcW w:w="1302" w:type="pct"/>
            <w:shd w:val="clear" w:color="auto" w:fill="auto"/>
            <w:vAlign w:val="center"/>
          </w:tcPr>
          <w:p w14:paraId="38DAA9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HJ1276-2022</w:t>
            </w:r>
          </w:p>
        </w:tc>
        <w:tc>
          <w:tcPr>
            <w:tcW w:w="731" w:type="pct"/>
            <w:shd w:val="clear" w:color="auto" w:fill="auto"/>
            <w:vAlign w:val="center"/>
          </w:tcPr>
          <w:p w14:paraId="3C9714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2023</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07</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01</w:t>
            </w:r>
          </w:p>
        </w:tc>
      </w:tr>
      <w:tr w14:paraId="4F8A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vAlign w:val="center"/>
          </w:tcPr>
          <w:p w14:paraId="24BC7F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36</w:t>
            </w:r>
          </w:p>
        </w:tc>
        <w:tc>
          <w:tcPr>
            <w:tcW w:w="2624" w:type="pct"/>
            <w:shd w:val="clear" w:color="auto" w:fill="auto"/>
            <w:vAlign w:val="center"/>
          </w:tcPr>
          <w:p w14:paraId="5E151D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关于印发《“十四五”噪声污染防治行动计划》的通知</w:t>
            </w:r>
          </w:p>
        </w:tc>
        <w:tc>
          <w:tcPr>
            <w:tcW w:w="1302" w:type="pct"/>
            <w:shd w:val="clear" w:color="auto" w:fill="auto"/>
            <w:vAlign w:val="center"/>
          </w:tcPr>
          <w:p w14:paraId="4EB10B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环大气〔202</w:t>
            </w:r>
            <w:r>
              <w:rPr>
                <w:rFonts w:hint="eastAsia" w:cs="Times New Roman"/>
                <w:color w:val="auto"/>
                <w:kern w:val="2"/>
                <w:sz w:val="21"/>
                <w:szCs w:val="21"/>
                <w:highlight w:val="none"/>
                <w:lang w:val="en-US" w:eastAsia="zh-CN" w:bidi="ar-SA"/>
              </w:rPr>
              <w:t>3</w:t>
            </w:r>
            <w:r>
              <w:rPr>
                <w:rFonts w:hint="default" w:ascii="Times New Roman" w:hAnsi="Times New Roman" w:eastAsia="宋体" w:cs="Times New Roman"/>
                <w:color w:val="auto"/>
                <w:kern w:val="2"/>
                <w:sz w:val="21"/>
                <w:szCs w:val="21"/>
                <w:highlight w:val="none"/>
                <w:lang w:val="en-US" w:eastAsia="zh-CN" w:bidi="ar-SA"/>
              </w:rPr>
              <w:t>〕1号</w:t>
            </w:r>
          </w:p>
        </w:tc>
        <w:tc>
          <w:tcPr>
            <w:tcW w:w="731" w:type="pct"/>
            <w:shd w:val="clear" w:color="auto" w:fill="auto"/>
            <w:vAlign w:val="center"/>
          </w:tcPr>
          <w:p w14:paraId="24C6E9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2023-01-03</w:t>
            </w:r>
          </w:p>
        </w:tc>
      </w:tr>
      <w:tr w14:paraId="78C8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41F97C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四</w:t>
            </w:r>
          </w:p>
        </w:tc>
        <w:tc>
          <w:tcPr>
            <w:tcW w:w="2624" w:type="pct"/>
            <w:shd w:val="clear" w:color="auto" w:fill="auto"/>
            <w:vAlign w:val="center"/>
          </w:tcPr>
          <w:p w14:paraId="1B43B2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bCs/>
                <w:color w:val="auto"/>
                <w:kern w:val="0"/>
                <w:sz w:val="21"/>
                <w:szCs w:val="21"/>
                <w:highlight w:val="none"/>
              </w:rPr>
            </w:pPr>
            <w:r>
              <w:rPr>
                <w:rFonts w:hint="eastAsia" w:cs="Times New Roman"/>
                <w:b/>
                <w:bCs/>
                <w:color w:val="auto"/>
                <w:kern w:val="0"/>
                <w:sz w:val="21"/>
                <w:szCs w:val="21"/>
                <w:highlight w:val="none"/>
                <w:lang w:eastAsia="zh-CN"/>
              </w:rPr>
              <w:t>地方性法规</w:t>
            </w:r>
            <w:r>
              <w:rPr>
                <w:rFonts w:hint="default" w:ascii="Times New Roman" w:hAnsi="Times New Roman" w:eastAsia="宋体" w:cs="Times New Roman"/>
                <w:b/>
                <w:bCs/>
                <w:color w:val="auto"/>
                <w:kern w:val="0"/>
                <w:sz w:val="21"/>
                <w:szCs w:val="21"/>
                <w:highlight w:val="none"/>
              </w:rPr>
              <w:t>及通知</w:t>
            </w:r>
          </w:p>
        </w:tc>
        <w:tc>
          <w:tcPr>
            <w:tcW w:w="1302" w:type="pct"/>
            <w:shd w:val="clear" w:color="auto" w:fill="auto"/>
            <w:vAlign w:val="center"/>
          </w:tcPr>
          <w:p w14:paraId="388F98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w:t>
            </w:r>
          </w:p>
        </w:tc>
        <w:tc>
          <w:tcPr>
            <w:tcW w:w="731" w:type="pct"/>
            <w:shd w:val="clear" w:color="auto" w:fill="auto"/>
            <w:vAlign w:val="center"/>
          </w:tcPr>
          <w:p w14:paraId="7ED964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w:t>
            </w:r>
          </w:p>
        </w:tc>
      </w:tr>
      <w:tr w14:paraId="089C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5BAC97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w:t>
            </w:r>
          </w:p>
        </w:tc>
        <w:tc>
          <w:tcPr>
            <w:tcW w:w="2624" w:type="pct"/>
            <w:shd w:val="clear" w:color="auto" w:fill="auto"/>
            <w:vAlign w:val="center"/>
          </w:tcPr>
          <w:p w14:paraId="31B79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eastAsia" w:cs="Times New Roman"/>
                <w:color w:val="auto"/>
                <w:kern w:val="0"/>
                <w:sz w:val="21"/>
                <w:szCs w:val="21"/>
                <w:highlight w:val="none"/>
                <w:lang w:eastAsia="zh-CN"/>
              </w:rPr>
              <w:t>《新疆维吾尔自治区环境保护条例》</w:t>
            </w:r>
            <w:r>
              <w:rPr>
                <w:rFonts w:hint="default" w:ascii="Times New Roman" w:hAnsi="Times New Roman" w:eastAsia="宋体" w:cs="Times New Roman"/>
                <w:color w:val="auto"/>
                <w:kern w:val="0"/>
                <w:sz w:val="21"/>
                <w:szCs w:val="21"/>
                <w:highlight w:val="none"/>
              </w:rPr>
              <w:t>（2018年修正）</w:t>
            </w:r>
          </w:p>
        </w:tc>
        <w:tc>
          <w:tcPr>
            <w:tcW w:w="1302" w:type="pct"/>
            <w:shd w:val="clear" w:color="auto" w:fill="auto"/>
            <w:vAlign w:val="center"/>
          </w:tcPr>
          <w:p w14:paraId="4E1EA2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第13届人大第6次会议</w:t>
            </w:r>
          </w:p>
        </w:tc>
        <w:tc>
          <w:tcPr>
            <w:tcW w:w="731" w:type="pct"/>
            <w:shd w:val="clear" w:color="auto" w:fill="auto"/>
            <w:vAlign w:val="center"/>
          </w:tcPr>
          <w:p w14:paraId="3FD712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2018</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9</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21</w:t>
            </w:r>
          </w:p>
        </w:tc>
      </w:tr>
      <w:tr w14:paraId="2B80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1BB48B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w:t>
            </w:r>
          </w:p>
        </w:tc>
        <w:tc>
          <w:tcPr>
            <w:tcW w:w="2624" w:type="pct"/>
            <w:shd w:val="clear" w:color="auto" w:fill="auto"/>
            <w:vAlign w:val="center"/>
          </w:tcPr>
          <w:p w14:paraId="43D62A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eastAsia" w:cs="Times New Roman"/>
                <w:color w:val="auto"/>
                <w:kern w:val="0"/>
                <w:sz w:val="21"/>
                <w:szCs w:val="21"/>
                <w:highlight w:val="none"/>
                <w:lang w:eastAsia="zh-CN"/>
              </w:rPr>
              <w:t>《新疆维吾尔自治区大气污染防治条例》</w:t>
            </w:r>
          </w:p>
        </w:tc>
        <w:tc>
          <w:tcPr>
            <w:tcW w:w="1302" w:type="pct"/>
            <w:shd w:val="clear" w:color="auto" w:fill="auto"/>
            <w:vAlign w:val="center"/>
          </w:tcPr>
          <w:p w14:paraId="60B49B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第13届人大第7次会议</w:t>
            </w:r>
          </w:p>
        </w:tc>
        <w:tc>
          <w:tcPr>
            <w:tcW w:w="731" w:type="pct"/>
            <w:shd w:val="clear" w:color="auto" w:fill="auto"/>
            <w:vAlign w:val="center"/>
          </w:tcPr>
          <w:p w14:paraId="2BDD21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2019</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241D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34A968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w:t>
            </w:r>
          </w:p>
        </w:tc>
        <w:tc>
          <w:tcPr>
            <w:tcW w:w="2624" w:type="pct"/>
            <w:shd w:val="clear" w:color="auto" w:fill="auto"/>
            <w:vAlign w:val="center"/>
          </w:tcPr>
          <w:p w14:paraId="34F579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eastAsia="zh-CN"/>
              </w:rPr>
              <w:t>《新疆维吾尔自治区湿地保护条例》</w:t>
            </w:r>
          </w:p>
        </w:tc>
        <w:tc>
          <w:tcPr>
            <w:tcW w:w="1302" w:type="pct"/>
            <w:shd w:val="clear" w:color="auto" w:fill="auto"/>
            <w:vAlign w:val="center"/>
          </w:tcPr>
          <w:p w14:paraId="24A09D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第11届人大第37次会议</w:t>
            </w:r>
          </w:p>
        </w:tc>
        <w:tc>
          <w:tcPr>
            <w:tcW w:w="731" w:type="pct"/>
            <w:shd w:val="clear" w:color="auto" w:fill="auto"/>
            <w:vAlign w:val="center"/>
          </w:tcPr>
          <w:p w14:paraId="10E73B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2012</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10</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5288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6576FE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w:t>
            </w:r>
          </w:p>
        </w:tc>
        <w:tc>
          <w:tcPr>
            <w:tcW w:w="2624" w:type="pct"/>
            <w:shd w:val="clear" w:color="auto" w:fill="auto"/>
            <w:vAlign w:val="center"/>
          </w:tcPr>
          <w:p w14:paraId="6BAD2D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新疆维吾尔自治区危险废物污染环境防治办法</w:t>
            </w:r>
          </w:p>
        </w:tc>
        <w:tc>
          <w:tcPr>
            <w:tcW w:w="1302" w:type="pct"/>
            <w:shd w:val="clear" w:color="auto" w:fill="auto"/>
            <w:vAlign w:val="center"/>
          </w:tcPr>
          <w:p w14:paraId="24BB1D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第11届人大第9次会议</w:t>
            </w:r>
          </w:p>
        </w:tc>
        <w:tc>
          <w:tcPr>
            <w:tcW w:w="731" w:type="pct"/>
            <w:shd w:val="clear" w:color="auto" w:fill="auto"/>
            <w:vAlign w:val="center"/>
          </w:tcPr>
          <w:p w14:paraId="2B36D7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2010</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5</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4516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462EDB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w:t>
            </w:r>
          </w:p>
        </w:tc>
        <w:tc>
          <w:tcPr>
            <w:tcW w:w="2624" w:type="pct"/>
            <w:shd w:val="clear" w:color="auto" w:fill="auto"/>
            <w:vAlign w:val="center"/>
          </w:tcPr>
          <w:p w14:paraId="151BB9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关于印发新疆维吾尔自治区级水土流失重点预防区和重点治理区复核划分成果的通知</w:t>
            </w:r>
          </w:p>
        </w:tc>
        <w:tc>
          <w:tcPr>
            <w:tcW w:w="1302" w:type="pct"/>
            <w:shd w:val="clear" w:color="auto" w:fill="auto"/>
            <w:vAlign w:val="center"/>
          </w:tcPr>
          <w:p w14:paraId="51AEB0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新水水保〔2019〕4号</w:t>
            </w:r>
          </w:p>
        </w:tc>
        <w:tc>
          <w:tcPr>
            <w:tcW w:w="731" w:type="pct"/>
            <w:shd w:val="clear" w:color="auto" w:fill="auto"/>
            <w:vAlign w:val="center"/>
          </w:tcPr>
          <w:p w14:paraId="2B0984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2019</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21</w:t>
            </w:r>
          </w:p>
        </w:tc>
      </w:tr>
      <w:tr w14:paraId="35F1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768337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w:t>
            </w:r>
          </w:p>
        </w:tc>
        <w:tc>
          <w:tcPr>
            <w:tcW w:w="2624" w:type="pct"/>
            <w:shd w:val="clear" w:color="auto" w:fill="auto"/>
            <w:vAlign w:val="center"/>
          </w:tcPr>
          <w:p w14:paraId="4D11C4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关于印发新疆维吾尔自治区工业和生活用水定额的通知</w:t>
            </w:r>
          </w:p>
        </w:tc>
        <w:tc>
          <w:tcPr>
            <w:tcW w:w="1302" w:type="pct"/>
            <w:shd w:val="clear" w:color="auto" w:fill="auto"/>
            <w:vAlign w:val="center"/>
          </w:tcPr>
          <w:p w14:paraId="39C385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新政办发〔2007〕105</w:t>
            </w:r>
          </w:p>
        </w:tc>
        <w:tc>
          <w:tcPr>
            <w:tcW w:w="731" w:type="pct"/>
            <w:shd w:val="clear" w:color="auto" w:fill="auto"/>
            <w:vAlign w:val="center"/>
          </w:tcPr>
          <w:p w14:paraId="20147C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2007</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6</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6</w:t>
            </w:r>
          </w:p>
        </w:tc>
      </w:tr>
      <w:tr w14:paraId="3F2F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64C839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7</w:t>
            </w:r>
          </w:p>
        </w:tc>
        <w:tc>
          <w:tcPr>
            <w:tcW w:w="2624" w:type="pct"/>
            <w:shd w:val="clear" w:color="auto" w:fill="auto"/>
            <w:vAlign w:val="center"/>
          </w:tcPr>
          <w:p w14:paraId="29BE07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新疆维吾尔自治区辐射污染防治办法</w:t>
            </w:r>
          </w:p>
        </w:tc>
        <w:tc>
          <w:tcPr>
            <w:tcW w:w="1302" w:type="pct"/>
            <w:shd w:val="clear" w:color="auto" w:fill="auto"/>
            <w:vAlign w:val="center"/>
          </w:tcPr>
          <w:p w14:paraId="6269FC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新疆维吾尔自治区人民政府第192号</w:t>
            </w:r>
          </w:p>
        </w:tc>
        <w:tc>
          <w:tcPr>
            <w:tcW w:w="731" w:type="pct"/>
            <w:shd w:val="clear" w:color="auto" w:fill="auto"/>
            <w:vAlign w:val="center"/>
          </w:tcPr>
          <w:p w14:paraId="299F6D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2015</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7</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1</w:t>
            </w:r>
          </w:p>
        </w:tc>
      </w:tr>
      <w:tr w14:paraId="0FF2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502651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8</w:t>
            </w:r>
          </w:p>
        </w:tc>
        <w:tc>
          <w:tcPr>
            <w:tcW w:w="2624" w:type="pct"/>
            <w:shd w:val="clear" w:color="auto" w:fill="auto"/>
            <w:vAlign w:val="center"/>
          </w:tcPr>
          <w:p w14:paraId="672D5D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新疆维吾尔自治区水环境功能区划</w:t>
            </w:r>
          </w:p>
        </w:tc>
        <w:tc>
          <w:tcPr>
            <w:tcW w:w="1302" w:type="pct"/>
            <w:shd w:val="clear" w:color="auto" w:fill="auto"/>
            <w:vAlign w:val="center"/>
          </w:tcPr>
          <w:p w14:paraId="22F03A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新政函〔2002〕194号</w:t>
            </w:r>
          </w:p>
        </w:tc>
        <w:tc>
          <w:tcPr>
            <w:tcW w:w="731" w:type="pct"/>
            <w:shd w:val="clear" w:color="auto" w:fill="auto"/>
            <w:vAlign w:val="center"/>
          </w:tcPr>
          <w:p w14:paraId="7C28F7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2002</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11</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16</w:t>
            </w:r>
          </w:p>
        </w:tc>
      </w:tr>
      <w:tr w14:paraId="4869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3F97F6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9</w:t>
            </w:r>
          </w:p>
        </w:tc>
        <w:tc>
          <w:tcPr>
            <w:tcW w:w="2624" w:type="pct"/>
            <w:shd w:val="clear" w:color="auto" w:fill="auto"/>
            <w:vAlign w:val="center"/>
          </w:tcPr>
          <w:p w14:paraId="2289B0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新疆维吾尔自治区生态功能区划</w:t>
            </w:r>
          </w:p>
        </w:tc>
        <w:tc>
          <w:tcPr>
            <w:tcW w:w="1302" w:type="pct"/>
            <w:shd w:val="clear" w:color="auto" w:fill="auto"/>
            <w:vAlign w:val="center"/>
          </w:tcPr>
          <w:p w14:paraId="7703C9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新政函〔2005〕96号</w:t>
            </w:r>
          </w:p>
        </w:tc>
        <w:tc>
          <w:tcPr>
            <w:tcW w:w="731" w:type="pct"/>
            <w:shd w:val="clear" w:color="auto" w:fill="auto"/>
            <w:vAlign w:val="center"/>
          </w:tcPr>
          <w:p w14:paraId="4BED18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2005</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7</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14</w:t>
            </w:r>
          </w:p>
        </w:tc>
      </w:tr>
      <w:tr w14:paraId="4A34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2179A3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w:t>
            </w:r>
          </w:p>
        </w:tc>
        <w:tc>
          <w:tcPr>
            <w:tcW w:w="2624" w:type="pct"/>
            <w:shd w:val="clear" w:color="auto" w:fill="auto"/>
            <w:vAlign w:val="center"/>
          </w:tcPr>
          <w:p w14:paraId="04E8FA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新疆维吾尔自治区主体功能区规划</w:t>
            </w:r>
          </w:p>
        </w:tc>
        <w:tc>
          <w:tcPr>
            <w:tcW w:w="1302" w:type="pct"/>
            <w:shd w:val="clear" w:color="auto" w:fill="auto"/>
            <w:vAlign w:val="center"/>
          </w:tcPr>
          <w:p w14:paraId="72AD48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自治区发展和改革委员会</w:t>
            </w:r>
          </w:p>
        </w:tc>
        <w:tc>
          <w:tcPr>
            <w:tcW w:w="731" w:type="pct"/>
            <w:shd w:val="clear" w:color="auto" w:fill="auto"/>
            <w:vAlign w:val="center"/>
          </w:tcPr>
          <w:p w14:paraId="3A6EDD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2012</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12</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27</w:t>
            </w:r>
          </w:p>
        </w:tc>
      </w:tr>
      <w:tr w14:paraId="1C9FB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0F97A0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w:t>
            </w:r>
          </w:p>
        </w:tc>
        <w:tc>
          <w:tcPr>
            <w:tcW w:w="2624" w:type="pct"/>
            <w:shd w:val="clear" w:color="auto" w:fill="auto"/>
            <w:vAlign w:val="center"/>
          </w:tcPr>
          <w:p w14:paraId="15FE5A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新疆维吾尔自治区重点行业生态环境准入条件</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2024年</w:t>
            </w:r>
            <w:r>
              <w:rPr>
                <w:rFonts w:hint="eastAsia" w:cs="Times New Roman"/>
                <w:color w:val="auto"/>
                <w:kern w:val="0"/>
                <w:sz w:val="21"/>
                <w:szCs w:val="21"/>
                <w:highlight w:val="none"/>
                <w:lang w:eastAsia="zh-CN"/>
              </w:rPr>
              <w:t>）</w:t>
            </w:r>
          </w:p>
        </w:tc>
        <w:tc>
          <w:tcPr>
            <w:tcW w:w="1302" w:type="pct"/>
            <w:shd w:val="clear" w:color="auto" w:fill="auto"/>
            <w:vAlign w:val="center"/>
          </w:tcPr>
          <w:p w14:paraId="090B89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新环发〔2024〕93号</w:t>
            </w:r>
          </w:p>
        </w:tc>
        <w:tc>
          <w:tcPr>
            <w:tcW w:w="731" w:type="pct"/>
            <w:shd w:val="clear" w:color="auto" w:fill="auto"/>
            <w:vAlign w:val="center"/>
          </w:tcPr>
          <w:p w14:paraId="40C91D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w:t>
            </w:r>
            <w:r>
              <w:rPr>
                <w:rFonts w:hint="eastAsia" w:cs="Times New Roman"/>
                <w:color w:val="auto"/>
                <w:kern w:val="0"/>
                <w:sz w:val="21"/>
                <w:szCs w:val="21"/>
                <w:highlight w:val="none"/>
                <w:lang w:val="en-US" w:eastAsia="zh-CN"/>
              </w:rPr>
              <w:t>24</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06</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09</w:t>
            </w:r>
          </w:p>
        </w:tc>
      </w:tr>
      <w:tr w14:paraId="71F5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3A5354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12</w:t>
            </w:r>
          </w:p>
        </w:tc>
        <w:tc>
          <w:tcPr>
            <w:tcW w:w="2624" w:type="pct"/>
            <w:shd w:val="clear" w:color="auto" w:fill="auto"/>
            <w:vAlign w:val="center"/>
          </w:tcPr>
          <w:p w14:paraId="7B6170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关于全面加强生态环境保护坚决打好污染防治攻坚战实施方案</w:t>
            </w:r>
          </w:p>
        </w:tc>
        <w:tc>
          <w:tcPr>
            <w:tcW w:w="1302" w:type="pct"/>
            <w:shd w:val="clear" w:color="auto" w:fill="auto"/>
            <w:vAlign w:val="center"/>
          </w:tcPr>
          <w:p w14:paraId="6366DE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新党发〔2018〕23号</w:t>
            </w:r>
          </w:p>
        </w:tc>
        <w:tc>
          <w:tcPr>
            <w:tcW w:w="731" w:type="pct"/>
            <w:shd w:val="clear" w:color="auto" w:fill="auto"/>
            <w:vAlign w:val="center"/>
          </w:tcPr>
          <w:p w14:paraId="62D8CA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2018</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9</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4</w:t>
            </w:r>
          </w:p>
        </w:tc>
      </w:tr>
      <w:tr w14:paraId="6966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0FD8B7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13</w:t>
            </w:r>
          </w:p>
        </w:tc>
        <w:tc>
          <w:tcPr>
            <w:tcW w:w="2624" w:type="pct"/>
            <w:shd w:val="clear" w:color="auto" w:fill="auto"/>
            <w:vAlign w:val="center"/>
          </w:tcPr>
          <w:p w14:paraId="1BC704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新疆维吾尔自治区国民经济和社会发展第十四个五年规划和2035年远景目标纲要</w:t>
            </w:r>
          </w:p>
        </w:tc>
        <w:tc>
          <w:tcPr>
            <w:tcW w:w="1302" w:type="pct"/>
            <w:shd w:val="clear" w:color="auto" w:fill="auto"/>
            <w:vAlign w:val="center"/>
          </w:tcPr>
          <w:p w14:paraId="2B6FFF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第13届人大第4次会议</w:t>
            </w:r>
          </w:p>
        </w:tc>
        <w:tc>
          <w:tcPr>
            <w:tcW w:w="731" w:type="pct"/>
            <w:shd w:val="clear" w:color="auto" w:fill="auto"/>
            <w:vAlign w:val="center"/>
          </w:tcPr>
          <w:p w14:paraId="58C0BE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2021</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2</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5</w:t>
            </w:r>
          </w:p>
        </w:tc>
      </w:tr>
      <w:tr w14:paraId="6B37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6C0BA2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14</w:t>
            </w:r>
          </w:p>
        </w:tc>
        <w:tc>
          <w:tcPr>
            <w:tcW w:w="2624" w:type="pct"/>
            <w:shd w:val="clear" w:color="auto" w:fill="auto"/>
            <w:vAlign w:val="center"/>
          </w:tcPr>
          <w:p w14:paraId="13252F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rPr>
              <w:t>新疆生态环境保护</w:t>
            </w:r>
            <w:r>
              <w:rPr>
                <w:rFonts w:hint="default" w:ascii="宋体" w:hAnsi="宋体" w:eastAsia="宋体" w:cs="Times New Roman"/>
                <w:color w:val="auto"/>
                <w:kern w:val="0"/>
                <w:sz w:val="21"/>
                <w:szCs w:val="21"/>
                <w:highlight w:val="none"/>
              </w:rPr>
              <w:t>“</w:t>
            </w:r>
            <w:r>
              <w:rPr>
                <w:rFonts w:hint="eastAsia" w:ascii="宋体" w:hAnsi="宋体" w:eastAsia="宋体" w:cs="Times New Roman"/>
                <w:color w:val="auto"/>
                <w:kern w:val="0"/>
                <w:sz w:val="21"/>
                <w:szCs w:val="21"/>
                <w:highlight w:val="none"/>
              </w:rPr>
              <w:t>十四五</w:t>
            </w:r>
            <w:r>
              <w:rPr>
                <w:rFonts w:hint="default" w:ascii="宋体" w:hAnsi="宋体" w:eastAsia="宋体" w:cs="Times New Roman"/>
                <w:color w:val="auto"/>
                <w:kern w:val="0"/>
                <w:sz w:val="21"/>
                <w:szCs w:val="21"/>
                <w:highlight w:val="none"/>
              </w:rPr>
              <w:t>”</w:t>
            </w:r>
            <w:r>
              <w:rPr>
                <w:rFonts w:hint="eastAsia" w:ascii="宋体" w:hAnsi="宋体" w:eastAsia="宋体" w:cs="Times New Roman"/>
                <w:color w:val="auto"/>
                <w:kern w:val="0"/>
                <w:sz w:val="21"/>
                <w:szCs w:val="21"/>
                <w:highlight w:val="none"/>
              </w:rPr>
              <w:t>规划</w:t>
            </w:r>
          </w:p>
        </w:tc>
        <w:tc>
          <w:tcPr>
            <w:tcW w:w="1302" w:type="pct"/>
            <w:shd w:val="clear" w:color="auto" w:fill="auto"/>
            <w:vAlign w:val="center"/>
          </w:tcPr>
          <w:p w14:paraId="24AFB7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新疆维吾尔自治区人民政府</w:t>
            </w:r>
          </w:p>
        </w:tc>
        <w:tc>
          <w:tcPr>
            <w:tcW w:w="731" w:type="pct"/>
            <w:shd w:val="clear" w:color="auto" w:fill="auto"/>
            <w:vAlign w:val="center"/>
          </w:tcPr>
          <w:p w14:paraId="174217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2021</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12</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24</w:t>
            </w:r>
          </w:p>
        </w:tc>
      </w:tr>
      <w:tr w14:paraId="2F13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064510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15</w:t>
            </w:r>
          </w:p>
        </w:tc>
        <w:tc>
          <w:tcPr>
            <w:tcW w:w="2624" w:type="pct"/>
            <w:shd w:val="clear" w:color="auto" w:fill="auto"/>
            <w:vAlign w:val="center"/>
          </w:tcPr>
          <w:p w14:paraId="3B6E64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pacing w:val="-6"/>
                <w:kern w:val="0"/>
                <w:sz w:val="21"/>
                <w:szCs w:val="21"/>
                <w:highlight w:val="none"/>
              </w:rPr>
              <w:t>关于印发</w:t>
            </w:r>
            <w:r>
              <w:rPr>
                <w:rFonts w:hint="eastAsia" w:cs="Times New Roman"/>
                <w:color w:val="auto"/>
                <w:spacing w:val="-6"/>
                <w:kern w:val="0"/>
                <w:sz w:val="21"/>
                <w:szCs w:val="21"/>
                <w:highlight w:val="none"/>
                <w:lang w:eastAsia="zh-CN"/>
              </w:rPr>
              <w:t>《</w:t>
            </w:r>
            <w:r>
              <w:rPr>
                <w:rFonts w:hint="default" w:ascii="Times New Roman" w:hAnsi="Times New Roman" w:eastAsia="宋体" w:cs="Times New Roman"/>
                <w:color w:val="auto"/>
                <w:spacing w:val="-6"/>
                <w:kern w:val="0"/>
                <w:sz w:val="21"/>
                <w:szCs w:val="21"/>
                <w:highlight w:val="none"/>
              </w:rPr>
              <w:t>2023年博尔塔拉蒙古自治州“三线一单”生态环境分区管控动态更新成果</w:t>
            </w:r>
            <w:r>
              <w:rPr>
                <w:rFonts w:hint="eastAsia" w:cs="Times New Roman"/>
                <w:color w:val="auto"/>
                <w:spacing w:val="-6"/>
                <w:kern w:val="0"/>
                <w:sz w:val="21"/>
                <w:szCs w:val="21"/>
                <w:highlight w:val="none"/>
                <w:lang w:eastAsia="zh-CN"/>
              </w:rPr>
              <w:t>》</w:t>
            </w:r>
            <w:r>
              <w:rPr>
                <w:rFonts w:hint="default" w:ascii="Times New Roman" w:hAnsi="Times New Roman" w:eastAsia="宋体" w:cs="Times New Roman"/>
                <w:color w:val="auto"/>
                <w:spacing w:val="-6"/>
                <w:kern w:val="0"/>
                <w:sz w:val="21"/>
                <w:szCs w:val="21"/>
                <w:highlight w:val="none"/>
              </w:rPr>
              <w:t>的通知</w:t>
            </w:r>
          </w:p>
        </w:tc>
        <w:tc>
          <w:tcPr>
            <w:tcW w:w="1302" w:type="pct"/>
            <w:shd w:val="clear" w:color="auto" w:fill="auto"/>
            <w:vAlign w:val="center"/>
          </w:tcPr>
          <w:p w14:paraId="3E6E28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rPr>
              <w:t>博州环发〔2024〕16号</w:t>
            </w:r>
          </w:p>
        </w:tc>
        <w:tc>
          <w:tcPr>
            <w:tcW w:w="731" w:type="pct"/>
            <w:shd w:val="clear" w:color="auto" w:fill="auto"/>
            <w:vAlign w:val="center"/>
          </w:tcPr>
          <w:p w14:paraId="781853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2024-09-05</w:t>
            </w:r>
          </w:p>
        </w:tc>
      </w:tr>
      <w:tr w14:paraId="3C70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136616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16</w:t>
            </w:r>
          </w:p>
        </w:tc>
        <w:tc>
          <w:tcPr>
            <w:tcW w:w="2624" w:type="pct"/>
            <w:shd w:val="clear" w:color="auto" w:fill="auto"/>
            <w:vAlign w:val="center"/>
          </w:tcPr>
          <w:p w14:paraId="3692AA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rPr>
              <w:t>关于印发《新疆维吾尔自治区生态环境分区管控方案动态更新成果》的通知</w:t>
            </w:r>
          </w:p>
        </w:tc>
        <w:tc>
          <w:tcPr>
            <w:tcW w:w="1302" w:type="pct"/>
            <w:shd w:val="clear" w:color="auto" w:fill="auto"/>
            <w:vAlign w:val="center"/>
          </w:tcPr>
          <w:p w14:paraId="13171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新环环评发〔2024〕157号</w:t>
            </w:r>
          </w:p>
        </w:tc>
        <w:tc>
          <w:tcPr>
            <w:tcW w:w="731" w:type="pct"/>
            <w:shd w:val="clear" w:color="auto" w:fill="auto"/>
            <w:vAlign w:val="center"/>
          </w:tcPr>
          <w:p w14:paraId="60DA3D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2024-</w:t>
            </w:r>
            <w:r>
              <w:rPr>
                <w:rFonts w:hint="eastAsia" w:cs="Times New Roman"/>
                <w:color w:val="auto"/>
                <w:kern w:val="0"/>
                <w:sz w:val="21"/>
                <w:szCs w:val="21"/>
                <w:highlight w:val="none"/>
                <w:lang w:val="en-US" w:eastAsia="zh-CN" w:bidi="ar-SA"/>
              </w:rPr>
              <w:t>11</w:t>
            </w:r>
            <w:r>
              <w:rPr>
                <w:rFonts w:hint="default" w:ascii="Times New Roman" w:hAnsi="Times New Roman" w:eastAsia="宋体" w:cs="Times New Roman"/>
                <w:color w:val="auto"/>
                <w:kern w:val="0"/>
                <w:sz w:val="21"/>
                <w:szCs w:val="21"/>
                <w:highlight w:val="none"/>
                <w:lang w:val="en-US" w:eastAsia="zh-CN" w:bidi="ar-SA"/>
              </w:rPr>
              <w:t>-</w:t>
            </w:r>
            <w:r>
              <w:rPr>
                <w:rFonts w:hint="eastAsia" w:cs="Times New Roman"/>
                <w:color w:val="auto"/>
                <w:kern w:val="0"/>
                <w:sz w:val="21"/>
                <w:szCs w:val="21"/>
                <w:highlight w:val="none"/>
                <w:lang w:val="en-US" w:eastAsia="zh-CN" w:bidi="ar-SA"/>
              </w:rPr>
              <w:t>1</w:t>
            </w:r>
            <w:r>
              <w:rPr>
                <w:rFonts w:hint="default" w:ascii="Times New Roman" w:hAnsi="Times New Roman" w:eastAsia="宋体" w:cs="Times New Roman"/>
                <w:color w:val="auto"/>
                <w:kern w:val="0"/>
                <w:sz w:val="21"/>
                <w:szCs w:val="21"/>
                <w:highlight w:val="none"/>
                <w:lang w:val="en-US" w:eastAsia="zh-CN" w:bidi="ar-SA"/>
              </w:rPr>
              <w:t>5</w:t>
            </w:r>
          </w:p>
        </w:tc>
      </w:tr>
      <w:tr w14:paraId="16959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115472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17</w:t>
            </w:r>
          </w:p>
        </w:tc>
        <w:tc>
          <w:tcPr>
            <w:tcW w:w="2624" w:type="pct"/>
            <w:shd w:val="clear" w:color="auto" w:fill="auto"/>
            <w:vAlign w:val="center"/>
          </w:tcPr>
          <w:p w14:paraId="636FAA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rPr>
              <w:t>新疆维吾尔自治区实施《中华人民共和国水污染防治法》办法</w:t>
            </w:r>
          </w:p>
        </w:tc>
        <w:tc>
          <w:tcPr>
            <w:tcW w:w="1302" w:type="pct"/>
            <w:shd w:val="clear" w:color="auto" w:fill="auto"/>
            <w:vAlign w:val="center"/>
          </w:tcPr>
          <w:p w14:paraId="3F58F1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rPr>
              <w:t>新疆维吾尔自治区第十四届人民代表大会常务委员会公告（第1号）</w:t>
            </w:r>
          </w:p>
        </w:tc>
        <w:tc>
          <w:tcPr>
            <w:tcW w:w="731" w:type="pct"/>
            <w:shd w:val="clear" w:color="auto" w:fill="auto"/>
            <w:vAlign w:val="center"/>
          </w:tcPr>
          <w:p w14:paraId="48F4E2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rPr>
              <w:t>2023</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06</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01</w:t>
            </w:r>
          </w:p>
        </w:tc>
      </w:tr>
      <w:tr w14:paraId="186F4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15E706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18</w:t>
            </w:r>
          </w:p>
        </w:tc>
        <w:tc>
          <w:tcPr>
            <w:tcW w:w="2624" w:type="pct"/>
            <w:shd w:val="clear" w:color="auto" w:fill="auto"/>
            <w:vAlign w:val="center"/>
          </w:tcPr>
          <w:p w14:paraId="7D671C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eastAsia="zh-CN"/>
              </w:rPr>
              <w:t>《新疆维吾尔自治区自然保护区管理条例》</w:t>
            </w:r>
            <w:r>
              <w:rPr>
                <w:rFonts w:hint="default" w:ascii="Times New Roman" w:hAnsi="Times New Roman" w:eastAsia="宋体" w:cs="Times New Roman"/>
                <w:color w:val="auto"/>
                <w:kern w:val="0"/>
                <w:sz w:val="21"/>
                <w:szCs w:val="21"/>
                <w:highlight w:val="none"/>
              </w:rPr>
              <w:t>（2018年修正）</w:t>
            </w:r>
          </w:p>
        </w:tc>
        <w:tc>
          <w:tcPr>
            <w:tcW w:w="1302" w:type="pct"/>
            <w:shd w:val="clear" w:color="auto" w:fill="auto"/>
            <w:vAlign w:val="center"/>
          </w:tcPr>
          <w:p w14:paraId="336C48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第13届人大第6次会议</w:t>
            </w:r>
          </w:p>
        </w:tc>
        <w:tc>
          <w:tcPr>
            <w:tcW w:w="731" w:type="pct"/>
            <w:shd w:val="clear" w:color="auto" w:fill="auto"/>
            <w:vAlign w:val="center"/>
          </w:tcPr>
          <w:p w14:paraId="4763CB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2018-09-21</w:t>
            </w:r>
          </w:p>
        </w:tc>
      </w:tr>
      <w:tr w14:paraId="5FFB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6E61F5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19</w:t>
            </w:r>
          </w:p>
        </w:tc>
        <w:tc>
          <w:tcPr>
            <w:tcW w:w="2624" w:type="pct"/>
            <w:shd w:val="clear" w:color="auto" w:fill="auto"/>
            <w:vAlign w:val="center"/>
          </w:tcPr>
          <w:p w14:paraId="5B7918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eastAsia="zh-CN"/>
              </w:rPr>
              <w:t>《新疆维吾尔自治区野生植物保护条例》</w:t>
            </w:r>
            <w:r>
              <w:rPr>
                <w:rFonts w:hint="default" w:ascii="Times New Roman" w:hAnsi="Times New Roman" w:eastAsia="宋体" w:cs="Times New Roman"/>
                <w:color w:val="auto"/>
                <w:kern w:val="0"/>
                <w:sz w:val="21"/>
                <w:szCs w:val="21"/>
                <w:highlight w:val="none"/>
              </w:rPr>
              <w:t>（2018年修正）</w:t>
            </w:r>
          </w:p>
        </w:tc>
        <w:tc>
          <w:tcPr>
            <w:tcW w:w="1302" w:type="pct"/>
            <w:shd w:val="clear" w:color="auto" w:fill="auto"/>
            <w:vAlign w:val="center"/>
          </w:tcPr>
          <w:p w14:paraId="5702D9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第13届人大第6次会议</w:t>
            </w:r>
          </w:p>
        </w:tc>
        <w:tc>
          <w:tcPr>
            <w:tcW w:w="731" w:type="pct"/>
            <w:shd w:val="clear" w:color="auto" w:fill="auto"/>
            <w:vAlign w:val="center"/>
          </w:tcPr>
          <w:p w14:paraId="15048E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2018-09-21</w:t>
            </w:r>
          </w:p>
        </w:tc>
      </w:tr>
      <w:tr w14:paraId="3FC7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33A035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w:t>
            </w:r>
          </w:p>
        </w:tc>
        <w:tc>
          <w:tcPr>
            <w:tcW w:w="2624" w:type="pct"/>
            <w:shd w:val="clear" w:color="auto" w:fill="auto"/>
            <w:vAlign w:val="center"/>
          </w:tcPr>
          <w:p w14:paraId="2BA40C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新疆国家重点保护野生动物名录</w:t>
            </w:r>
          </w:p>
        </w:tc>
        <w:tc>
          <w:tcPr>
            <w:tcW w:w="1302" w:type="pct"/>
            <w:shd w:val="clear" w:color="auto" w:fill="auto"/>
            <w:vAlign w:val="center"/>
          </w:tcPr>
          <w:p w14:paraId="237BB7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新疆维吾尔自治区林业和草原局与农业农村厅</w:t>
            </w:r>
          </w:p>
        </w:tc>
        <w:tc>
          <w:tcPr>
            <w:tcW w:w="731" w:type="pct"/>
            <w:shd w:val="clear" w:color="auto" w:fill="auto"/>
            <w:vAlign w:val="center"/>
          </w:tcPr>
          <w:p w14:paraId="6999C3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2021-07-28</w:t>
            </w:r>
          </w:p>
        </w:tc>
      </w:tr>
      <w:tr w14:paraId="43F7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668F67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21</w:t>
            </w:r>
          </w:p>
        </w:tc>
        <w:tc>
          <w:tcPr>
            <w:tcW w:w="2624" w:type="pct"/>
            <w:shd w:val="clear" w:color="auto" w:fill="auto"/>
            <w:vAlign w:val="center"/>
          </w:tcPr>
          <w:p w14:paraId="0618C8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新疆维吾尔自治区重点保护野生动物名录（修订）</w:t>
            </w:r>
          </w:p>
        </w:tc>
        <w:tc>
          <w:tcPr>
            <w:tcW w:w="1302" w:type="pct"/>
            <w:shd w:val="clear" w:color="auto" w:fill="auto"/>
            <w:vAlign w:val="center"/>
          </w:tcPr>
          <w:p w14:paraId="78F837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新政发〔2022〕75号</w:t>
            </w:r>
          </w:p>
        </w:tc>
        <w:tc>
          <w:tcPr>
            <w:tcW w:w="731" w:type="pct"/>
            <w:shd w:val="clear" w:color="auto" w:fill="auto"/>
            <w:vAlign w:val="center"/>
          </w:tcPr>
          <w:p w14:paraId="7AD816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2022-09-18</w:t>
            </w:r>
          </w:p>
        </w:tc>
      </w:tr>
      <w:tr w14:paraId="64B5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315A70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2</w:t>
            </w:r>
            <w:r>
              <w:rPr>
                <w:rFonts w:hint="eastAsia" w:cs="Times New Roman"/>
                <w:color w:val="auto"/>
                <w:kern w:val="0"/>
                <w:sz w:val="21"/>
                <w:szCs w:val="21"/>
                <w:highlight w:val="none"/>
                <w:lang w:val="en-US" w:eastAsia="zh-CN"/>
              </w:rPr>
              <w:t>2</w:t>
            </w:r>
          </w:p>
        </w:tc>
        <w:tc>
          <w:tcPr>
            <w:tcW w:w="2624" w:type="pct"/>
            <w:shd w:val="clear" w:color="auto" w:fill="auto"/>
            <w:vAlign w:val="center"/>
          </w:tcPr>
          <w:p w14:paraId="624100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新疆国家重点保护野生植物名录</w:t>
            </w:r>
          </w:p>
        </w:tc>
        <w:tc>
          <w:tcPr>
            <w:tcW w:w="1302" w:type="pct"/>
            <w:shd w:val="clear" w:color="auto" w:fill="auto"/>
            <w:vAlign w:val="center"/>
          </w:tcPr>
          <w:p w14:paraId="072999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新林护字〔2022〕8号</w:t>
            </w:r>
          </w:p>
        </w:tc>
        <w:tc>
          <w:tcPr>
            <w:tcW w:w="731" w:type="pct"/>
            <w:shd w:val="clear" w:color="auto" w:fill="auto"/>
            <w:vAlign w:val="center"/>
          </w:tcPr>
          <w:p w14:paraId="47859C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2022-03-09</w:t>
            </w:r>
          </w:p>
        </w:tc>
      </w:tr>
      <w:tr w14:paraId="67473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1" w:type="pct"/>
            <w:shd w:val="clear" w:color="auto" w:fill="auto"/>
            <w:vAlign w:val="center"/>
          </w:tcPr>
          <w:p w14:paraId="6544BD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23</w:t>
            </w:r>
          </w:p>
        </w:tc>
        <w:tc>
          <w:tcPr>
            <w:tcW w:w="2624" w:type="pct"/>
            <w:shd w:val="clear" w:color="auto" w:fill="auto"/>
            <w:vAlign w:val="center"/>
          </w:tcPr>
          <w:p w14:paraId="6119A4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新疆维吾尔自治区重点保护野生植物名录</w:t>
            </w:r>
          </w:p>
        </w:tc>
        <w:tc>
          <w:tcPr>
            <w:tcW w:w="1302" w:type="pct"/>
            <w:shd w:val="clear" w:color="auto" w:fill="auto"/>
            <w:vAlign w:val="center"/>
          </w:tcPr>
          <w:p w14:paraId="08ADC5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新政发〔2023〕63号</w:t>
            </w:r>
          </w:p>
        </w:tc>
        <w:tc>
          <w:tcPr>
            <w:tcW w:w="731" w:type="pct"/>
            <w:shd w:val="clear" w:color="auto" w:fill="auto"/>
            <w:vAlign w:val="center"/>
          </w:tcPr>
          <w:p w14:paraId="6C3C4D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2023-12-29</w:t>
            </w:r>
          </w:p>
        </w:tc>
      </w:tr>
    </w:tbl>
    <w:p w14:paraId="18ADDAD8">
      <w:pPr>
        <w:pageBreakBefore w:val="0"/>
        <w:kinsoku/>
        <w:wordWrap/>
        <w:overflowPunct/>
        <w:bidi w:val="0"/>
        <w:rPr>
          <w:rFonts w:hint="eastAsia"/>
          <w:color w:val="auto"/>
          <w:highlight w:val="none"/>
        </w:rPr>
      </w:pPr>
    </w:p>
    <w:p w14:paraId="266A0975">
      <w:pPr>
        <w:pStyle w:val="5"/>
        <w:pageBreakBefore w:val="0"/>
        <w:kinsoku/>
        <w:wordWrap/>
        <w:overflowPunct/>
        <w:bidi w:val="0"/>
        <w:rPr>
          <w:rFonts w:hint="eastAsia" w:ascii="黑体" w:hAnsi="黑体"/>
          <w:color w:val="auto"/>
          <w:sz w:val="28"/>
          <w:szCs w:val="28"/>
          <w:highlight w:val="none"/>
        </w:rPr>
      </w:pPr>
      <w:r>
        <w:rPr>
          <w:rFonts w:hint="eastAsia" w:ascii="黑体" w:hAnsi="黑体"/>
          <w:color w:val="auto"/>
          <w:sz w:val="28"/>
          <w:szCs w:val="28"/>
          <w:highlight w:val="none"/>
        </w:rPr>
        <w:t>2.1.2环境影响评价技术规范</w:t>
      </w:r>
    </w:p>
    <w:p w14:paraId="542A0126">
      <w:pPr>
        <w:pageBreakBefore w:val="0"/>
        <w:widowControl w:val="0"/>
        <w:kinsoku/>
        <w:wordWrap/>
        <w:overflowPunct/>
        <w:bidi w:val="0"/>
        <w:spacing w:before="156" w:beforeLines="50" w:after="156" w:afterLines="50" w:line="240" w:lineRule="auto"/>
        <w:ind w:left="0" w:leftChars="0" w:firstLine="0" w:firstLineChars="0"/>
        <w:jc w:val="center"/>
        <w:rPr>
          <w:rFonts w:ascii="Times New Roman" w:hAnsi="Times New Roman" w:eastAsia="黑体" w:cs="Times New Roman"/>
          <w:color w:val="auto"/>
          <w:kern w:val="2"/>
          <w:sz w:val="21"/>
          <w:szCs w:val="18"/>
          <w:highlight w:val="none"/>
          <w:lang w:val="en-US" w:eastAsia="zh-CN" w:bidi="ar-SA"/>
        </w:rPr>
      </w:pPr>
      <w:r>
        <w:rPr>
          <w:rFonts w:ascii="Times New Roman" w:hAnsi="Times New Roman" w:eastAsia="黑体" w:cs="Times New Roman"/>
          <w:color w:val="auto"/>
          <w:kern w:val="2"/>
          <w:sz w:val="21"/>
          <w:szCs w:val="18"/>
          <w:highlight w:val="none"/>
          <w:lang w:val="en-US" w:eastAsia="zh-CN" w:bidi="ar-SA"/>
        </w:rPr>
        <w:t>表2.1-2 环评技术导则依据一览表</w:t>
      </w:r>
    </w:p>
    <w:tbl>
      <w:tblPr>
        <w:tblStyle w:val="88"/>
        <w:tblW w:w="50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4265"/>
        <w:gridCol w:w="1716"/>
        <w:gridCol w:w="1205"/>
        <w:gridCol w:w="1233"/>
      </w:tblGrid>
      <w:tr w14:paraId="685E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308" w:type="pct"/>
            <w:vAlign w:val="center"/>
          </w:tcPr>
          <w:p w14:paraId="492A7C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序号</w:t>
            </w:r>
          </w:p>
        </w:tc>
        <w:tc>
          <w:tcPr>
            <w:tcW w:w="2376" w:type="pct"/>
            <w:vAlign w:val="center"/>
          </w:tcPr>
          <w:p w14:paraId="0F68D5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依据名称</w:t>
            </w:r>
          </w:p>
        </w:tc>
        <w:tc>
          <w:tcPr>
            <w:tcW w:w="956" w:type="pct"/>
            <w:vAlign w:val="center"/>
          </w:tcPr>
          <w:p w14:paraId="4ABFF2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标准号</w:t>
            </w:r>
          </w:p>
        </w:tc>
        <w:tc>
          <w:tcPr>
            <w:tcW w:w="671" w:type="pct"/>
            <w:vAlign w:val="center"/>
          </w:tcPr>
          <w:p w14:paraId="73B0DB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发布时间</w:t>
            </w:r>
          </w:p>
        </w:tc>
        <w:tc>
          <w:tcPr>
            <w:tcW w:w="687" w:type="pct"/>
            <w:vAlign w:val="center"/>
          </w:tcPr>
          <w:p w14:paraId="5B2686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实施时间</w:t>
            </w:r>
          </w:p>
        </w:tc>
      </w:tr>
      <w:tr w14:paraId="398A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vAlign w:val="center"/>
          </w:tcPr>
          <w:p w14:paraId="4F5DAE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c>
          <w:tcPr>
            <w:tcW w:w="2376" w:type="pct"/>
            <w:vAlign w:val="center"/>
          </w:tcPr>
          <w:p w14:paraId="3D6BAA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建设项目</w:t>
            </w:r>
            <w:r>
              <w:rPr>
                <w:rFonts w:hint="default" w:ascii="Times New Roman" w:hAnsi="Times New Roman" w:eastAsia="宋体" w:cs="Times New Roman"/>
                <w:color w:val="auto"/>
                <w:kern w:val="2"/>
                <w:sz w:val="21"/>
                <w:szCs w:val="21"/>
                <w:highlight w:val="none"/>
                <w:lang w:val="en-US" w:eastAsia="zh-CN" w:bidi="ar-SA"/>
              </w:rPr>
              <w:fldChar w:fldCharType="begin"/>
            </w:r>
            <w:r>
              <w:rPr>
                <w:rFonts w:hint="default" w:ascii="Times New Roman" w:hAnsi="Times New Roman" w:eastAsia="宋体" w:cs="Times New Roman"/>
                <w:color w:val="auto"/>
                <w:kern w:val="2"/>
                <w:sz w:val="21"/>
                <w:szCs w:val="21"/>
                <w:highlight w:val="none"/>
                <w:lang w:val="en-US" w:eastAsia="zh-CN" w:bidi="ar-SA"/>
              </w:rPr>
              <w:instrText xml:space="preserve"> HYPERLINK "http://kjs.mep.gov.cn/hjbhbz/bzwb/other/pjjsdz/199404/t19940401_68422.htm" </w:instrText>
            </w:r>
            <w:r>
              <w:rPr>
                <w:rFonts w:hint="default" w:ascii="Times New Roman" w:hAnsi="Times New Roman" w:eastAsia="宋体" w:cs="Times New Roman"/>
                <w:color w:val="auto"/>
                <w:kern w:val="2"/>
                <w:sz w:val="21"/>
                <w:szCs w:val="21"/>
                <w:highlight w:val="none"/>
                <w:lang w:val="en-US" w:eastAsia="zh-CN" w:bidi="ar-SA"/>
              </w:rPr>
              <w:fldChar w:fldCharType="separate"/>
            </w:r>
            <w:r>
              <w:rPr>
                <w:rFonts w:hint="default" w:ascii="Times New Roman" w:hAnsi="Times New Roman" w:eastAsia="宋体" w:cs="Times New Roman"/>
                <w:color w:val="auto"/>
                <w:kern w:val="2"/>
                <w:sz w:val="21"/>
                <w:szCs w:val="21"/>
                <w:highlight w:val="none"/>
                <w:lang w:val="en-US" w:eastAsia="zh-CN" w:bidi="ar-SA"/>
              </w:rPr>
              <w:t>环境影响评价技术导则 总纲</w:t>
            </w:r>
            <w:r>
              <w:rPr>
                <w:rFonts w:hint="default" w:ascii="Times New Roman" w:hAnsi="Times New Roman" w:eastAsia="宋体" w:cs="Times New Roman"/>
                <w:color w:val="auto"/>
                <w:kern w:val="2"/>
                <w:sz w:val="21"/>
                <w:szCs w:val="21"/>
                <w:highlight w:val="none"/>
                <w:lang w:val="en-US" w:eastAsia="zh-CN" w:bidi="ar-SA"/>
              </w:rPr>
              <w:fldChar w:fldCharType="end"/>
            </w:r>
          </w:p>
        </w:tc>
        <w:tc>
          <w:tcPr>
            <w:tcW w:w="956" w:type="pct"/>
            <w:vAlign w:val="center"/>
          </w:tcPr>
          <w:p w14:paraId="22528B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HJ2-1-2016</w:t>
            </w:r>
          </w:p>
        </w:tc>
        <w:tc>
          <w:tcPr>
            <w:tcW w:w="671" w:type="pct"/>
            <w:vAlign w:val="center"/>
          </w:tcPr>
          <w:p w14:paraId="3ACC92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2016-12-08</w:t>
            </w:r>
          </w:p>
        </w:tc>
        <w:tc>
          <w:tcPr>
            <w:tcW w:w="687" w:type="pct"/>
            <w:vAlign w:val="center"/>
          </w:tcPr>
          <w:p w14:paraId="4EC6AF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2017-01-01</w:t>
            </w:r>
          </w:p>
        </w:tc>
      </w:tr>
      <w:tr w14:paraId="4A91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vAlign w:val="center"/>
          </w:tcPr>
          <w:p w14:paraId="0D9927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w:t>
            </w:r>
          </w:p>
        </w:tc>
        <w:tc>
          <w:tcPr>
            <w:tcW w:w="2376" w:type="pct"/>
            <w:vAlign w:val="center"/>
          </w:tcPr>
          <w:p w14:paraId="7D81BA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环境影响评价技术导则</w:t>
            </w:r>
            <w:r>
              <w:rPr>
                <w:rFonts w:hint="eastAsia" w:cs="Times New Roman"/>
                <w:color w:val="auto"/>
                <w:kern w:val="2"/>
                <w:sz w:val="21"/>
                <w:szCs w:val="21"/>
                <w:highlight w:val="none"/>
                <w:lang w:val="en-US" w:eastAsia="zh-CN" w:bidi="ar-SA"/>
              </w:rPr>
              <w:t xml:space="preserve"> </w:t>
            </w:r>
            <w:r>
              <w:rPr>
                <w:rFonts w:hint="default" w:ascii="Times New Roman" w:hAnsi="Times New Roman" w:eastAsia="宋体" w:cs="Times New Roman"/>
                <w:color w:val="auto"/>
                <w:kern w:val="2"/>
                <w:sz w:val="21"/>
                <w:szCs w:val="21"/>
                <w:highlight w:val="none"/>
                <w:lang w:val="en-US" w:eastAsia="zh-CN" w:bidi="ar-SA"/>
              </w:rPr>
              <w:t>民用机场建设工程</w:t>
            </w:r>
          </w:p>
        </w:tc>
        <w:tc>
          <w:tcPr>
            <w:tcW w:w="956" w:type="pct"/>
            <w:vAlign w:val="center"/>
          </w:tcPr>
          <w:p w14:paraId="6FBFAF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HJ87-20</w:t>
            </w:r>
            <w:r>
              <w:rPr>
                <w:rFonts w:hint="eastAsia" w:cs="Times New Roman"/>
                <w:color w:val="auto"/>
                <w:kern w:val="2"/>
                <w:sz w:val="21"/>
                <w:szCs w:val="21"/>
                <w:highlight w:val="none"/>
                <w:lang w:val="en-US" w:eastAsia="zh-CN" w:bidi="ar-SA"/>
              </w:rPr>
              <w:t>23</w:t>
            </w:r>
          </w:p>
        </w:tc>
        <w:tc>
          <w:tcPr>
            <w:tcW w:w="671" w:type="pct"/>
            <w:vAlign w:val="center"/>
          </w:tcPr>
          <w:p w14:paraId="551B63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w:t>
            </w:r>
            <w:r>
              <w:rPr>
                <w:rFonts w:hint="eastAsia" w:cs="Times New Roman"/>
                <w:color w:val="auto"/>
                <w:kern w:val="2"/>
                <w:sz w:val="21"/>
                <w:szCs w:val="21"/>
                <w:highlight w:val="none"/>
                <w:lang w:val="en-US" w:eastAsia="zh-CN" w:bidi="ar-SA"/>
              </w:rPr>
              <w:t>23</w:t>
            </w:r>
            <w:r>
              <w:rPr>
                <w:rFonts w:hint="default" w:ascii="Times New Roman" w:hAnsi="Times New Roman" w:eastAsia="宋体" w:cs="Times New Roman"/>
                <w:color w:val="auto"/>
                <w:kern w:val="2"/>
                <w:sz w:val="21"/>
                <w:szCs w:val="21"/>
                <w:highlight w:val="none"/>
                <w:lang w:val="en-US" w:eastAsia="zh-CN" w:bidi="ar-SA"/>
              </w:rPr>
              <w:t>-0</w:t>
            </w:r>
            <w:r>
              <w:rPr>
                <w:rFonts w:hint="eastAsia" w:cs="Times New Roman"/>
                <w:color w:val="auto"/>
                <w:kern w:val="2"/>
                <w:sz w:val="21"/>
                <w:szCs w:val="21"/>
                <w:highlight w:val="none"/>
                <w:lang w:val="en-US" w:eastAsia="zh-CN" w:bidi="ar-SA"/>
              </w:rPr>
              <w:t>7</w:t>
            </w:r>
            <w:r>
              <w:rPr>
                <w:rFonts w:hint="default" w:ascii="Times New Roman" w:hAnsi="Times New Roman" w:eastAsia="宋体" w:cs="Times New Roman"/>
                <w:color w:val="auto"/>
                <w:kern w:val="2"/>
                <w:sz w:val="21"/>
                <w:szCs w:val="21"/>
                <w:highlight w:val="none"/>
                <w:lang w:val="en-US" w:eastAsia="zh-CN" w:bidi="ar-SA"/>
              </w:rPr>
              <w:t>-</w:t>
            </w:r>
            <w:r>
              <w:rPr>
                <w:rFonts w:hint="eastAsia" w:cs="Times New Roman"/>
                <w:color w:val="auto"/>
                <w:kern w:val="2"/>
                <w:sz w:val="21"/>
                <w:szCs w:val="21"/>
                <w:highlight w:val="none"/>
                <w:lang w:val="en-US" w:eastAsia="zh-CN" w:bidi="ar-SA"/>
              </w:rPr>
              <w:t>2</w:t>
            </w:r>
            <w:r>
              <w:rPr>
                <w:rFonts w:hint="default" w:ascii="Times New Roman" w:hAnsi="Times New Roman" w:eastAsia="宋体" w:cs="Times New Roman"/>
                <w:color w:val="auto"/>
                <w:kern w:val="2"/>
                <w:sz w:val="21"/>
                <w:szCs w:val="21"/>
                <w:highlight w:val="none"/>
                <w:lang w:val="en-US" w:eastAsia="zh-CN" w:bidi="ar-SA"/>
              </w:rPr>
              <w:t>7</w:t>
            </w:r>
          </w:p>
        </w:tc>
        <w:tc>
          <w:tcPr>
            <w:tcW w:w="687" w:type="pct"/>
            <w:vAlign w:val="center"/>
          </w:tcPr>
          <w:p w14:paraId="3A8424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w:t>
            </w:r>
            <w:r>
              <w:rPr>
                <w:rFonts w:hint="eastAsia" w:cs="Times New Roman"/>
                <w:color w:val="auto"/>
                <w:kern w:val="2"/>
                <w:sz w:val="21"/>
                <w:szCs w:val="21"/>
                <w:highlight w:val="none"/>
                <w:lang w:val="en-US" w:eastAsia="zh-CN" w:bidi="ar-SA"/>
              </w:rPr>
              <w:t>24</w:t>
            </w:r>
            <w:r>
              <w:rPr>
                <w:rFonts w:hint="default" w:ascii="Times New Roman" w:hAnsi="Times New Roman" w:eastAsia="宋体" w:cs="Times New Roman"/>
                <w:color w:val="auto"/>
                <w:kern w:val="2"/>
                <w:sz w:val="21"/>
                <w:szCs w:val="21"/>
                <w:highlight w:val="none"/>
                <w:lang w:val="en-US" w:eastAsia="zh-CN" w:bidi="ar-SA"/>
              </w:rPr>
              <w:t>-</w:t>
            </w:r>
            <w:r>
              <w:rPr>
                <w:rFonts w:hint="eastAsia" w:cs="Times New Roman"/>
                <w:color w:val="auto"/>
                <w:kern w:val="2"/>
                <w:sz w:val="21"/>
                <w:szCs w:val="21"/>
                <w:highlight w:val="none"/>
                <w:lang w:val="en-US" w:eastAsia="zh-CN" w:bidi="ar-SA"/>
              </w:rPr>
              <w:t>01</w:t>
            </w:r>
            <w:r>
              <w:rPr>
                <w:rFonts w:hint="default" w:ascii="Times New Roman" w:hAnsi="Times New Roman" w:eastAsia="宋体" w:cs="Times New Roman"/>
                <w:color w:val="auto"/>
                <w:kern w:val="2"/>
                <w:sz w:val="21"/>
                <w:szCs w:val="21"/>
                <w:highlight w:val="none"/>
                <w:lang w:val="en-US" w:eastAsia="zh-CN" w:bidi="ar-SA"/>
              </w:rPr>
              <w:t>-01</w:t>
            </w:r>
          </w:p>
        </w:tc>
      </w:tr>
      <w:tr w14:paraId="4801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vAlign w:val="center"/>
          </w:tcPr>
          <w:p w14:paraId="183CA2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w:t>
            </w:r>
          </w:p>
        </w:tc>
        <w:tc>
          <w:tcPr>
            <w:tcW w:w="2376" w:type="pct"/>
            <w:vAlign w:val="center"/>
          </w:tcPr>
          <w:p w14:paraId="68E0D8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fldChar w:fldCharType="begin"/>
            </w:r>
            <w:r>
              <w:rPr>
                <w:rFonts w:hint="default" w:ascii="Times New Roman" w:hAnsi="Times New Roman" w:eastAsia="宋体" w:cs="Times New Roman"/>
                <w:color w:val="auto"/>
                <w:kern w:val="2"/>
                <w:sz w:val="21"/>
                <w:szCs w:val="21"/>
                <w:highlight w:val="none"/>
                <w:lang w:val="en-US" w:eastAsia="zh-CN" w:bidi="ar-SA"/>
              </w:rPr>
              <w:instrText xml:space="preserve"> HYPERLINK "http://kjs.mep.gov.cn/hjbhbz/bzwb/other/pjjsdz/200901/t20090105_133276.htm" </w:instrText>
            </w:r>
            <w:r>
              <w:rPr>
                <w:rFonts w:hint="default" w:ascii="Times New Roman" w:hAnsi="Times New Roman" w:eastAsia="宋体" w:cs="Times New Roman"/>
                <w:color w:val="auto"/>
                <w:kern w:val="2"/>
                <w:sz w:val="21"/>
                <w:szCs w:val="21"/>
                <w:highlight w:val="none"/>
                <w:lang w:val="en-US" w:eastAsia="zh-CN" w:bidi="ar-SA"/>
              </w:rPr>
              <w:fldChar w:fldCharType="separate"/>
            </w:r>
            <w:r>
              <w:rPr>
                <w:rFonts w:hint="default" w:ascii="Times New Roman" w:hAnsi="Times New Roman" w:eastAsia="宋体" w:cs="Times New Roman"/>
                <w:color w:val="auto"/>
                <w:kern w:val="2"/>
                <w:sz w:val="21"/>
                <w:szCs w:val="21"/>
                <w:highlight w:val="none"/>
                <w:lang w:val="en-US" w:eastAsia="zh-CN" w:bidi="ar-SA"/>
              </w:rPr>
              <w:t>环境影响评价技术导则 大气环境</w:t>
            </w:r>
            <w:r>
              <w:rPr>
                <w:rFonts w:hint="default" w:ascii="Times New Roman" w:hAnsi="Times New Roman" w:eastAsia="宋体" w:cs="Times New Roman"/>
                <w:color w:val="auto"/>
                <w:kern w:val="2"/>
                <w:sz w:val="21"/>
                <w:szCs w:val="21"/>
                <w:highlight w:val="none"/>
                <w:lang w:val="en-US" w:eastAsia="zh-CN" w:bidi="ar-SA"/>
              </w:rPr>
              <w:fldChar w:fldCharType="end"/>
            </w:r>
          </w:p>
        </w:tc>
        <w:tc>
          <w:tcPr>
            <w:tcW w:w="956" w:type="pct"/>
            <w:vAlign w:val="center"/>
          </w:tcPr>
          <w:p w14:paraId="2DB01E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HJ2-2-2018</w:t>
            </w:r>
          </w:p>
        </w:tc>
        <w:tc>
          <w:tcPr>
            <w:tcW w:w="671" w:type="pct"/>
            <w:vAlign w:val="center"/>
          </w:tcPr>
          <w:p w14:paraId="2992B7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2008-07-31</w:t>
            </w:r>
          </w:p>
        </w:tc>
        <w:tc>
          <w:tcPr>
            <w:tcW w:w="687" w:type="pct"/>
            <w:vAlign w:val="center"/>
          </w:tcPr>
          <w:p w14:paraId="40E26C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2018-12-01</w:t>
            </w:r>
          </w:p>
        </w:tc>
      </w:tr>
      <w:tr w14:paraId="5988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vAlign w:val="center"/>
          </w:tcPr>
          <w:p w14:paraId="4B1170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w:t>
            </w:r>
          </w:p>
        </w:tc>
        <w:tc>
          <w:tcPr>
            <w:tcW w:w="2376" w:type="pct"/>
            <w:vAlign w:val="center"/>
          </w:tcPr>
          <w:p w14:paraId="28712B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fldChar w:fldCharType="begin"/>
            </w:r>
            <w:r>
              <w:rPr>
                <w:rFonts w:hint="default" w:ascii="Times New Roman" w:hAnsi="Times New Roman" w:eastAsia="宋体" w:cs="Times New Roman"/>
                <w:color w:val="auto"/>
                <w:kern w:val="2"/>
                <w:sz w:val="21"/>
                <w:szCs w:val="21"/>
                <w:highlight w:val="none"/>
                <w:lang w:val="en-US" w:eastAsia="zh-CN" w:bidi="ar-SA"/>
              </w:rPr>
              <w:instrText xml:space="preserve"> HYPERLINK "http://kjs.mep.gov.cn/hjbhbz/bzwb/other/pjjsdz/199404/t19940401_68474.htm" </w:instrText>
            </w:r>
            <w:r>
              <w:rPr>
                <w:rFonts w:hint="default" w:ascii="Times New Roman" w:hAnsi="Times New Roman" w:eastAsia="宋体" w:cs="Times New Roman"/>
                <w:color w:val="auto"/>
                <w:kern w:val="2"/>
                <w:sz w:val="21"/>
                <w:szCs w:val="21"/>
                <w:highlight w:val="none"/>
                <w:lang w:val="en-US" w:eastAsia="zh-CN" w:bidi="ar-SA"/>
              </w:rPr>
              <w:fldChar w:fldCharType="separate"/>
            </w:r>
            <w:r>
              <w:rPr>
                <w:rFonts w:hint="default" w:ascii="Times New Roman" w:hAnsi="Times New Roman" w:eastAsia="宋体" w:cs="Times New Roman"/>
                <w:color w:val="auto"/>
                <w:kern w:val="2"/>
                <w:sz w:val="21"/>
                <w:szCs w:val="21"/>
                <w:highlight w:val="none"/>
                <w:lang w:val="en-US" w:eastAsia="zh-CN" w:bidi="ar-SA"/>
              </w:rPr>
              <w:t>环境影响评价技术导则 地表水环境</w:t>
            </w:r>
            <w:r>
              <w:rPr>
                <w:rFonts w:hint="default" w:ascii="Times New Roman" w:hAnsi="Times New Roman" w:eastAsia="宋体" w:cs="Times New Roman"/>
                <w:color w:val="auto"/>
                <w:kern w:val="2"/>
                <w:sz w:val="21"/>
                <w:szCs w:val="21"/>
                <w:highlight w:val="none"/>
                <w:lang w:val="en-US" w:eastAsia="zh-CN" w:bidi="ar-SA"/>
              </w:rPr>
              <w:fldChar w:fldCharType="end"/>
            </w:r>
          </w:p>
        </w:tc>
        <w:tc>
          <w:tcPr>
            <w:tcW w:w="956" w:type="pct"/>
            <w:vAlign w:val="center"/>
          </w:tcPr>
          <w:p w14:paraId="048C10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HJ2-3-2018</w:t>
            </w:r>
          </w:p>
        </w:tc>
        <w:tc>
          <w:tcPr>
            <w:tcW w:w="671" w:type="pct"/>
            <w:vAlign w:val="center"/>
          </w:tcPr>
          <w:p w14:paraId="64959A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p>
        </w:tc>
        <w:tc>
          <w:tcPr>
            <w:tcW w:w="687" w:type="pct"/>
            <w:vAlign w:val="center"/>
          </w:tcPr>
          <w:p w14:paraId="620BC9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2019-03-01</w:t>
            </w:r>
          </w:p>
        </w:tc>
      </w:tr>
      <w:tr w14:paraId="49E9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vAlign w:val="center"/>
          </w:tcPr>
          <w:p w14:paraId="40C090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w:t>
            </w:r>
          </w:p>
        </w:tc>
        <w:tc>
          <w:tcPr>
            <w:tcW w:w="2376" w:type="pct"/>
            <w:vAlign w:val="center"/>
          </w:tcPr>
          <w:p w14:paraId="40166F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fldChar w:fldCharType="begin"/>
            </w:r>
            <w:r>
              <w:rPr>
                <w:rFonts w:hint="default" w:ascii="Times New Roman" w:hAnsi="Times New Roman" w:eastAsia="宋体" w:cs="Times New Roman"/>
                <w:color w:val="auto"/>
                <w:kern w:val="2"/>
                <w:sz w:val="21"/>
                <w:szCs w:val="21"/>
                <w:highlight w:val="none"/>
                <w:lang w:val="en-US" w:eastAsia="zh-CN" w:bidi="ar-SA"/>
              </w:rPr>
              <w:instrText xml:space="preserve"> HYPERLINK "http://kjs.mep.gov.cn/hjbhbz/bzwb/other/pjjsdz/199404/t19940401_68474.htm" </w:instrText>
            </w:r>
            <w:r>
              <w:rPr>
                <w:rFonts w:hint="default" w:ascii="Times New Roman" w:hAnsi="Times New Roman" w:eastAsia="宋体" w:cs="Times New Roman"/>
                <w:color w:val="auto"/>
                <w:kern w:val="2"/>
                <w:sz w:val="21"/>
                <w:szCs w:val="21"/>
                <w:highlight w:val="none"/>
                <w:lang w:val="en-US" w:eastAsia="zh-CN" w:bidi="ar-SA"/>
              </w:rPr>
              <w:fldChar w:fldCharType="separate"/>
            </w:r>
            <w:r>
              <w:rPr>
                <w:rFonts w:hint="default" w:ascii="Times New Roman" w:hAnsi="Times New Roman" w:eastAsia="宋体" w:cs="Times New Roman"/>
                <w:color w:val="auto"/>
                <w:kern w:val="2"/>
                <w:sz w:val="21"/>
                <w:szCs w:val="21"/>
                <w:highlight w:val="none"/>
                <w:lang w:val="en-US" w:eastAsia="zh-CN" w:bidi="ar-SA"/>
              </w:rPr>
              <w:t>环境影响评价技术导则 地下水环境</w:t>
            </w:r>
            <w:r>
              <w:rPr>
                <w:rFonts w:hint="default" w:ascii="Times New Roman" w:hAnsi="Times New Roman" w:eastAsia="宋体" w:cs="Times New Roman"/>
                <w:color w:val="auto"/>
                <w:kern w:val="2"/>
                <w:sz w:val="21"/>
                <w:szCs w:val="21"/>
                <w:highlight w:val="none"/>
                <w:lang w:val="en-US" w:eastAsia="zh-CN" w:bidi="ar-SA"/>
              </w:rPr>
              <w:fldChar w:fldCharType="end"/>
            </w:r>
          </w:p>
        </w:tc>
        <w:tc>
          <w:tcPr>
            <w:tcW w:w="956" w:type="pct"/>
            <w:vAlign w:val="center"/>
          </w:tcPr>
          <w:p w14:paraId="53D586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HJ610-2016</w:t>
            </w:r>
          </w:p>
        </w:tc>
        <w:tc>
          <w:tcPr>
            <w:tcW w:w="671" w:type="pct"/>
            <w:vAlign w:val="center"/>
          </w:tcPr>
          <w:p w14:paraId="0559DF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2016-01-07</w:t>
            </w:r>
          </w:p>
        </w:tc>
        <w:tc>
          <w:tcPr>
            <w:tcW w:w="687" w:type="pct"/>
            <w:vAlign w:val="center"/>
          </w:tcPr>
          <w:p w14:paraId="7E97D6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2016-01-07</w:t>
            </w:r>
          </w:p>
        </w:tc>
      </w:tr>
      <w:tr w14:paraId="0AE0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vAlign w:val="center"/>
          </w:tcPr>
          <w:p w14:paraId="539513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6</w:t>
            </w:r>
          </w:p>
        </w:tc>
        <w:tc>
          <w:tcPr>
            <w:tcW w:w="2376" w:type="pct"/>
            <w:vAlign w:val="center"/>
          </w:tcPr>
          <w:p w14:paraId="06027A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fldChar w:fldCharType="begin"/>
            </w:r>
            <w:r>
              <w:rPr>
                <w:rFonts w:hint="default" w:ascii="Times New Roman" w:hAnsi="Times New Roman" w:eastAsia="宋体" w:cs="Times New Roman"/>
                <w:color w:val="auto"/>
                <w:kern w:val="2"/>
                <w:sz w:val="21"/>
                <w:szCs w:val="21"/>
                <w:highlight w:val="none"/>
                <w:lang w:val="en-US" w:eastAsia="zh-CN" w:bidi="ar-SA"/>
              </w:rPr>
              <w:instrText xml:space="preserve"> HYPERLINK "http://kjs.mep.gov.cn/hjbhbz/bzwb/other/pjjsdz/201001/t20100107_183907.htm" </w:instrText>
            </w:r>
            <w:r>
              <w:rPr>
                <w:rFonts w:hint="default" w:ascii="Times New Roman" w:hAnsi="Times New Roman" w:eastAsia="宋体" w:cs="Times New Roman"/>
                <w:color w:val="auto"/>
                <w:kern w:val="2"/>
                <w:sz w:val="21"/>
                <w:szCs w:val="21"/>
                <w:highlight w:val="none"/>
                <w:lang w:val="en-US" w:eastAsia="zh-CN" w:bidi="ar-SA"/>
              </w:rPr>
              <w:fldChar w:fldCharType="separate"/>
            </w:r>
            <w:r>
              <w:rPr>
                <w:rFonts w:hint="default" w:ascii="Times New Roman" w:hAnsi="Times New Roman" w:eastAsia="宋体" w:cs="Times New Roman"/>
                <w:color w:val="auto"/>
                <w:kern w:val="2"/>
                <w:sz w:val="21"/>
                <w:szCs w:val="21"/>
                <w:highlight w:val="none"/>
                <w:lang w:val="en-US" w:eastAsia="zh-CN" w:bidi="ar-SA"/>
              </w:rPr>
              <w:t>环境影响评价技术导则 声环境</w:t>
            </w:r>
            <w:r>
              <w:rPr>
                <w:rFonts w:hint="default" w:ascii="Times New Roman" w:hAnsi="Times New Roman" w:eastAsia="宋体" w:cs="Times New Roman"/>
                <w:color w:val="auto"/>
                <w:kern w:val="2"/>
                <w:sz w:val="21"/>
                <w:szCs w:val="21"/>
                <w:highlight w:val="none"/>
                <w:lang w:val="en-US" w:eastAsia="zh-CN" w:bidi="ar-SA"/>
              </w:rPr>
              <w:fldChar w:fldCharType="end"/>
            </w:r>
          </w:p>
        </w:tc>
        <w:tc>
          <w:tcPr>
            <w:tcW w:w="956" w:type="pct"/>
            <w:vAlign w:val="center"/>
          </w:tcPr>
          <w:p w14:paraId="4AF257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HJ2.4-2021</w:t>
            </w:r>
          </w:p>
        </w:tc>
        <w:tc>
          <w:tcPr>
            <w:tcW w:w="671" w:type="pct"/>
            <w:vAlign w:val="center"/>
          </w:tcPr>
          <w:p w14:paraId="450418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2021-12-24</w:t>
            </w:r>
          </w:p>
        </w:tc>
        <w:tc>
          <w:tcPr>
            <w:tcW w:w="687" w:type="pct"/>
            <w:vAlign w:val="center"/>
          </w:tcPr>
          <w:p w14:paraId="375064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2022-07-01</w:t>
            </w:r>
          </w:p>
        </w:tc>
      </w:tr>
      <w:tr w14:paraId="07A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vAlign w:val="center"/>
          </w:tcPr>
          <w:p w14:paraId="50390A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w:t>
            </w:r>
          </w:p>
        </w:tc>
        <w:tc>
          <w:tcPr>
            <w:tcW w:w="2376" w:type="pct"/>
            <w:vAlign w:val="center"/>
          </w:tcPr>
          <w:p w14:paraId="17D193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fldChar w:fldCharType="begin"/>
            </w:r>
            <w:r>
              <w:rPr>
                <w:rFonts w:hint="default" w:ascii="Times New Roman" w:hAnsi="Times New Roman" w:eastAsia="宋体" w:cs="Times New Roman"/>
                <w:color w:val="auto"/>
                <w:kern w:val="2"/>
                <w:sz w:val="21"/>
                <w:szCs w:val="21"/>
                <w:highlight w:val="none"/>
                <w:lang w:val="en-US" w:eastAsia="zh-CN" w:bidi="ar-SA"/>
              </w:rPr>
              <w:instrText xml:space="preserve"> HYPERLINK "http://kjs.mep.gov.cn/hjbhbz/bzwb/other/pjjsdz/199806/t19980601_68415.htm" </w:instrText>
            </w:r>
            <w:r>
              <w:rPr>
                <w:rFonts w:hint="default" w:ascii="Times New Roman" w:hAnsi="Times New Roman" w:eastAsia="宋体" w:cs="Times New Roman"/>
                <w:color w:val="auto"/>
                <w:kern w:val="2"/>
                <w:sz w:val="21"/>
                <w:szCs w:val="21"/>
                <w:highlight w:val="none"/>
                <w:lang w:val="en-US" w:eastAsia="zh-CN" w:bidi="ar-SA"/>
              </w:rPr>
              <w:fldChar w:fldCharType="separate"/>
            </w:r>
            <w:r>
              <w:rPr>
                <w:rFonts w:hint="default" w:ascii="Times New Roman" w:hAnsi="Times New Roman" w:eastAsia="宋体" w:cs="Times New Roman"/>
                <w:color w:val="auto"/>
                <w:kern w:val="2"/>
                <w:sz w:val="21"/>
                <w:szCs w:val="21"/>
                <w:highlight w:val="none"/>
                <w:lang w:val="en-US" w:eastAsia="zh-CN" w:bidi="ar-SA"/>
              </w:rPr>
              <w:t>环境影响评价技术导则 生态影响</w:t>
            </w:r>
            <w:r>
              <w:rPr>
                <w:rFonts w:hint="default" w:ascii="Times New Roman" w:hAnsi="Times New Roman" w:eastAsia="宋体" w:cs="Times New Roman"/>
                <w:color w:val="auto"/>
                <w:kern w:val="2"/>
                <w:sz w:val="21"/>
                <w:szCs w:val="21"/>
                <w:highlight w:val="none"/>
                <w:lang w:val="en-US" w:eastAsia="zh-CN" w:bidi="ar-SA"/>
              </w:rPr>
              <w:fldChar w:fldCharType="end"/>
            </w:r>
          </w:p>
        </w:tc>
        <w:tc>
          <w:tcPr>
            <w:tcW w:w="956" w:type="pct"/>
            <w:vAlign w:val="center"/>
          </w:tcPr>
          <w:p w14:paraId="3DE4A9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HJ19-2022</w:t>
            </w:r>
          </w:p>
        </w:tc>
        <w:tc>
          <w:tcPr>
            <w:tcW w:w="671" w:type="pct"/>
            <w:vAlign w:val="center"/>
          </w:tcPr>
          <w:p w14:paraId="53E8C3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2022-01</w:t>
            </w:r>
            <w:r>
              <w:rPr>
                <w:rFonts w:hint="eastAsia"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15</w:t>
            </w:r>
          </w:p>
        </w:tc>
        <w:tc>
          <w:tcPr>
            <w:tcW w:w="687" w:type="pct"/>
            <w:vAlign w:val="center"/>
          </w:tcPr>
          <w:p w14:paraId="171FC7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2022-07-01</w:t>
            </w:r>
          </w:p>
        </w:tc>
      </w:tr>
      <w:tr w14:paraId="20BA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vAlign w:val="center"/>
          </w:tcPr>
          <w:p w14:paraId="0188DC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8</w:t>
            </w:r>
          </w:p>
        </w:tc>
        <w:tc>
          <w:tcPr>
            <w:tcW w:w="2376" w:type="pct"/>
            <w:vAlign w:val="center"/>
          </w:tcPr>
          <w:p w14:paraId="136FF8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fldChar w:fldCharType="begin"/>
            </w:r>
            <w:r>
              <w:rPr>
                <w:rFonts w:hint="default" w:ascii="Times New Roman" w:hAnsi="Times New Roman" w:eastAsia="宋体" w:cs="Times New Roman"/>
                <w:color w:val="auto"/>
                <w:kern w:val="2"/>
                <w:sz w:val="21"/>
                <w:szCs w:val="21"/>
                <w:highlight w:val="none"/>
                <w:lang w:val="en-US" w:eastAsia="zh-CN" w:bidi="ar-SA"/>
              </w:rPr>
              <w:instrText xml:space="preserve"> HYPERLINK "http://kjs.mep.gov.cn/hjbhbz/bzwb/other/pjjsdz/200901/t20090105_133276.htm" </w:instrText>
            </w:r>
            <w:r>
              <w:rPr>
                <w:rFonts w:hint="default" w:ascii="Times New Roman" w:hAnsi="Times New Roman" w:eastAsia="宋体" w:cs="Times New Roman"/>
                <w:color w:val="auto"/>
                <w:kern w:val="2"/>
                <w:sz w:val="21"/>
                <w:szCs w:val="21"/>
                <w:highlight w:val="none"/>
                <w:lang w:val="en-US" w:eastAsia="zh-CN" w:bidi="ar-SA"/>
              </w:rPr>
              <w:fldChar w:fldCharType="separate"/>
            </w:r>
            <w:r>
              <w:rPr>
                <w:rFonts w:hint="default" w:ascii="Times New Roman" w:hAnsi="Times New Roman" w:eastAsia="宋体" w:cs="Times New Roman"/>
                <w:color w:val="auto"/>
                <w:kern w:val="2"/>
                <w:sz w:val="21"/>
                <w:szCs w:val="21"/>
                <w:highlight w:val="none"/>
                <w:lang w:val="en-US" w:eastAsia="zh-CN" w:bidi="ar-SA"/>
              </w:rPr>
              <w:t>环境影响评价技术导则 土壤环境</w:t>
            </w:r>
            <w:r>
              <w:rPr>
                <w:rFonts w:hint="default" w:ascii="Times New Roman" w:hAnsi="Times New Roman" w:eastAsia="宋体" w:cs="Times New Roman"/>
                <w:color w:val="auto"/>
                <w:kern w:val="2"/>
                <w:sz w:val="21"/>
                <w:szCs w:val="21"/>
                <w:highlight w:val="none"/>
                <w:lang w:val="en-US" w:eastAsia="zh-CN" w:bidi="ar-SA"/>
              </w:rPr>
              <w:fldChar w:fldCharType="end"/>
            </w:r>
            <w:r>
              <w:rPr>
                <w:rFonts w:hint="default" w:ascii="Times New Roman" w:hAnsi="Times New Roman" w:eastAsia="宋体" w:cs="Times New Roman"/>
                <w:color w:val="auto"/>
                <w:kern w:val="2"/>
                <w:sz w:val="21"/>
                <w:szCs w:val="21"/>
                <w:highlight w:val="none"/>
                <w:lang w:val="en-US" w:eastAsia="zh-CN" w:bidi="ar-SA"/>
              </w:rPr>
              <w:t>（试行）</w:t>
            </w:r>
          </w:p>
        </w:tc>
        <w:tc>
          <w:tcPr>
            <w:tcW w:w="956" w:type="pct"/>
            <w:vAlign w:val="center"/>
          </w:tcPr>
          <w:p w14:paraId="3D1901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HJ964-2018</w:t>
            </w:r>
          </w:p>
        </w:tc>
        <w:tc>
          <w:tcPr>
            <w:tcW w:w="671" w:type="pct"/>
            <w:vAlign w:val="center"/>
          </w:tcPr>
          <w:p w14:paraId="3C93ED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2018-09-13</w:t>
            </w:r>
          </w:p>
        </w:tc>
        <w:tc>
          <w:tcPr>
            <w:tcW w:w="687" w:type="pct"/>
            <w:vAlign w:val="center"/>
          </w:tcPr>
          <w:p w14:paraId="1AA270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2019-07-01</w:t>
            </w:r>
          </w:p>
        </w:tc>
      </w:tr>
      <w:tr w14:paraId="1DE7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vAlign w:val="center"/>
          </w:tcPr>
          <w:p w14:paraId="00083E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9</w:t>
            </w:r>
          </w:p>
        </w:tc>
        <w:tc>
          <w:tcPr>
            <w:tcW w:w="2376" w:type="pct"/>
            <w:vAlign w:val="center"/>
          </w:tcPr>
          <w:p w14:paraId="772C3A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fldChar w:fldCharType="begin"/>
            </w:r>
            <w:r>
              <w:rPr>
                <w:rFonts w:hint="default" w:ascii="Times New Roman" w:hAnsi="Times New Roman" w:eastAsia="宋体" w:cs="Times New Roman"/>
                <w:color w:val="auto"/>
                <w:kern w:val="2"/>
                <w:sz w:val="21"/>
                <w:szCs w:val="21"/>
                <w:highlight w:val="none"/>
                <w:lang w:val="en-US" w:eastAsia="zh-CN" w:bidi="ar-SA"/>
              </w:rPr>
              <w:instrText xml:space="preserve"> HYPERLINK "http://kjs.mep.gov.cn/hjbhbz/bzwb/other/pjjsdz/200412/t20041211_63369.htm" </w:instrText>
            </w:r>
            <w:r>
              <w:rPr>
                <w:rFonts w:hint="default" w:ascii="Times New Roman" w:hAnsi="Times New Roman" w:eastAsia="宋体" w:cs="Times New Roman"/>
                <w:color w:val="auto"/>
                <w:kern w:val="2"/>
                <w:sz w:val="21"/>
                <w:szCs w:val="21"/>
                <w:highlight w:val="none"/>
                <w:lang w:val="en-US" w:eastAsia="zh-CN" w:bidi="ar-SA"/>
              </w:rPr>
              <w:fldChar w:fldCharType="separate"/>
            </w:r>
            <w:r>
              <w:rPr>
                <w:rFonts w:hint="default" w:ascii="Times New Roman" w:hAnsi="Times New Roman" w:eastAsia="宋体" w:cs="Times New Roman"/>
                <w:color w:val="auto"/>
                <w:kern w:val="2"/>
                <w:sz w:val="21"/>
                <w:szCs w:val="21"/>
                <w:highlight w:val="none"/>
                <w:lang w:val="en-US" w:eastAsia="zh-CN" w:bidi="ar-SA"/>
              </w:rPr>
              <w:t>建设项目环境风险评价技术导则</w:t>
            </w:r>
            <w:r>
              <w:rPr>
                <w:rFonts w:hint="default" w:ascii="Times New Roman" w:hAnsi="Times New Roman" w:eastAsia="宋体" w:cs="Times New Roman"/>
                <w:color w:val="auto"/>
                <w:kern w:val="2"/>
                <w:sz w:val="21"/>
                <w:szCs w:val="21"/>
                <w:highlight w:val="none"/>
                <w:lang w:val="en-US" w:eastAsia="zh-CN" w:bidi="ar-SA"/>
              </w:rPr>
              <w:fldChar w:fldCharType="end"/>
            </w:r>
          </w:p>
        </w:tc>
        <w:tc>
          <w:tcPr>
            <w:tcW w:w="956" w:type="pct"/>
            <w:vAlign w:val="center"/>
          </w:tcPr>
          <w:p w14:paraId="55EE01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HJ169-2018</w:t>
            </w:r>
          </w:p>
        </w:tc>
        <w:tc>
          <w:tcPr>
            <w:tcW w:w="671" w:type="pct"/>
            <w:vAlign w:val="center"/>
          </w:tcPr>
          <w:p w14:paraId="29BF48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2018-10-14</w:t>
            </w:r>
          </w:p>
        </w:tc>
        <w:tc>
          <w:tcPr>
            <w:tcW w:w="687" w:type="pct"/>
            <w:vAlign w:val="center"/>
          </w:tcPr>
          <w:p w14:paraId="03DEAD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2019-03-01</w:t>
            </w:r>
          </w:p>
        </w:tc>
      </w:tr>
      <w:tr w14:paraId="2F54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vAlign w:val="center"/>
          </w:tcPr>
          <w:p w14:paraId="278977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10</w:t>
            </w:r>
          </w:p>
        </w:tc>
        <w:tc>
          <w:tcPr>
            <w:tcW w:w="2376" w:type="pct"/>
            <w:vAlign w:val="center"/>
          </w:tcPr>
          <w:p w14:paraId="27D06C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辐射环境保护管理导则 电磁辐射环境影响评价方法与标准</w:t>
            </w:r>
          </w:p>
        </w:tc>
        <w:tc>
          <w:tcPr>
            <w:tcW w:w="956" w:type="pct"/>
            <w:vAlign w:val="center"/>
          </w:tcPr>
          <w:p w14:paraId="12A00C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HJ/T10.3-1996</w:t>
            </w:r>
          </w:p>
        </w:tc>
        <w:tc>
          <w:tcPr>
            <w:tcW w:w="671" w:type="pct"/>
            <w:vAlign w:val="center"/>
          </w:tcPr>
          <w:p w14:paraId="7C707C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1996-05-10</w:t>
            </w:r>
          </w:p>
        </w:tc>
        <w:tc>
          <w:tcPr>
            <w:tcW w:w="687" w:type="pct"/>
            <w:vAlign w:val="center"/>
          </w:tcPr>
          <w:p w14:paraId="73E9F1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1996-05-10</w:t>
            </w:r>
          </w:p>
        </w:tc>
      </w:tr>
      <w:tr w14:paraId="302B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vAlign w:val="center"/>
          </w:tcPr>
          <w:p w14:paraId="47BBB7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11</w:t>
            </w:r>
          </w:p>
        </w:tc>
        <w:tc>
          <w:tcPr>
            <w:tcW w:w="2376" w:type="pct"/>
            <w:vAlign w:val="center"/>
          </w:tcPr>
          <w:p w14:paraId="428AB4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民用机场周围飞机噪声计算和预测规范</w:t>
            </w:r>
          </w:p>
        </w:tc>
        <w:tc>
          <w:tcPr>
            <w:tcW w:w="956" w:type="pct"/>
            <w:vAlign w:val="center"/>
          </w:tcPr>
          <w:p w14:paraId="07DD77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MH/T5105-2007</w:t>
            </w:r>
          </w:p>
        </w:tc>
        <w:tc>
          <w:tcPr>
            <w:tcW w:w="671" w:type="pct"/>
            <w:vAlign w:val="center"/>
          </w:tcPr>
          <w:p w14:paraId="5BCBD2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2007-08-02</w:t>
            </w:r>
          </w:p>
        </w:tc>
        <w:tc>
          <w:tcPr>
            <w:tcW w:w="687" w:type="pct"/>
            <w:vAlign w:val="center"/>
          </w:tcPr>
          <w:p w14:paraId="54EAC9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2007-12-01</w:t>
            </w:r>
          </w:p>
        </w:tc>
      </w:tr>
      <w:tr w14:paraId="1811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vAlign w:val="center"/>
          </w:tcPr>
          <w:p w14:paraId="411AFB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12</w:t>
            </w:r>
          </w:p>
        </w:tc>
        <w:tc>
          <w:tcPr>
            <w:tcW w:w="2376" w:type="pct"/>
            <w:vAlign w:val="center"/>
          </w:tcPr>
          <w:p w14:paraId="6FDC75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民用机场鸟情生态环境调研指南AC-140-CA-2009-2</w:t>
            </w:r>
          </w:p>
        </w:tc>
        <w:tc>
          <w:tcPr>
            <w:tcW w:w="956" w:type="pct"/>
            <w:vAlign w:val="center"/>
          </w:tcPr>
          <w:p w14:paraId="49AC39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中国民航机场建设集团有限公司</w:t>
            </w:r>
          </w:p>
        </w:tc>
        <w:tc>
          <w:tcPr>
            <w:tcW w:w="671" w:type="pct"/>
            <w:vAlign w:val="center"/>
          </w:tcPr>
          <w:p w14:paraId="0C7C89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2009-08-18</w:t>
            </w:r>
          </w:p>
        </w:tc>
        <w:tc>
          <w:tcPr>
            <w:tcW w:w="687" w:type="pct"/>
            <w:vAlign w:val="center"/>
          </w:tcPr>
          <w:p w14:paraId="6507FF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p>
        </w:tc>
      </w:tr>
      <w:tr w14:paraId="6AD6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vAlign w:val="center"/>
          </w:tcPr>
          <w:p w14:paraId="3C907B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13</w:t>
            </w:r>
          </w:p>
        </w:tc>
        <w:tc>
          <w:tcPr>
            <w:tcW w:w="2376" w:type="pct"/>
            <w:vAlign w:val="center"/>
          </w:tcPr>
          <w:p w14:paraId="2076E3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危险化学品重大危险源辨识</w:t>
            </w:r>
          </w:p>
        </w:tc>
        <w:tc>
          <w:tcPr>
            <w:tcW w:w="956" w:type="pct"/>
            <w:vAlign w:val="center"/>
          </w:tcPr>
          <w:p w14:paraId="03C7F3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GB18218-2018</w:t>
            </w:r>
          </w:p>
        </w:tc>
        <w:tc>
          <w:tcPr>
            <w:tcW w:w="671" w:type="pct"/>
            <w:vAlign w:val="center"/>
          </w:tcPr>
          <w:p w14:paraId="152E0E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2018-11-19</w:t>
            </w:r>
          </w:p>
        </w:tc>
        <w:tc>
          <w:tcPr>
            <w:tcW w:w="687" w:type="pct"/>
            <w:vAlign w:val="center"/>
          </w:tcPr>
          <w:p w14:paraId="00C633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2019-03-01</w:t>
            </w:r>
          </w:p>
        </w:tc>
      </w:tr>
      <w:tr w14:paraId="22F5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vAlign w:val="center"/>
          </w:tcPr>
          <w:p w14:paraId="166752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14</w:t>
            </w:r>
          </w:p>
        </w:tc>
        <w:tc>
          <w:tcPr>
            <w:tcW w:w="2376" w:type="pct"/>
            <w:vAlign w:val="center"/>
          </w:tcPr>
          <w:p w14:paraId="54C2C3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环境空气质量功能区划分原则与技术方法</w:t>
            </w:r>
          </w:p>
        </w:tc>
        <w:tc>
          <w:tcPr>
            <w:tcW w:w="956" w:type="pct"/>
            <w:vAlign w:val="center"/>
          </w:tcPr>
          <w:p w14:paraId="381925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HJ/T14-1996</w:t>
            </w:r>
          </w:p>
        </w:tc>
        <w:tc>
          <w:tcPr>
            <w:tcW w:w="671" w:type="pct"/>
            <w:vAlign w:val="center"/>
          </w:tcPr>
          <w:p w14:paraId="2E7EBF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1996-07-22</w:t>
            </w:r>
          </w:p>
        </w:tc>
        <w:tc>
          <w:tcPr>
            <w:tcW w:w="687" w:type="pct"/>
            <w:vAlign w:val="center"/>
          </w:tcPr>
          <w:p w14:paraId="6BDAD8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1996-10-01</w:t>
            </w:r>
          </w:p>
        </w:tc>
      </w:tr>
      <w:tr w14:paraId="005E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vAlign w:val="center"/>
          </w:tcPr>
          <w:p w14:paraId="29515A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15</w:t>
            </w:r>
          </w:p>
        </w:tc>
        <w:tc>
          <w:tcPr>
            <w:tcW w:w="2376" w:type="pct"/>
            <w:vAlign w:val="center"/>
          </w:tcPr>
          <w:p w14:paraId="21A04E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声环境功能区划分技术规范</w:t>
            </w:r>
          </w:p>
        </w:tc>
        <w:tc>
          <w:tcPr>
            <w:tcW w:w="956" w:type="pct"/>
            <w:vAlign w:val="center"/>
          </w:tcPr>
          <w:p w14:paraId="54AB7B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GB/T15190-2014</w:t>
            </w:r>
          </w:p>
        </w:tc>
        <w:tc>
          <w:tcPr>
            <w:tcW w:w="671" w:type="pct"/>
            <w:vAlign w:val="center"/>
          </w:tcPr>
          <w:p w14:paraId="359922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2014-12-02</w:t>
            </w:r>
          </w:p>
        </w:tc>
        <w:tc>
          <w:tcPr>
            <w:tcW w:w="687" w:type="pct"/>
            <w:vAlign w:val="center"/>
          </w:tcPr>
          <w:p w14:paraId="0CC61C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2015-01-01</w:t>
            </w:r>
          </w:p>
        </w:tc>
      </w:tr>
      <w:tr w14:paraId="7192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vAlign w:val="center"/>
          </w:tcPr>
          <w:p w14:paraId="222B51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16</w:t>
            </w:r>
          </w:p>
        </w:tc>
        <w:tc>
          <w:tcPr>
            <w:tcW w:w="2376" w:type="pct"/>
            <w:vAlign w:val="center"/>
          </w:tcPr>
          <w:p w14:paraId="1EEFC5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危险废物贮存污染控制标准</w:t>
            </w:r>
          </w:p>
        </w:tc>
        <w:tc>
          <w:tcPr>
            <w:tcW w:w="956" w:type="pct"/>
            <w:vAlign w:val="center"/>
          </w:tcPr>
          <w:p w14:paraId="284B01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GB 18597-2023</w:t>
            </w:r>
          </w:p>
        </w:tc>
        <w:tc>
          <w:tcPr>
            <w:tcW w:w="671" w:type="pct"/>
            <w:vAlign w:val="center"/>
          </w:tcPr>
          <w:p w14:paraId="1DEB35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2023-01-20</w:t>
            </w:r>
          </w:p>
        </w:tc>
        <w:tc>
          <w:tcPr>
            <w:tcW w:w="687" w:type="pct"/>
            <w:vAlign w:val="center"/>
          </w:tcPr>
          <w:p w14:paraId="58BBD9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2023-07-01</w:t>
            </w:r>
          </w:p>
        </w:tc>
      </w:tr>
      <w:tr w14:paraId="29AD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vAlign w:val="center"/>
          </w:tcPr>
          <w:p w14:paraId="54E5A8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17</w:t>
            </w:r>
          </w:p>
        </w:tc>
        <w:tc>
          <w:tcPr>
            <w:tcW w:w="2376" w:type="pct"/>
            <w:vAlign w:val="center"/>
          </w:tcPr>
          <w:p w14:paraId="7C61FE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生物多样性观测技术导则</w:t>
            </w:r>
            <w:r>
              <w:rPr>
                <w:rFonts w:hint="eastAsia" w:cs="Times New Roman"/>
                <w:color w:val="auto"/>
                <w:kern w:val="0"/>
                <w:sz w:val="21"/>
                <w:szCs w:val="21"/>
                <w:highlight w:val="none"/>
                <w:lang w:val="en-US" w:eastAsia="zh-CN"/>
              </w:rPr>
              <w:t xml:space="preserve"> </w:t>
            </w:r>
            <w:r>
              <w:rPr>
                <w:rFonts w:hint="default" w:ascii="Times New Roman" w:hAnsi="Times New Roman" w:eastAsia="宋体" w:cs="Times New Roman"/>
                <w:color w:val="auto"/>
                <w:kern w:val="0"/>
                <w:sz w:val="21"/>
                <w:szCs w:val="21"/>
                <w:highlight w:val="none"/>
              </w:rPr>
              <w:t>陆生维管植物</w:t>
            </w:r>
          </w:p>
        </w:tc>
        <w:tc>
          <w:tcPr>
            <w:tcW w:w="956" w:type="pct"/>
            <w:vAlign w:val="center"/>
          </w:tcPr>
          <w:p w14:paraId="07AD60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HJ 710.1-2014</w:t>
            </w:r>
          </w:p>
        </w:tc>
        <w:tc>
          <w:tcPr>
            <w:tcW w:w="671" w:type="pct"/>
            <w:vAlign w:val="center"/>
          </w:tcPr>
          <w:p w14:paraId="0BA3D1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2014-</w:t>
            </w:r>
            <w:r>
              <w:rPr>
                <w:rFonts w:hint="eastAsia"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val="en-US" w:eastAsia="zh-CN"/>
              </w:rPr>
              <w:t>31</w:t>
            </w:r>
          </w:p>
        </w:tc>
        <w:tc>
          <w:tcPr>
            <w:tcW w:w="687" w:type="pct"/>
            <w:vAlign w:val="center"/>
          </w:tcPr>
          <w:p w14:paraId="025FB7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2015-01-01</w:t>
            </w:r>
          </w:p>
        </w:tc>
      </w:tr>
      <w:tr w14:paraId="46EB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vAlign w:val="center"/>
          </w:tcPr>
          <w:p w14:paraId="43EAC1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18</w:t>
            </w:r>
          </w:p>
        </w:tc>
        <w:tc>
          <w:tcPr>
            <w:tcW w:w="2376" w:type="pct"/>
            <w:vAlign w:val="center"/>
          </w:tcPr>
          <w:p w14:paraId="6A2274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生物多样性观测技术导则</w:t>
            </w:r>
            <w:r>
              <w:rPr>
                <w:rFonts w:hint="eastAsia" w:cs="Times New Roman"/>
                <w:color w:val="auto"/>
                <w:kern w:val="0"/>
                <w:sz w:val="21"/>
                <w:szCs w:val="21"/>
                <w:highlight w:val="none"/>
                <w:lang w:val="en-US" w:eastAsia="zh-CN"/>
              </w:rPr>
              <w:t xml:space="preserve"> </w:t>
            </w:r>
            <w:r>
              <w:rPr>
                <w:rFonts w:hint="default" w:ascii="Times New Roman" w:hAnsi="Times New Roman" w:eastAsia="宋体" w:cs="Times New Roman"/>
                <w:color w:val="auto"/>
                <w:kern w:val="0"/>
                <w:sz w:val="21"/>
                <w:szCs w:val="21"/>
                <w:highlight w:val="none"/>
              </w:rPr>
              <w:t>陆生哺乳动物</w:t>
            </w:r>
          </w:p>
        </w:tc>
        <w:tc>
          <w:tcPr>
            <w:tcW w:w="956" w:type="pct"/>
            <w:vAlign w:val="center"/>
          </w:tcPr>
          <w:p w14:paraId="06D60D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HJ 710.3-2014</w:t>
            </w:r>
          </w:p>
        </w:tc>
        <w:tc>
          <w:tcPr>
            <w:tcW w:w="671" w:type="pct"/>
            <w:vAlign w:val="center"/>
          </w:tcPr>
          <w:p w14:paraId="13DAD1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2014-10-31</w:t>
            </w:r>
          </w:p>
        </w:tc>
        <w:tc>
          <w:tcPr>
            <w:tcW w:w="687" w:type="pct"/>
            <w:vAlign w:val="center"/>
          </w:tcPr>
          <w:p w14:paraId="39488E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2015-01-01</w:t>
            </w:r>
          </w:p>
        </w:tc>
      </w:tr>
      <w:tr w14:paraId="7157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vAlign w:val="center"/>
          </w:tcPr>
          <w:p w14:paraId="4B1769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19</w:t>
            </w:r>
          </w:p>
        </w:tc>
        <w:tc>
          <w:tcPr>
            <w:tcW w:w="2376" w:type="pct"/>
            <w:vAlign w:val="center"/>
          </w:tcPr>
          <w:p w14:paraId="371CE6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生物多样性观测技术导则</w:t>
            </w:r>
            <w:r>
              <w:rPr>
                <w:rFonts w:hint="eastAsia" w:cs="Times New Roman"/>
                <w:color w:val="auto"/>
                <w:kern w:val="0"/>
                <w:sz w:val="21"/>
                <w:szCs w:val="21"/>
                <w:highlight w:val="none"/>
                <w:lang w:val="en-US" w:eastAsia="zh-CN"/>
              </w:rPr>
              <w:t xml:space="preserve"> </w:t>
            </w:r>
            <w:r>
              <w:rPr>
                <w:rFonts w:hint="default" w:ascii="Times New Roman" w:hAnsi="Times New Roman" w:eastAsia="宋体" w:cs="Times New Roman"/>
                <w:color w:val="auto"/>
                <w:kern w:val="0"/>
                <w:sz w:val="21"/>
                <w:szCs w:val="21"/>
                <w:highlight w:val="none"/>
              </w:rPr>
              <w:t>鸟类</w:t>
            </w:r>
          </w:p>
        </w:tc>
        <w:tc>
          <w:tcPr>
            <w:tcW w:w="956" w:type="pct"/>
            <w:vAlign w:val="center"/>
          </w:tcPr>
          <w:p w14:paraId="228ED5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HJ710.4-2014</w:t>
            </w:r>
          </w:p>
        </w:tc>
        <w:tc>
          <w:tcPr>
            <w:tcW w:w="671" w:type="pct"/>
            <w:vAlign w:val="center"/>
          </w:tcPr>
          <w:p w14:paraId="2AF7C8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2014-10-31</w:t>
            </w:r>
          </w:p>
        </w:tc>
        <w:tc>
          <w:tcPr>
            <w:tcW w:w="687" w:type="pct"/>
            <w:vAlign w:val="center"/>
          </w:tcPr>
          <w:p w14:paraId="03A21C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2015-01-01</w:t>
            </w:r>
          </w:p>
        </w:tc>
      </w:tr>
      <w:tr w14:paraId="07F9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shd w:val="clear" w:color="auto" w:fill="auto"/>
            <w:vAlign w:val="center"/>
          </w:tcPr>
          <w:p w14:paraId="3C6DD9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20</w:t>
            </w:r>
          </w:p>
        </w:tc>
        <w:tc>
          <w:tcPr>
            <w:tcW w:w="2376" w:type="pct"/>
            <w:shd w:val="clear" w:color="auto" w:fill="auto"/>
            <w:vAlign w:val="center"/>
          </w:tcPr>
          <w:p w14:paraId="624AB1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生物多样性观测技术导则</w:t>
            </w:r>
            <w:r>
              <w:rPr>
                <w:rFonts w:hint="eastAsia" w:cs="Times New Roman"/>
                <w:color w:val="auto"/>
                <w:kern w:val="0"/>
                <w:sz w:val="21"/>
                <w:szCs w:val="21"/>
                <w:highlight w:val="none"/>
                <w:lang w:val="en-US" w:eastAsia="zh-CN"/>
              </w:rPr>
              <w:t xml:space="preserve"> </w:t>
            </w:r>
            <w:r>
              <w:rPr>
                <w:rFonts w:hint="default" w:ascii="Times New Roman" w:hAnsi="Times New Roman" w:eastAsia="宋体" w:cs="Times New Roman"/>
                <w:color w:val="auto"/>
                <w:kern w:val="0"/>
                <w:sz w:val="21"/>
                <w:szCs w:val="21"/>
                <w:highlight w:val="none"/>
              </w:rPr>
              <w:t>爬行动物</w:t>
            </w:r>
          </w:p>
        </w:tc>
        <w:tc>
          <w:tcPr>
            <w:tcW w:w="956" w:type="pct"/>
            <w:shd w:val="clear" w:color="auto" w:fill="auto"/>
            <w:vAlign w:val="center"/>
          </w:tcPr>
          <w:p w14:paraId="710796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HJ 710.5-2014</w:t>
            </w:r>
          </w:p>
        </w:tc>
        <w:tc>
          <w:tcPr>
            <w:tcW w:w="671" w:type="pct"/>
            <w:shd w:val="clear" w:color="auto" w:fill="auto"/>
            <w:vAlign w:val="center"/>
          </w:tcPr>
          <w:p w14:paraId="712FD3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2014-10-31</w:t>
            </w:r>
          </w:p>
        </w:tc>
        <w:tc>
          <w:tcPr>
            <w:tcW w:w="687" w:type="pct"/>
            <w:shd w:val="clear" w:color="auto" w:fill="auto"/>
            <w:vAlign w:val="center"/>
          </w:tcPr>
          <w:p w14:paraId="3198A9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2015-01-01</w:t>
            </w:r>
          </w:p>
        </w:tc>
      </w:tr>
      <w:tr w14:paraId="222F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 w:type="pct"/>
            <w:shd w:val="clear" w:color="auto" w:fill="auto"/>
            <w:vAlign w:val="center"/>
          </w:tcPr>
          <w:p w14:paraId="561316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21</w:t>
            </w:r>
          </w:p>
        </w:tc>
        <w:tc>
          <w:tcPr>
            <w:tcW w:w="2376" w:type="pct"/>
            <w:vAlign w:val="center"/>
          </w:tcPr>
          <w:p w14:paraId="65C675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生物多样性观测技术导则</w:t>
            </w:r>
            <w:r>
              <w:rPr>
                <w:rFonts w:hint="eastAsia" w:cs="Times New Roman"/>
                <w:color w:val="auto"/>
                <w:kern w:val="0"/>
                <w:sz w:val="21"/>
                <w:szCs w:val="21"/>
                <w:highlight w:val="none"/>
                <w:lang w:val="en-US" w:eastAsia="zh-CN"/>
              </w:rPr>
              <w:t xml:space="preserve"> </w:t>
            </w:r>
            <w:r>
              <w:rPr>
                <w:rFonts w:hint="default" w:ascii="Times New Roman" w:hAnsi="Times New Roman" w:eastAsia="宋体" w:cs="Times New Roman"/>
                <w:color w:val="auto"/>
                <w:kern w:val="0"/>
                <w:sz w:val="21"/>
                <w:szCs w:val="21"/>
                <w:highlight w:val="none"/>
              </w:rPr>
              <w:t>两栖</w:t>
            </w:r>
            <w:r>
              <w:rPr>
                <w:rFonts w:hint="eastAsia" w:cs="Times New Roman"/>
                <w:color w:val="auto"/>
                <w:kern w:val="0"/>
                <w:sz w:val="21"/>
                <w:szCs w:val="21"/>
                <w:highlight w:val="none"/>
                <w:lang w:val="en-US" w:eastAsia="zh-CN"/>
              </w:rPr>
              <w:t>动物</w:t>
            </w:r>
          </w:p>
        </w:tc>
        <w:tc>
          <w:tcPr>
            <w:tcW w:w="956" w:type="pct"/>
            <w:vAlign w:val="center"/>
          </w:tcPr>
          <w:p w14:paraId="54F63E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HJ710.6-2014</w:t>
            </w:r>
          </w:p>
        </w:tc>
        <w:tc>
          <w:tcPr>
            <w:tcW w:w="671" w:type="pct"/>
            <w:vAlign w:val="center"/>
          </w:tcPr>
          <w:p w14:paraId="377CCD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2014-10-31</w:t>
            </w:r>
          </w:p>
        </w:tc>
        <w:tc>
          <w:tcPr>
            <w:tcW w:w="687" w:type="pct"/>
            <w:vAlign w:val="center"/>
          </w:tcPr>
          <w:p w14:paraId="5DED8F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2015-01-01</w:t>
            </w:r>
          </w:p>
        </w:tc>
      </w:tr>
    </w:tbl>
    <w:p w14:paraId="7FE74B7F">
      <w:pPr>
        <w:pStyle w:val="5"/>
        <w:pageBreakBefore w:val="0"/>
        <w:kinsoku/>
        <w:wordWrap/>
        <w:overflowPunct/>
        <w:bidi w:val="0"/>
        <w:rPr>
          <w:rFonts w:hint="default" w:ascii="黑体" w:hAnsi="黑体"/>
          <w:color w:val="auto"/>
          <w:sz w:val="28"/>
          <w:szCs w:val="28"/>
          <w:highlight w:val="none"/>
          <w:lang w:val="en-US" w:eastAsia="zh-CN"/>
        </w:rPr>
      </w:pPr>
      <w:r>
        <w:rPr>
          <w:rFonts w:hint="eastAsia" w:ascii="黑体" w:hAnsi="黑体"/>
          <w:color w:val="auto"/>
          <w:sz w:val="28"/>
          <w:szCs w:val="28"/>
          <w:highlight w:val="none"/>
        </w:rPr>
        <w:t>2.1.3</w:t>
      </w:r>
      <w:r>
        <w:rPr>
          <w:rFonts w:hint="eastAsia" w:ascii="黑体" w:hAnsi="黑体"/>
          <w:color w:val="auto"/>
          <w:sz w:val="28"/>
          <w:szCs w:val="28"/>
          <w:highlight w:val="none"/>
          <w:lang w:val="en-US" w:eastAsia="zh-CN"/>
        </w:rPr>
        <w:t>工程相关资料</w:t>
      </w:r>
    </w:p>
    <w:p w14:paraId="4971344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kern w:val="0"/>
          <w:highlight w:val="none"/>
        </w:rPr>
      </w:pPr>
      <w:r>
        <w:rPr>
          <w:rFonts w:hint="eastAsia"/>
          <w:color w:val="auto"/>
          <w:kern w:val="0"/>
          <w:highlight w:val="none"/>
        </w:rPr>
        <w:t>（1）环境影响评价委托书；</w:t>
      </w:r>
    </w:p>
    <w:p w14:paraId="023A1B2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kern w:val="0"/>
          <w:highlight w:val="none"/>
        </w:rPr>
      </w:pPr>
      <w:r>
        <w:rPr>
          <w:rFonts w:hint="eastAsia"/>
          <w:color w:val="auto"/>
          <w:kern w:val="0"/>
          <w:highlight w:val="none"/>
        </w:rPr>
        <w:t>（2）《新疆精河通用机场建设工程可行性研究报告》（北京天羿机场设计咨询有限公司</w:t>
      </w:r>
      <w:r>
        <w:rPr>
          <w:rFonts w:hint="eastAsia"/>
          <w:color w:val="auto"/>
          <w:kern w:val="0"/>
          <w:highlight w:val="none"/>
          <w:lang w:eastAsia="zh-CN"/>
        </w:rPr>
        <w:t>，</w:t>
      </w:r>
      <w:r>
        <w:rPr>
          <w:rFonts w:hint="eastAsia"/>
          <w:color w:val="auto"/>
          <w:kern w:val="0"/>
          <w:highlight w:val="none"/>
          <w:lang w:val="en-US" w:eastAsia="zh-CN"/>
        </w:rPr>
        <w:t>2024年10月</w:t>
      </w:r>
      <w:r>
        <w:rPr>
          <w:rFonts w:hint="eastAsia"/>
          <w:color w:val="auto"/>
          <w:kern w:val="0"/>
          <w:highlight w:val="none"/>
          <w:lang w:eastAsia="zh-CN"/>
        </w:rPr>
        <w:t>）</w:t>
      </w:r>
      <w:r>
        <w:rPr>
          <w:rFonts w:hint="eastAsia"/>
          <w:color w:val="auto"/>
          <w:kern w:val="0"/>
          <w:highlight w:val="none"/>
        </w:rPr>
        <w:t>；</w:t>
      </w:r>
    </w:p>
    <w:p w14:paraId="103618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宋体"/>
          <w:color w:val="auto"/>
          <w:kern w:val="0"/>
          <w:highlight w:val="none"/>
          <w:lang w:eastAsia="zh-CN"/>
        </w:rPr>
      </w:pPr>
      <w:r>
        <w:rPr>
          <w:rFonts w:hint="eastAsia"/>
          <w:color w:val="auto"/>
          <w:kern w:val="0"/>
          <w:highlight w:val="none"/>
          <w:lang w:eastAsia="zh-CN"/>
        </w:rPr>
        <w:t>（</w:t>
      </w:r>
      <w:r>
        <w:rPr>
          <w:rFonts w:hint="eastAsia"/>
          <w:color w:val="auto"/>
          <w:kern w:val="0"/>
          <w:highlight w:val="none"/>
          <w:lang w:val="en-US" w:eastAsia="zh-CN"/>
        </w:rPr>
        <w:t>3</w:t>
      </w:r>
      <w:r>
        <w:rPr>
          <w:rFonts w:hint="eastAsia"/>
          <w:color w:val="auto"/>
          <w:kern w:val="0"/>
          <w:highlight w:val="none"/>
          <w:lang w:eastAsia="zh-CN"/>
        </w:rPr>
        <w:t>）《自治区发展改革委关于精河通用机场项目可行性研究报告的批复》（新发改批复〔2024〕230号）；</w:t>
      </w:r>
    </w:p>
    <w:p w14:paraId="3F6339C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kern w:val="0"/>
          <w:highlight w:val="none"/>
          <w:lang w:eastAsia="zh-CN"/>
        </w:rPr>
      </w:pPr>
      <w:r>
        <w:rPr>
          <w:rFonts w:hint="eastAsia"/>
          <w:color w:val="auto"/>
          <w:kern w:val="0"/>
          <w:highlight w:val="none"/>
        </w:rPr>
        <w:t>（</w:t>
      </w:r>
      <w:r>
        <w:rPr>
          <w:rFonts w:hint="eastAsia"/>
          <w:color w:val="auto"/>
          <w:kern w:val="0"/>
          <w:highlight w:val="none"/>
          <w:lang w:val="en-US" w:eastAsia="zh-CN"/>
        </w:rPr>
        <w:t>4</w:t>
      </w:r>
      <w:r>
        <w:rPr>
          <w:rFonts w:hint="eastAsia"/>
          <w:color w:val="auto"/>
          <w:kern w:val="0"/>
          <w:highlight w:val="none"/>
        </w:rPr>
        <w:t>）</w:t>
      </w:r>
      <w:r>
        <w:rPr>
          <w:rFonts w:hint="eastAsia"/>
          <w:color w:val="auto"/>
          <w:kern w:val="0"/>
          <w:highlight w:val="none"/>
          <w:lang w:eastAsia="zh-CN"/>
        </w:rPr>
        <w:t>《新疆精河通用机场可行性研究阶段航行服务研究报告》（北京天羿机场设计咨询有限公司，</w:t>
      </w:r>
      <w:r>
        <w:rPr>
          <w:rFonts w:hint="eastAsia"/>
          <w:color w:val="auto"/>
          <w:kern w:val="0"/>
          <w:highlight w:val="none"/>
          <w:lang w:val="en-US" w:eastAsia="zh-CN"/>
        </w:rPr>
        <w:t>2023年3月</w:t>
      </w:r>
      <w:r>
        <w:rPr>
          <w:rFonts w:hint="eastAsia"/>
          <w:color w:val="auto"/>
          <w:kern w:val="0"/>
          <w:highlight w:val="none"/>
          <w:lang w:eastAsia="zh-CN"/>
        </w:rPr>
        <w:t>）；</w:t>
      </w:r>
    </w:p>
    <w:p w14:paraId="6595683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kern w:val="0"/>
          <w:highlight w:val="none"/>
          <w:lang w:val="en-US" w:eastAsia="zh-CN"/>
        </w:rPr>
      </w:pPr>
      <w:r>
        <w:rPr>
          <w:rFonts w:hint="eastAsia"/>
          <w:color w:val="auto"/>
          <w:kern w:val="0"/>
          <w:highlight w:val="none"/>
          <w:lang w:eastAsia="zh-CN"/>
        </w:rPr>
        <w:t>（</w:t>
      </w:r>
      <w:r>
        <w:rPr>
          <w:rFonts w:hint="eastAsia"/>
          <w:color w:val="auto"/>
          <w:kern w:val="0"/>
          <w:highlight w:val="none"/>
          <w:lang w:val="en-US" w:eastAsia="zh-CN"/>
        </w:rPr>
        <w:t>5</w:t>
      </w:r>
      <w:r>
        <w:rPr>
          <w:rFonts w:hint="eastAsia"/>
          <w:color w:val="auto"/>
          <w:kern w:val="0"/>
          <w:highlight w:val="none"/>
          <w:lang w:eastAsia="zh-CN"/>
        </w:rPr>
        <w:t>）</w:t>
      </w:r>
      <w:r>
        <w:rPr>
          <w:rFonts w:hint="eastAsia"/>
          <w:color w:val="auto"/>
          <w:kern w:val="0"/>
          <w:highlight w:val="none"/>
          <w:lang w:val="en-US" w:eastAsia="zh-CN"/>
        </w:rPr>
        <w:t>《新疆精河通用机场鸟情生态环境调研报告》（新疆农业大学，2025年5月）；</w:t>
      </w:r>
    </w:p>
    <w:p w14:paraId="275C1E3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宋体"/>
          <w:color w:val="auto"/>
          <w:highlight w:val="none"/>
          <w:lang w:eastAsia="zh-CN"/>
        </w:rPr>
      </w:pPr>
      <w:r>
        <w:rPr>
          <w:rFonts w:hint="eastAsia"/>
          <w:color w:val="auto"/>
          <w:kern w:val="0"/>
          <w:highlight w:val="none"/>
          <w:lang w:val="en-US" w:eastAsia="zh-CN"/>
        </w:rPr>
        <w:t>（6）其他工程相关资料</w:t>
      </w:r>
      <w:r>
        <w:rPr>
          <w:rFonts w:hint="eastAsia"/>
          <w:color w:val="auto"/>
          <w:highlight w:val="none"/>
          <w:lang w:eastAsia="zh-CN"/>
        </w:rPr>
        <w:t>。</w:t>
      </w:r>
    </w:p>
    <w:bookmarkEnd w:id="40"/>
    <w:bookmarkEnd w:id="41"/>
    <w:bookmarkEnd w:id="42"/>
    <w:bookmarkEnd w:id="43"/>
    <w:bookmarkEnd w:id="44"/>
    <w:bookmarkEnd w:id="45"/>
    <w:bookmarkEnd w:id="46"/>
    <w:bookmarkEnd w:id="47"/>
    <w:bookmarkEnd w:id="48"/>
    <w:bookmarkEnd w:id="49"/>
    <w:p w14:paraId="07CF05CE">
      <w:pPr>
        <w:pStyle w:val="4"/>
        <w:pageBreakBefore w:val="0"/>
        <w:kinsoku/>
        <w:wordWrap/>
        <w:overflowPunct/>
        <w:bidi w:val="0"/>
        <w:rPr>
          <w:rFonts w:hint="eastAsia"/>
          <w:color w:val="auto"/>
          <w:sz w:val="30"/>
          <w:szCs w:val="30"/>
          <w:highlight w:val="none"/>
        </w:rPr>
      </w:pPr>
      <w:bookmarkStart w:id="50" w:name="_Toc2570"/>
      <w:bookmarkStart w:id="51" w:name="_Toc97226704"/>
      <w:bookmarkStart w:id="52" w:name="_Toc434352252"/>
      <w:bookmarkStart w:id="53" w:name="_Toc316558128"/>
      <w:bookmarkStart w:id="54" w:name="_Toc96759220"/>
      <w:bookmarkStart w:id="55" w:name="_Toc143925536"/>
      <w:bookmarkStart w:id="56" w:name="_Toc97391881"/>
      <w:bookmarkStart w:id="57" w:name="_Toc319045783"/>
      <w:bookmarkStart w:id="58" w:name="_Toc97383167"/>
      <w:bookmarkStart w:id="59" w:name="_Toc95064025"/>
      <w:bookmarkStart w:id="60" w:name="_Toc142237585"/>
      <w:bookmarkStart w:id="61" w:name="_Toc519172955"/>
      <w:bookmarkStart w:id="62" w:name="_Toc240165910"/>
      <w:bookmarkStart w:id="63" w:name="_Toc239760137"/>
      <w:bookmarkStart w:id="64" w:name="_Toc520088238"/>
      <w:bookmarkStart w:id="65" w:name="_Toc79816422"/>
      <w:bookmarkStart w:id="66" w:name="_Toc145148597"/>
      <w:bookmarkStart w:id="67" w:name="_Toc144648424"/>
      <w:bookmarkStart w:id="68" w:name="_Toc239499248"/>
      <w:bookmarkStart w:id="69" w:name="_Toc956318"/>
      <w:bookmarkStart w:id="70" w:name="_Toc148165604"/>
      <w:bookmarkStart w:id="71" w:name="_Toc99200662"/>
      <w:bookmarkStart w:id="72" w:name="_Toc112496127"/>
      <w:bookmarkStart w:id="73" w:name="_Toc5077063"/>
      <w:bookmarkStart w:id="74" w:name="_Toc133987573"/>
      <w:bookmarkStart w:id="75" w:name="_Toc131828136"/>
      <w:bookmarkStart w:id="76" w:name="_Toc5097673"/>
      <w:bookmarkStart w:id="77" w:name="_Toc98819267"/>
      <w:bookmarkStart w:id="78" w:name="_Toc142275516"/>
      <w:bookmarkStart w:id="79" w:name="_Toc94624957"/>
      <w:bookmarkStart w:id="80" w:name="_Toc141948802"/>
      <w:bookmarkStart w:id="81" w:name="_Toc956608"/>
      <w:bookmarkStart w:id="82" w:name="_Toc517941918"/>
      <w:bookmarkStart w:id="83" w:name="_Toc519614336"/>
      <w:bookmarkStart w:id="84" w:name="_Toc520450469"/>
      <w:bookmarkStart w:id="85" w:name="_Toc118368818"/>
      <w:bookmarkStart w:id="86" w:name="_Toc514402612"/>
      <w:bookmarkStart w:id="87" w:name="_Toc5015107"/>
      <w:bookmarkStart w:id="88" w:name="_Toc240083821"/>
      <w:bookmarkStart w:id="89" w:name="_Toc5750"/>
      <w:bookmarkStart w:id="90" w:name="_Toc5098256"/>
      <w:bookmarkStart w:id="91" w:name="_Toc5015490"/>
      <w:bookmarkStart w:id="92" w:name="_Toc955010"/>
      <w:bookmarkStart w:id="93" w:name="_Toc5076819"/>
      <w:r>
        <w:rPr>
          <w:rFonts w:hint="eastAsia"/>
          <w:color w:val="auto"/>
          <w:sz w:val="30"/>
          <w:szCs w:val="30"/>
          <w:highlight w:val="none"/>
        </w:rPr>
        <w:t>2.2评价原则</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4309F4F5">
      <w:pPr>
        <w:pStyle w:val="13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rPr>
        <w:t>依据HJ2.1</w:t>
      </w:r>
      <w:r>
        <w:rPr>
          <w:rFonts w:hint="eastAsia"/>
          <w:color w:val="auto"/>
          <w:highlight w:val="none"/>
          <w:lang w:val="en-US" w:eastAsia="zh-CN"/>
        </w:rPr>
        <w:t>及HJ87</w:t>
      </w:r>
      <w:r>
        <w:rPr>
          <w:rFonts w:hint="eastAsia"/>
          <w:color w:val="auto"/>
          <w:highlight w:val="none"/>
        </w:rPr>
        <w:t>的要求，在工程分析和生态环境现状调查的基础上，识别机场建设项目生态环境影响，明确环境保护目标，预测和评价生态环境影响范围和程度，提出预防或减缓生态环境影响的对策措施，制定相应的生态环境管理和监测计划，从生态环境影响角度明确机场工程建设项目是否可行。</w:t>
      </w:r>
    </w:p>
    <w:p w14:paraId="4E2412C0">
      <w:pPr>
        <w:pStyle w:val="13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rPr>
        <w:t>（1）早期介入</w:t>
      </w:r>
    </w:p>
    <w:p w14:paraId="4540F48D">
      <w:pPr>
        <w:pStyle w:val="13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lang w:val="en-US" w:eastAsia="zh-CN"/>
        </w:rPr>
        <w:t>按照机场导则中早期介入的原则，本项目在2023年6月25日、2025年9月26日就机场选址环境影响等问题由自治区评估中心组织召开了两次专家审查会</w:t>
      </w:r>
      <w:r>
        <w:rPr>
          <w:rFonts w:hint="eastAsia"/>
          <w:color w:val="auto"/>
          <w:highlight w:val="none"/>
        </w:rPr>
        <w:t>，将生态环境保护的内容</w:t>
      </w:r>
      <w:r>
        <w:rPr>
          <w:rFonts w:hint="eastAsia"/>
          <w:color w:val="auto"/>
          <w:highlight w:val="none"/>
          <w:lang w:eastAsia="zh-CN"/>
        </w:rPr>
        <w:t>融入</w:t>
      </w:r>
      <w:r>
        <w:rPr>
          <w:rFonts w:hint="eastAsia"/>
          <w:color w:val="auto"/>
          <w:highlight w:val="none"/>
          <w:lang w:val="en-US" w:eastAsia="zh-CN"/>
        </w:rPr>
        <w:t>了</w:t>
      </w:r>
      <w:r>
        <w:rPr>
          <w:rFonts w:hint="eastAsia"/>
          <w:color w:val="auto"/>
          <w:highlight w:val="none"/>
        </w:rPr>
        <w:t>选址和方案设计中，降低因选址不当造成的重大生态环境影响和治理成本。</w:t>
      </w:r>
    </w:p>
    <w:p w14:paraId="7C59DC16">
      <w:pPr>
        <w:pStyle w:val="13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rPr>
        <w:t>（2）预防为主</w:t>
      </w:r>
    </w:p>
    <w:p w14:paraId="24C25B2F">
      <w:pPr>
        <w:pStyle w:val="13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rPr>
        <w:t>按照机场导则中预防为主的原则，</w:t>
      </w:r>
      <w:r>
        <w:rPr>
          <w:rFonts w:hint="eastAsia"/>
          <w:color w:val="auto"/>
          <w:highlight w:val="none"/>
          <w:lang w:val="en-US" w:eastAsia="zh-CN"/>
        </w:rPr>
        <w:t>环评中按照最终确定的八家户牧业四队场址提出了优化平面布置、针对春秋鸟类迁徙季优化飞行程序、正对空中游览观光限定观光路线等生态保护措施，预防鸟击事件发生、预防航空器噪声对湖泊鸟类栖息生境的不利影响等，发挥了机场工程环境影响评价的源头预防作用</w:t>
      </w:r>
      <w:r>
        <w:rPr>
          <w:rFonts w:hint="eastAsia"/>
          <w:color w:val="auto"/>
          <w:highlight w:val="none"/>
        </w:rPr>
        <w:t>。</w:t>
      </w:r>
    </w:p>
    <w:p w14:paraId="7A2B2E73">
      <w:pPr>
        <w:pStyle w:val="13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rPr>
        <w:t>（3）突出重点</w:t>
      </w:r>
    </w:p>
    <w:p w14:paraId="5E920004">
      <w:pPr>
        <w:pStyle w:val="133"/>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szCs w:val="24"/>
          <w:highlight w:val="none"/>
        </w:rPr>
      </w:pPr>
      <w:r>
        <w:rPr>
          <w:rFonts w:hint="eastAsia"/>
          <w:color w:val="auto"/>
          <w:highlight w:val="none"/>
        </w:rPr>
        <w:t>按照机场导则中突出重点的原则，</w:t>
      </w:r>
      <w:r>
        <w:rPr>
          <w:rFonts w:hint="eastAsia"/>
          <w:color w:val="auto"/>
          <w:highlight w:val="none"/>
          <w:lang w:val="en-US" w:eastAsia="zh-CN"/>
        </w:rPr>
        <w:t>本次</w:t>
      </w:r>
      <w:r>
        <w:rPr>
          <w:rFonts w:hint="eastAsia"/>
          <w:color w:val="auto"/>
          <w:highlight w:val="none"/>
        </w:rPr>
        <w:t>机场工程环境影响评价</w:t>
      </w:r>
      <w:r>
        <w:rPr>
          <w:rFonts w:hint="eastAsia"/>
          <w:color w:val="auto"/>
          <w:highlight w:val="none"/>
          <w:lang w:val="en-US" w:eastAsia="zh-CN"/>
        </w:rPr>
        <w:t>的重点为工程分析、声环境影响评价、生态环境影响评价、环境保护措施及其技术经济可行性分析等</w:t>
      </w:r>
      <w:r>
        <w:rPr>
          <w:color w:val="auto"/>
          <w:szCs w:val="24"/>
          <w:highlight w:val="none"/>
        </w:rPr>
        <w:t>。</w:t>
      </w:r>
    </w:p>
    <w:p w14:paraId="71D6647B">
      <w:pPr>
        <w:pStyle w:val="4"/>
        <w:pageBreakBefore w:val="0"/>
        <w:kinsoku/>
        <w:wordWrap/>
        <w:overflowPunct/>
        <w:bidi w:val="0"/>
        <w:rPr>
          <w:rFonts w:hint="eastAsia"/>
          <w:color w:val="auto"/>
          <w:sz w:val="30"/>
          <w:szCs w:val="30"/>
          <w:highlight w:val="none"/>
        </w:rPr>
      </w:pPr>
      <w:bookmarkStart w:id="94" w:name="_Toc12119"/>
      <w:bookmarkStart w:id="95" w:name="_Toc25868"/>
      <w:r>
        <w:rPr>
          <w:rFonts w:hint="eastAsia"/>
          <w:color w:val="auto"/>
          <w:sz w:val="30"/>
          <w:szCs w:val="30"/>
          <w:highlight w:val="none"/>
        </w:rPr>
        <w:t>2.3</w:t>
      </w:r>
      <w:bookmarkEnd w:id="94"/>
      <w:r>
        <w:rPr>
          <w:rFonts w:hint="eastAsia"/>
          <w:color w:val="auto"/>
          <w:sz w:val="30"/>
          <w:szCs w:val="30"/>
          <w:highlight w:val="none"/>
        </w:rPr>
        <w:t>环境影响因素识别与评价因子确定</w:t>
      </w:r>
      <w:bookmarkEnd w:id="95"/>
    </w:p>
    <w:p w14:paraId="51EA3797">
      <w:pPr>
        <w:pStyle w:val="5"/>
        <w:pageBreakBefore w:val="0"/>
        <w:kinsoku/>
        <w:wordWrap/>
        <w:overflowPunct/>
        <w:bidi w:val="0"/>
        <w:rPr>
          <w:rFonts w:hint="eastAsia" w:ascii="黑体" w:hAnsi="黑体"/>
          <w:color w:val="auto"/>
          <w:sz w:val="28"/>
          <w:szCs w:val="28"/>
          <w:highlight w:val="none"/>
          <w:lang w:val="en-US" w:eastAsia="zh-CN"/>
        </w:rPr>
      </w:pPr>
      <w:bookmarkStart w:id="96" w:name="_Hlk106656312"/>
      <w:r>
        <w:rPr>
          <w:rFonts w:hint="eastAsia" w:ascii="黑体" w:hAnsi="黑体"/>
          <w:color w:val="auto"/>
          <w:sz w:val="28"/>
          <w:szCs w:val="28"/>
          <w:highlight w:val="none"/>
          <w:lang w:val="en-US" w:eastAsia="zh-CN"/>
        </w:rPr>
        <w:t>2.3.1环境影响因素识别</w:t>
      </w:r>
    </w:p>
    <w:p w14:paraId="04EDA4E2">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根据项目的性质和建设规模，结合评价区社会经济和自然生态环境特点，采用矩阵法对项目环境影响因素进行识别，识别结果见表2.3-1。</w:t>
      </w:r>
    </w:p>
    <w:p w14:paraId="7943FF9F">
      <w:pPr>
        <w:pageBreakBefore w:val="0"/>
        <w:widowControl w:val="0"/>
        <w:kinsoku/>
        <w:wordWrap/>
        <w:overflowPunct/>
        <w:bidi w:val="0"/>
        <w:spacing w:before="156" w:beforeLines="50" w:after="156" w:afterLines="50" w:line="240" w:lineRule="auto"/>
        <w:ind w:left="0" w:leftChars="0" w:firstLine="0" w:firstLineChars="0"/>
        <w:jc w:val="center"/>
        <w:rPr>
          <w:rFonts w:hint="default" w:ascii="Times New Roman" w:hAnsi="Times New Roman" w:eastAsia="黑体" w:cs="Times New Roman"/>
          <w:color w:val="auto"/>
          <w:kern w:val="2"/>
          <w:sz w:val="21"/>
          <w:szCs w:val="18"/>
          <w:highlight w:val="none"/>
          <w:lang w:val="en-US" w:eastAsia="zh-CN" w:bidi="ar-SA"/>
        </w:rPr>
      </w:pPr>
      <w:r>
        <w:rPr>
          <w:rFonts w:ascii="Times New Roman" w:hAnsi="Times New Roman" w:eastAsia="黑体" w:cs="Times New Roman"/>
          <w:color w:val="auto"/>
          <w:kern w:val="2"/>
          <w:sz w:val="21"/>
          <w:szCs w:val="18"/>
          <w:highlight w:val="none"/>
          <w:lang w:val="en-US" w:eastAsia="zh-CN" w:bidi="ar-SA"/>
        </w:rPr>
        <w:t>表2.3-1机场建设</w:t>
      </w:r>
      <w:r>
        <w:rPr>
          <w:rFonts w:hint="eastAsia" w:eastAsia="黑体" w:cs="Times New Roman"/>
          <w:color w:val="auto"/>
          <w:kern w:val="2"/>
          <w:sz w:val="21"/>
          <w:szCs w:val="18"/>
          <w:highlight w:val="none"/>
          <w:lang w:val="en-US" w:eastAsia="zh-CN" w:bidi="ar-SA"/>
        </w:rPr>
        <w:t>项目环境影响因素识别一览表</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120"/>
        <w:gridCol w:w="850"/>
        <w:gridCol w:w="850"/>
        <w:gridCol w:w="850"/>
        <w:gridCol w:w="850"/>
        <w:gridCol w:w="850"/>
        <w:gridCol w:w="850"/>
        <w:gridCol w:w="850"/>
        <w:gridCol w:w="850"/>
      </w:tblGrid>
      <w:tr w14:paraId="5C97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718" w:type="dxa"/>
            <w:gridSpan w:val="2"/>
            <w:vMerge w:val="restart"/>
            <w:vAlign w:val="center"/>
          </w:tcPr>
          <w:p w14:paraId="575F43FE">
            <w:pPr>
              <w:keepNext w:val="0"/>
              <w:keepLines w:val="0"/>
              <w:pageBreakBefore w:val="0"/>
              <w:widowControl w:val="0"/>
              <w:suppressLineNumbers w:val="0"/>
              <w:kinsoku/>
              <w:wordWrap/>
              <w:overflowPunct/>
              <w:bidi w:val="0"/>
              <w:spacing w:before="0" w:beforeAutospacing="0" w:after="0" w:afterAutospacing="0" w:line="240" w:lineRule="auto"/>
              <w:ind w:left="0" w:right="0" w:firstLine="420" w:firstLineChars="200"/>
              <w:jc w:val="center"/>
              <w:rPr>
                <w:rFonts w:hint="default" w:ascii="Times New Roman" w:hAnsi="Times New Roman" w:eastAsia="宋体" w:cs="Times New Roman"/>
                <w:color w:val="auto"/>
                <w:kern w:val="2"/>
                <w:sz w:val="18"/>
                <w:szCs w:val="18"/>
                <w:highlight w:val="none"/>
                <w:lang w:val="en-US" w:eastAsia="zh-CN" w:bidi="ar-SA"/>
              </w:rPr>
            </w:pPr>
            <w:r>
              <w:rPr>
                <w:rFonts w:hint="default" w:ascii="黑体" w:hAnsi="Times New Roman" w:eastAsia="宋体" w:cs="Times New Roman"/>
                <w:color w:val="auto"/>
                <w:kern w:val="2"/>
                <w:sz w:val="21"/>
                <w:szCs w:val="18"/>
                <w:highlight w:val="none"/>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-135890</wp:posOffset>
                      </wp:positionH>
                      <wp:positionV relativeFrom="paragraph">
                        <wp:posOffset>387985</wp:posOffset>
                      </wp:positionV>
                      <wp:extent cx="586105" cy="724535"/>
                      <wp:effectExtent l="0" t="0" r="0" b="0"/>
                      <wp:wrapNone/>
                      <wp:docPr id="676997" name="文本框 676997"/>
                      <wp:cNvGraphicFramePr/>
                      <a:graphic xmlns:a="http://schemas.openxmlformats.org/drawingml/2006/main">
                        <a:graphicData uri="http://schemas.microsoft.com/office/word/2010/wordprocessingShape">
                          <wps:wsp>
                            <wps:cNvSpPr txBox="1">
                              <a:spLocks noChangeArrowheads="1"/>
                            </wps:cNvSpPr>
                            <wps:spPr bwMode="auto">
                              <a:xfrm>
                                <a:off x="0" y="0"/>
                                <a:ext cx="586105" cy="724535"/>
                              </a:xfrm>
                              <a:prstGeom prst="rect">
                                <a:avLst/>
                              </a:prstGeom>
                              <a:solidFill>
                                <a:srgbClr val="FFFFFF">
                                  <a:alpha val="0"/>
                                </a:srgbClr>
                              </a:solidFill>
                              <a:ln>
                                <a:noFill/>
                              </a:ln>
                            </wps:spPr>
                            <wps:txbx>
                              <w:txbxContent>
                                <w:p w14:paraId="4AA2310D">
                                  <w:pPr>
                                    <w:widowControl/>
                                    <w:spacing w:line="240" w:lineRule="atLeast"/>
                                    <w:ind w:firstLine="0"/>
                                    <w:jc w:val="left"/>
                                    <w:rPr>
                                      <w:rFonts w:ascii="Times New Roman" w:hAnsi="Times New Roman" w:eastAsia="宋体" w:cs="Times New Roman"/>
                                      <w:sz w:val="18"/>
                                      <w:szCs w:val="18"/>
                                    </w:rPr>
                                  </w:pPr>
                                </w:p>
                                <w:p w14:paraId="5438D33B">
                                  <w:pPr>
                                    <w:widowControl/>
                                    <w:spacing w:line="240" w:lineRule="atLeast"/>
                                    <w:ind w:firstLine="90" w:firstLineChars="5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项目</w:t>
                                  </w:r>
                                </w:p>
                                <w:p w14:paraId="63EF9891">
                                  <w:pPr>
                                    <w:widowControl/>
                                    <w:spacing w:line="240" w:lineRule="atLeast"/>
                                    <w:ind w:firstLine="90" w:firstLineChars="5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阶段</w:t>
                                  </w:r>
                                </w:p>
                                <w:p w14:paraId="37D8E5A7">
                                  <w:pPr>
                                    <w:widowControl/>
                                    <w:spacing w:line="240" w:lineRule="atLeast"/>
                                    <w:ind w:firstLine="540" w:firstLineChars="300"/>
                                    <w:jc w:val="left"/>
                                    <w:rPr>
                                      <w:rFonts w:ascii="Times New Roman" w:hAnsi="Times New Roman" w:eastAsia="宋体" w:cs="Times New Roman"/>
                                      <w:sz w:val="18"/>
                                      <w:szCs w:val="18"/>
                                    </w:rPr>
                                  </w:pPr>
                                </w:p>
                                <w:p w14:paraId="4BB34678">
                                  <w:pPr>
                                    <w:widowControl/>
                                    <w:ind w:firstLine="0"/>
                                    <w:jc w:val="left"/>
                                    <w:rPr>
                                      <w:rFonts w:ascii="Times New Roman" w:hAnsi="Times New Roman" w:eastAsia="宋体"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7pt;margin-top:30.55pt;height:57.05pt;width:46.15pt;z-index:251662336;mso-width-relative:page;mso-height-relative:page;" fillcolor="#FFFFFF" filled="t" stroked="f" coordsize="21600,21600" o:gfxdata="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&#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GkjA7YAAAACQEAAA8AAAAAAAAAAQAgAAAAIgAAAGRy&#10;cy9kb3ducmV2LnhtbFBLAQIUABQAAAAIAIdO4kDqmPQePgIAAGQEAAAOAAAAAAAAAAEAIAAAACcB&#10;AABkcnMvZTJvRG9jLnhtbFBLBQYAAAAABgAGAFkBAADXBQAAAAA=&#10;">
                      <v:fill on="t" opacity="0f" focussize="0,0"/>
                      <v:stroke on="f"/>
                      <v:imagedata o:title=""/>
                      <o:lock v:ext="edit" aspectratio="f"/>
                      <v:textbox>
                        <w:txbxContent>
                          <w:p w14:paraId="4AA2310D">
                            <w:pPr>
                              <w:widowControl/>
                              <w:spacing w:line="240" w:lineRule="atLeast"/>
                              <w:ind w:firstLine="0"/>
                              <w:jc w:val="left"/>
                              <w:rPr>
                                <w:rFonts w:ascii="Times New Roman" w:hAnsi="Times New Roman" w:eastAsia="宋体" w:cs="Times New Roman"/>
                                <w:sz w:val="18"/>
                                <w:szCs w:val="18"/>
                              </w:rPr>
                            </w:pPr>
                          </w:p>
                          <w:p w14:paraId="5438D33B">
                            <w:pPr>
                              <w:widowControl/>
                              <w:spacing w:line="240" w:lineRule="atLeast"/>
                              <w:ind w:firstLine="90" w:firstLineChars="5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项目</w:t>
                            </w:r>
                          </w:p>
                          <w:p w14:paraId="63EF9891">
                            <w:pPr>
                              <w:widowControl/>
                              <w:spacing w:line="240" w:lineRule="atLeast"/>
                              <w:ind w:firstLine="90" w:firstLineChars="5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阶段</w:t>
                            </w:r>
                          </w:p>
                          <w:p w14:paraId="37D8E5A7">
                            <w:pPr>
                              <w:widowControl/>
                              <w:spacing w:line="240" w:lineRule="atLeast"/>
                              <w:ind w:firstLine="540" w:firstLineChars="300"/>
                              <w:jc w:val="left"/>
                              <w:rPr>
                                <w:rFonts w:ascii="Times New Roman" w:hAnsi="Times New Roman" w:eastAsia="宋体" w:cs="Times New Roman"/>
                                <w:sz w:val="18"/>
                                <w:szCs w:val="18"/>
                              </w:rPr>
                            </w:pPr>
                          </w:p>
                          <w:p w14:paraId="4BB34678">
                            <w:pPr>
                              <w:widowControl/>
                              <w:ind w:firstLine="0"/>
                              <w:jc w:val="left"/>
                              <w:rPr>
                                <w:rFonts w:ascii="Times New Roman" w:hAnsi="Times New Roman" w:eastAsia="宋体" w:cs="Times New Roman"/>
                                <w:sz w:val="18"/>
                                <w:szCs w:val="18"/>
                              </w:rPr>
                            </w:pPr>
                          </w:p>
                        </w:txbxContent>
                      </v:textbox>
                    </v:shape>
                  </w:pict>
                </mc:Fallback>
              </mc:AlternateContent>
            </w:r>
            <w:r>
              <w:rPr>
                <w:rFonts w:hint="default" w:ascii="Times New Roman" w:hAnsi="Times New Roman" w:eastAsia="宋体" w:cs="Times New Roman"/>
                <w:color w:val="auto"/>
                <w:kern w:val="2"/>
                <w:sz w:val="21"/>
                <w:szCs w:val="24"/>
                <w:highlight w:val="none"/>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-52070</wp:posOffset>
                      </wp:positionH>
                      <wp:positionV relativeFrom="paragraph">
                        <wp:posOffset>48895</wp:posOffset>
                      </wp:positionV>
                      <wp:extent cx="1088390" cy="334010"/>
                      <wp:effectExtent l="1270" t="4445" r="15240" b="4445"/>
                      <wp:wrapNone/>
                      <wp:docPr id="676996" name="直接连接符 676996"/>
                      <wp:cNvGraphicFramePr/>
                      <a:graphic xmlns:a="http://schemas.openxmlformats.org/drawingml/2006/main">
                        <a:graphicData uri="http://schemas.microsoft.com/office/word/2010/wordprocessingShape">
                          <wps:wsp>
                            <wps:cNvCnPr>
                              <a:cxnSpLocks noChangeShapeType="1"/>
                            </wps:cNvCnPr>
                            <wps:spPr bwMode="auto">
                              <a:xfrm>
                                <a:off x="0" y="0"/>
                                <a:ext cx="1088390" cy="33401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1pt;margin-top:3.85pt;height:26.3pt;width:85.7pt;z-index:251663360;mso-width-relative:page;mso-height-relative:page;" filled="f" stroked="t" coordsize="21600,21600" o:gfxdata="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O&#10;OSod1AAAAAcBAAAPAAAAAAAAAAEAIAAAACIAAABkcnMvZG93bnJldi54bWxQSwECFAAUAAAACACH&#10;TuJAp+rm8e8BAAC5AwAADgAAAAAAAAABACAAAAAjAQAAZHJzL2Uyb0RvYy54bWxQSwUGAAAAAAYA&#10;BgBZAQAAhAUAAAAA&#10;">
                      <v:fill on="f" focussize="0,0"/>
                      <v:stroke color="#000000" joinstyle="round"/>
                      <v:imagedata o:title=""/>
                      <o:lock v:ext="edit" aspectratio="f"/>
                    </v:line>
                  </w:pict>
                </mc:Fallback>
              </mc:AlternateContent>
            </w:r>
            <w:r>
              <w:rPr>
                <w:rFonts w:hint="default" w:ascii="Times New Roman" w:hAnsi="Times New Roman" w:eastAsia="宋体" w:cs="Times New Roman"/>
                <w:color w:val="auto"/>
                <w:kern w:val="2"/>
                <w:sz w:val="21"/>
                <w:szCs w:val="24"/>
                <w:highlight w:val="none"/>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-24765</wp:posOffset>
                      </wp:positionH>
                      <wp:positionV relativeFrom="paragraph">
                        <wp:posOffset>69215</wp:posOffset>
                      </wp:positionV>
                      <wp:extent cx="752475" cy="836295"/>
                      <wp:effectExtent l="3810" t="3175" r="5715" b="17780"/>
                      <wp:wrapNone/>
                      <wp:docPr id="676998" name="直接连接符 676998"/>
                      <wp:cNvGraphicFramePr/>
                      <a:graphic xmlns:a="http://schemas.openxmlformats.org/drawingml/2006/main">
                        <a:graphicData uri="http://schemas.microsoft.com/office/word/2010/wordprocessingShape">
                          <wps:wsp>
                            <wps:cNvCnPr>
                              <a:cxnSpLocks noChangeShapeType="1"/>
                            </wps:cNvCnPr>
                            <wps:spPr bwMode="auto">
                              <a:xfrm>
                                <a:off x="0" y="0"/>
                                <a:ext cx="752475" cy="83629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95pt;margin-top:5.45pt;height:65.85pt;width:59.25pt;z-index:251664384;mso-width-relative:page;mso-height-relative:page;" filled="f" stroked="t" coordsize="21600,21600" o:gfxdata="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H1vZD1wAAAAkBAAAPAAAAAAAAAAEAIAAAACIAAABkcnMvZG93bnJldi54bWxQSwECFAAUAAAA&#10;CACHTuJAlRATme8BAAC4AwAADgAAAAAAAAABACAAAAAmAQAAZHJzL2Uyb0RvYy54bWxQSwUGAAAA&#10;AAYABgBZAQAAhwUAAAAA&#10;">
                      <v:fill on="f" focussize="0,0"/>
                      <v:stroke color="#000000" joinstyle="round"/>
                      <v:imagedata o:title=""/>
                      <o:lock v:ext="edit" aspectratio="f"/>
                    </v:line>
                  </w:pict>
                </mc:Fallback>
              </mc:AlternateContent>
            </w:r>
            <w:r>
              <w:rPr>
                <w:rFonts w:hint="default" w:ascii="Times New Roman" w:hAnsi="Times New Roman" w:eastAsia="宋体" w:cs="Times New Roman"/>
                <w:color w:val="auto"/>
                <w:kern w:val="2"/>
                <w:sz w:val="21"/>
                <w:szCs w:val="24"/>
                <w:highlight w:val="none"/>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260985</wp:posOffset>
                      </wp:positionH>
                      <wp:positionV relativeFrom="paragraph">
                        <wp:posOffset>133350</wp:posOffset>
                      </wp:positionV>
                      <wp:extent cx="838200" cy="724535"/>
                      <wp:effectExtent l="0" t="0" r="0" b="0"/>
                      <wp:wrapNone/>
                      <wp:docPr id="676999" name="文本框 676999"/>
                      <wp:cNvGraphicFramePr/>
                      <a:graphic xmlns:a="http://schemas.openxmlformats.org/drawingml/2006/main">
                        <a:graphicData uri="http://schemas.microsoft.com/office/word/2010/wordprocessingShape">
                          <wps:wsp>
                            <wps:cNvSpPr txBox="1">
                              <a:spLocks noChangeArrowheads="1"/>
                            </wps:cNvSpPr>
                            <wps:spPr bwMode="auto">
                              <a:xfrm>
                                <a:off x="0" y="0"/>
                                <a:ext cx="838200" cy="724535"/>
                              </a:xfrm>
                              <a:prstGeom prst="rect">
                                <a:avLst/>
                              </a:prstGeom>
                              <a:solidFill>
                                <a:srgbClr val="FFFFFF">
                                  <a:alpha val="0"/>
                                </a:srgbClr>
                              </a:solidFill>
                              <a:ln>
                                <a:noFill/>
                              </a:ln>
                            </wps:spPr>
                            <wps:txbx>
                              <w:txbxContent>
                                <w:p w14:paraId="4D9C0257">
                                  <w:pPr>
                                    <w:widowControl/>
                                    <w:spacing w:line="240" w:lineRule="exact"/>
                                    <w:ind w:firstLine="0"/>
                                    <w:jc w:val="left"/>
                                    <w:rPr>
                                      <w:rFonts w:hint="eastAsia" w:ascii="Times New Roman" w:hAnsi="Times New Roman" w:eastAsia="宋体" w:cs="Times New Roman"/>
                                      <w:sz w:val="18"/>
                                      <w:szCs w:val="18"/>
                                    </w:rPr>
                                  </w:pPr>
                                </w:p>
                                <w:p w14:paraId="67AD676A">
                                  <w:pPr>
                                    <w:widowControl/>
                                    <w:spacing w:line="240" w:lineRule="exact"/>
                                    <w:ind w:firstLine="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影响程度</w:t>
                                  </w:r>
                                </w:p>
                                <w:p w14:paraId="35510DCD">
                                  <w:pPr>
                                    <w:widowControl/>
                                    <w:ind w:firstLine="0"/>
                                    <w:jc w:val="left"/>
                                    <w:rPr>
                                      <w:rFonts w:ascii="Times New Roman" w:hAnsi="Times New Roman" w:eastAsia="宋体"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55pt;margin-top:10.5pt;height:57.05pt;width:66pt;z-index:251661312;mso-width-relative:page;mso-height-relative:page;" fillcolor="#FFFFFF" filled="t" stroked="f" coordsize="21600,21600" o:gfxdata="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CZ2Yw1gAAAAkBAAAPAAAAAAAAAAEAIAAAACIAAABkcnMv&#10;ZG93bnJldi54bWxQSwECFAAUAAAACACHTuJAPtilRT4CAABkBAAADgAAAAAAAAABACAAAAAlAQAA&#10;ZHJzL2Uyb0RvYy54bWxQSwUGAAAAAAYABgBZAQAA1QUAAAAA&#10;">
                      <v:fill on="t" opacity="0f" focussize="0,0"/>
                      <v:stroke on="f"/>
                      <v:imagedata o:title=""/>
                      <o:lock v:ext="edit" aspectratio="f"/>
                      <v:textbox>
                        <w:txbxContent>
                          <w:p w14:paraId="4D9C0257">
                            <w:pPr>
                              <w:widowControl/>
                              <w:spacing w:line="240" w:lineRule="exact"/>
                              <w:ind w:firstLine="0"/>
                              <w:jc w:val="left"/>
                              <w:rPr>
                                <w:rFonts w:hint="eastAsia" w:ascii="Times New Roman" w:hAnsi="Times New Roman" w:eastAsia="宋体" w:cs="Times New Roman"/>
                                <w:sz w:val="18"/>
                                <w:szCs w:val="18"/>
                              </w:rPr>
                            </w:pPr>
                          </w:p>
                          <w:p w14:paraId="67AD676A">
                            <w:pPr>
                              <w:widowControl/>
                              <w:spacing w:line="240" w:lineRule="exact"/>
                              <w:ind w:firstLine="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影响程度</w:t>
                            </w:r>
                          </w:p>
                          <w:p w14:paraId="35510DCD">
                            <w:pPr>
                              <w:widowControl/>
                              <w:ind w:firstLine="0"/>
                              <w:jc w:val="left"/>
                              <w:rPr>
                                <w:rFonts w:ascii="Times New Roman" w:hAnsi="Times New Roman" w:eastAsia="宋体" w:cs="Times New Roman"/>
                                <w:sz w:val="18"/>
                                <w:szCs w:val="18"/>
                              </w:rPr>
                            </w:pPr>
                          </w:p>
                        </w:txbxContent>
                      </v:textbox>
                    </v:shape>
                  </w:pict>
                </mc:Fallback>
              </mc:AlternateContent>
            </w:r>
            <w:r>
              <w:rPr>
                <w:rFonts w:hint="default" w:ascii="Times New Roman" w:hAnsi="Times New Roman" w:eastAsia="宋体" w:cs="Times New Roman"/>
                <w:color w:val="auto"/>
                <w:kern w:val="2"/>
                <w:sz w:val="18"/>
                <w:szCs w:val="18"/>
                <w:highlight w:val="none"/>
                <w:lang w:val="en-US" w:eastAsia="zh-CN" w:bidi="ar-SA"/>
              </w:rPr>
              <w:t>环境要素</w:t>
            </w:r>
          </w:p>
        </w:tc>
        <w:tc>
          <w:tcPr>
            <w:tcW w:w="4250" w:type="dxa"/>
            <w:gridSpan w:val="5"/>
            <w:vAlign w:val="center"/>
          </w:tcPr>
          <w:p w14:paraId="7D629B58">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环境质量</w:t>
            </w:r>
          </w:p>
        </w:tc>
        <w:tc>
          <w:tcPr>
            <w:tcW w:w="2550" w:type="dxa"/>
            <w:gridSpan w:val="3"/>
            <w:vAlign w:val="center"/>
          </w:tcPr>
          <w:p w14:paraId="471DBB59">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生态环境</w:t>
            </w:r>
          </w:p>
        </w:tc>
      </w:tr>
      <w:tr w14:paraId="0856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718" w:type="dxa"/>
            <w:gridSpan w:val="2"/>
            <w:vMerge w:val="continue"/>
            <w:vAlign w:val="center"/>
          </w:tcPr>
          <w:p w14:paraId="79371814">
            <w:pPr>
              <w:keepNext w:val="0"/>
              <w:keepLines w:val="0"/>
              <w:pageBreakBefore w:val="0"/>
              <w:widowControl/>
              <w:suppressLineNumbers w:val="0"/>
              <w:kinsoku/>
              <w:wordWrap/>
              <w:overflowPunct/>
              <w:bidi w:val="0"/>
              <w:spacing w:before="0" w:beforeAutospacing="0" w:after="0" w:afterAutospacing="0" w:line="240" w:lineRule="auto"/>
              <w:ind w:left="0" w:right="0" w:firstLine="0"/>
              <w:jc w:val="left"/>
              <w:rPr>
                <w:rFonts w:hint="default" w:ascii="Times New Roman" w:hAnsi="Times New Roman" w:eastAsia="宋体" w:cs="Times New Roman"/>
                <w:color w:val="auto"/>
                <w:sz w:val="18"/>
                <w:szCs w:val="21"/>
                <w:highlight w:val="none"/>
              </w:rPr>
            </w:pPr>
          </w:p>
        </w:tc>
        <w:tc>
          <w:tcPr>
            <w:tcW w:w="850" w:type="dxa"/>
            <w:vAlign w:val="center"/>
          </w:tcPr>
          <w:p w14:paraId="1D90CEDE">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声环境</w:t>
            </w:r>
          </w:p>
        </w:tc>
        <w:tc>
          <w:tcPr>
            <w:tcW w:w="850" w:type="dxa"/>
            <w:vAlign w:val="center"/>
          </w:tcPr>
          <w:p w14:paraId="614E734C">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大气</w:t>
            </w:r>
          </w:p>
          <w:p w14:paraId="6890E9DB">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环境</w:t>
            </w:r>
          </w:p>
        </w:tc>
        <w:tc>
          <w:tcPr>
            <w:tcW w:w="850" w:type="dxa"/>
            <w:vAlign w:val="center"/>
          </w:tcPr>
          <w:p w14:paraId="683D7919">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水环境</w:t>
            </w:r>
          </w:p>
        </w:tc>
        <w:tc>
          <w:tcPr>
            <w:tcW w:w="850" w:type="dxa"/>
            <w:vAlign w:val="center"/>
          </w:tcPr>
          <w:p w14:paraId="44027D5D">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土壤环境</w:t>
            </w:r>
          </w:p>
        </w:tc>
        <w:tc>
          <w:tcPr>
            <w:tcW w:w="850" w:type="dxa"/>
            <w:vAlign w:val="center"/>
          </w:tcPr>
          <w:p w14:paraId="61C56479">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电磁</w:t>
            </w:r>
          </w:p>
          <w:p w14:paraId="0AF6BC53">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环境</w:t>
            </w:r>
          </w:p>
        </w:tc>
        <w:tc>
          <w:tcPr>
            <w:tcW w:w="850" w:type="dxa"/>
            <w:vAlign w:val="center"/>
          </w:tcPr>
          <w:p w14:paraId="48CFBB10">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生态系统</w:t>
            </w:r>
          </w:p>
        </w:tc>
        <w:tc>
          <w:tcPr>
            <w:tcW w:w="850" w:type="dxa"/>
            <w:vAlign w:val="center"/>
          </w:tcPr>
          <w:p w14:paraId="338986C8">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土地利用</w:t>
            </w:r>
          </w:p>
        </w:tc>
        <w:tc>
          <w:tcPr>
            <w:tcW w:w="850" w:type="dxa"/>
            <w:vAlign w:val="center"/>
          </w:tcPr>
          <w:p w14:paraId="37C45C2A">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自然景观</w:t>
            </w:r>
          </w:p>
        </w:tc>
      </w:tr>
      <w:tr w14:paraId="17B2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dxa"/>
            <w:vMerge w:val="restart"/>
            <w:vAlign w:val="center"/>
          </w:tcPr>
          <w:p w14:paraId="13E557AC">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施工期</w:t>
            </w:r>
          </w:p>
        </w:tc>
        <w:tc>
          <w:tcPr>
            <w:tcW w:w="1120" w:type="dxa"/>
            <w:vAlign w:val="center"/>
          </w:tcPr>
          <w:p w14:paraId="44CFEDDA">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征地</w:t>
            </w:r>
          </w:p>
        </w:tc>
        <w:tc>
          <w:tcPr>
            <w:tcW w:w="850" w:type="dxa"/>
            <w:vAlign w:val="center"/>
          </w:tcPr>
          <w:p w14:paraId="7FB7FBDB">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1B95E651">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4718B476">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5E387D3E">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06AD8E87">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15B487ED">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-1</w:t>
            </w:r>
          </w:p>
        </w:tc>
        <w:tc>
          <w:tcPr>
            <w:tcW w:w="850" w:type="dxa"/>
            <w:vAlign w:val="center"/>
          </w:tcPr>
          <w:p w14:paraId="7DC5F452">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-1</w:t>
            </w:r>
          </w:p>
        </w:tc>
        <w:tc>
          <w:tcPr>
            <w:tcW w:w="850" w:type="dxa"/>
            <w:vAlign w:val="center"/>
          </w:tcPr>
          <w:p w14:paraId="25E12BEC">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-1</w:t>
            </w:r>
          </w:p>
        </w:tc>
      </w:tr>
      <w:tr w14:paraId="2C39F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dxa"/>
            <w:vMerge w:val="continue"/>
            <w:vAlign w:val="center"/>
          </w:tcPr>
          <w:p w14:paraId="4391FB90">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1120" w:type="dxa"/>
            <w:vAlign w:val="center"/>
          </w:tcPr>
          <w:p w14:paraId="78F29315">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平整土地</w:t>
            </w:r>
          </w:p>
        </w:tc>
        <w:tc>
          <w:tcPr>
            <w:tcW w:w="850" w:type="dxa"/>
            <w:vAlign w:val="center"/>
          </w:tcPr>
          <w:p w14:paraId="3800F44D">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c>
          <w:tcPr>
            <w:tcW w:w="850" w:type="dxa"/>
            <w:vAlign w:val="center"/>
          </w:tcPr>
          <w:p w14:paraId="54085DEF">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c>
          <w:tcPr>
            <w:tcW w:w="850" w:type="dxa"/>
            <w:vAlign w:val="center"/>
          </w:tcPr>
          <w:p w14:paraId="14BE6C8D">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62C4BD30">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1BF709C5">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09A170F2">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341DBF3F">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43C9F64C">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-2</w:t>
            </w:r>
          </w:p>
        </w:tc>
      </w:tr>
      <w:tr w14:paraId="0E30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dxa"/>
            <w:vMerge w:val="continue"/>
            <w:vAlign w:val="center"/>
          </w:tcPr>
          <w:p w14:paraId="1E83C1BA">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1120" w:type="dxa"/>
            <w:vAlign w:val="center"/>
          </w:tcPr>
          <w:p w14:paraId="6EB9EE5C">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地面挖填工程</w:t>
            </w:r>
          </w:p>
        </w:tc>
        <w:tc>
          <w:tcPr>
            <w:tcW w:w="850" w:type="dxa"/>
            <w:shd w:val="clear" w:color="auto" w:fill="auto"/>
            <w:vAlign w:val="center"/>
          </w:tcPr>
          <w:p w14:paraId="3579232D">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-1</w:t>
            </w:r>
          </w:p>
        </w:tc>
        <w:tc>
          <w:tcPr>
            <w:tcW w:w="850" w:type="dxa"/>
            <w:shd w:val="clear" w:color="auto" w:fill="auto"/>
            <w:vAlign w:val="center"/>
          </w:tcPr>
          <w:p w14:paraId="5E8E6665">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-1</w:t>
            </w:r>
          </w:p>
        </w:tc>
        <w:tc>
          <w:tcPr>
            <w:tcW w:w="850" w:type="dxa"/>
            <w:shd w:val="clear" w:color="auto" w:fill="auto"/>
            <w:vAlign w:val="center"/>
          </w:tcPr>
          <w:p w14:paraId="57CCBA41">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shd w:val="clear" w:color="auto" w:fill="auto"/>
            <w:vAlign w:val="center"/>
          </w:tcPr>
          <w:p w14:paraId="2E72D3C8">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c>
          <w:tcPr>
            <w:tcW w:w="850" w:type="dxa"/>
            <w:shd w:val="clear" w:color="auto" w:fill="auto"/>
            <w:vAlign w:val="center"/>
          </w:tcPr>
          <w:p w14:paraId="14EFCF5C">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c>
          <w:tcPr>
            <w:tcW w:w="850" w:type="dxa"/>
            <w:shd w:val="clear" w:color="auto" w:fill="auto"/>
            <w:vAlign w:val="center"/>
          </w:tcPr>
          <w:p w14:paraId="7652A7EF">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c>
          <w:tcPr>
            <w:tcW w:w="850" w:type="dxa"/>
            <w:shd w:val="clear" w:color="auto" w:fill="auto"/>
            <w:vAlign w:val="center"/>
          </w:tcPr>
          <w:p w14:paraId="08D878F9">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-1</w:t>
            </w:r>
          </w:p>
        </w:tc>
        <w:tc>
          <w:tcPr>
            <w:tcW w:w="850" w:type="dxa"/>
            <w:shd w:val="clear" w:color="auto" w:fill="auto"/>
            <w:vAlign w:val="center"/>
          </w:tcPr>
          <w:p w14:paraId="367D985B">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-2</w:t>
            </w:r>
          </w:p>
        </w:tc>
      </w:tr>
      <w:tr w14:paraId="782E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dxa"/>
            <w:vMerge w:val="continue"/>
            <w:vAlign w:val="center"/>
          </w:tcPr>
          <w:p w14:paraId="74CF6293">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1120" w:type="dxa"/>
            <w:shd w:val="clear" w:color="auto" w:fill="auto"/>
            <w:vAlign w:val="center"/>
          </w:tcPr>
          <w:p w14:paraId="5781A260">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材料运输</w:t>
            </w:r>
          </w:p>
        </w:tc>
        <w:tc>
          <w:tcPr>
            <w:tcW w:w="850" w:type="dxa"/>
            <w:shd w:val="clear" w:color="auto" w:fill="auto"/>
            <w:vAlign w:val="center"/>
          </w:tcPr>
          <w:p w14:paraId="271494AC">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-1</w:t>
            </w:r>
          </w:p>
        </w:tc>
        <w:tc>
          <w:tcPr>
            <w:tcW w:w="850" w:type="dxa"/>
            <w:shd w:val="clear" w:color="auto" w:fill="auto"/>
            <w:vAlign w:val="center"/>
          </w:tcPr>
          <w:p w14:paraId="34F5661D">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-1</w:t>
            </w:r>
          </w:p>
        </w:tc>
        <w:tc>
          <w:tcPr>
            <w:tcW w:w="850" w:type="dxa"/>
            <w:shd w:val="clear" w:color="auto" w:fill="auto"/>
            <w:vAlign w:val="center"/>
          </w:tcPr>
          <w:p w14:paraId="267AB51B">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shd w:val="clear" w:color="auto" w:fill="auto"/>
            <w:vAlign w:val="center"/>
          </w:tcPr>
          <w:p w14:paraId="0BFD1188">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shd w:val="clear" w:color="auto" w:fill="auto"/>
            <w:vAlign w:val="center"/>
          </w:tcPr>
          <w:p w14:paraId="242BD47C">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shd w:val="clear" w:color="auto" w:fill="auto"/>
            <w:vAlign w:val="center"/>
          </w:tcPr>
          <w:p w14:paraId="48245354">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shd w:val="clear" w:color="auto" w:fill="auto"/>
            <w:vAlign w:val="center"/>
          </w:tcPr>
          <w:p w14:paraId="44A3377F">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shd w:val="clear" w:color="auto" w:fill="auto"/>
            <w:vAlign w:val="center"/>
          </w:tcPr>
          <w:p w14:paraId="0970387F">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r>
      <w:tr w14:paraId="6CCF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dxa"/>
            <w:vMerge w:val="continue"/>
            <w:vAlign w:val="center"/>
          </w:tcPr>
          <w:p w14:paraId="711E02FA">
            <w:pPr>
              <w:keepNext w:val="0"/>
              <w:keepLines w:val="0"/>
              <w:pageBreakBefore w:val="0"/>
              <w:widowControl/>
              <w:suppressLineNumbers w:val="0"/>
              <w:kinsoku/>
              <w:wordWrap/>
              <w:overflowPunct/>
              <w:bidi w:val="0"/>
              <w:spacing w:before="0" w:beforeAutospacing="0" w:after="0" w:afterAutospacing="0" w:line="240" w:lineRule="auto"/>
              <w:ind w:left="0" w:right="0" w:firstLine="0"/>
              <w:jc w:val="left"/>
              <w:rPr>
                <w:rFonts w:hint="default" w:ascii="Times New Roman" w:hAnsi="Times New Roman" w:eastAsia="宋体" w:cs="Times New Roman"/>
                <w:color w:val="auto"/>
                <w:sz w:val="18"/>
                <w:szCs w:val="21"/>
                <w:highlight w:val="none"/>
              </w:rPr>
            </w:pPr>
          </w:p>
        </w:tc>
        <w:tc>
          <w:tcPr>
            <w:tcW w:w="1120" w:type="dxa"/>
            <w:vAlign w:val="center"/>
          </w:tcPr>
          <w:p w14:paraId="351A2BCB">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铺浇路面</w:t>
            </w:r>
          </w:p>
        </w:tc>
        <w:tc>
          <w:tcPr>
            <w:tcW w:w="850" w:type="dxa"/>
            <w:vAlign w:val="center"/>
          </w:tcPr>
          <w:p w14:paraId="0F135FA6">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c>
          <w:tcPr>
            <w:tcW w:w="850" w:type="dxa"/>
            <w:vAlign w:val="center"/>
          </w:tcPr>
          <w:p w14:paraId="7234A124">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c>
          <w:tcPr>
            <w:tcW w:w="850" w:type="dxa"/>
            <w:vAlign w:val="center"/>
          </w:tcPr>
          <w:p w14:paraId="6F3B4B1A">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61441357">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c>
          <w:tcPr>
            <w:tcW w:w="850" w:type="dxa"/>
            <w:vAlign w:val="center"/>
          </w:tcPr>
          <w:p w14:paraId="50542CE8">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c>
          <w:tcPr>
            <w:tcW w:w="850" w:type="dxa"/>
            <w:vAlign w:val="center"/>
          </w:tcPr>
          <w:p w14:paraId="0DD0BB8C">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36BE2987">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c>
          <w:tcPr>
            <w:tcW w:w="850" w:type="dxa"/>
            <w:vAlign w:val="center"/>
          </w:tcPr>
          <w:p w14:paraId="5FF99B11">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r>
      <w:tr w14:paraId="46520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dxa"/>
            <w:vMerge w:val="continue"/>
            <w:vAlign w:val="center"/>
          </w:tcPr>
          <w:p w14:paraId="7FCF603B">
            <w:pPr>
              <w:keepNext w:val="0"/>
              <w:keepLines w:val="0"/>
              <w:pageBreakBefore w:val="0"/>
              <w:widowControl/>
              <w:suppressLineNumbers w:val="0"/>
              <w:kinsoku/>
              <w:wordWrap/>
              <w:overflowPunct/>
              <w:bidi w:val="0"/>
              <w:spacing w:before="0" w:beforeAutospacing="0" w:after="0" w:afterAutospacing="0" w:line="240" w:lineRule="auto"/>
              <w:ind w:left="0" w:right="0" w:firstLine="0"/>
              <w:jc w:val="left"/>
              <w:rPr>
                <w:rFonts w:hint="default" w:ascii="Times New Roman" w:hAnsi="Times New Roman" w:eastAsia="宋体" w:cs="Times New Roman"/>
                <w:color w:val="auto"/>
                <w:sz w:val="18"/>
                <w:szCs w:val="21"/>
                <w:highlight w:val="none"/>
              </w:rPr>
            </w:pPr>
          </w:p>
        </w:tc>
        <w:tc>
          <w:tcPr>
            <w:tcW w:w="1120" w:type="dxa"/>
            <w:vAlign w:val="center"/>
          </w:tcPr>
          <w:p w14:paraId="4334B2F7">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装卸和混凝土搅拌</w:t>
            </w:r>
          </w:p>
        </w:tc>
        <w:tc>
          <w:tcPr>
            <w:tcW w:w="850" w:type="dxa"/>
            <w:vAlign w:val="center"/>
          </w:tcPr>
          <w:p w14:paraId="7EE76D05">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c>
          <w:tcPr>
            <w:tcW w:w="850" w:type="dxa"/>
            <w:vAlign w:val="center"/>
          </w:tcPr>
          <w:p w14:paraId="12D6E0D8">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c>
          <w:tcPr>
            <w:tcW w:w="850" w:type="dxa"/>
            <w:vAlign w:val="center"/>
          </w:tcPr>
          <w:p w14:paraId="325E6F4F">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63A7E9FB">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0496824F">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65992AA5">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03D82E16">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7E0C3E80">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r>
      <w:tr w14:paraId="1621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dxa"/>
            <w:vMerge w:val="continue"/>
            <w:vAlign w:val="center"/>
          </w:tcPr>
          <w:p w14:paraId="08B8C5EB">
            <w:pPr>
              <w:keepNext w:val="0"/>
              <w:keepLines w:val="0"/>
              <w:pageBreakBefore w:val="0"/>
              <w:widowControl/>
              <w:suppressLineNumbers w:val="0"/>
              <w:kinsoku/>
              <w:wordWrap/>
              <w:overflowPunct/>
              <w:bidi w:val="0"/>
              <w:spacing w:before="0" w:beforeAutospacing="0" w:after="0" w:afterAutospacing="0" w:line="240" w:lineRule="auto"/>
              <w:ind w:left="0" w:right="0" w:firstLine="0"/>
              <w:jc w:val="left"/>
              <w:rPr>
                <w:rFonts w:hint="default" w:ascii="Times New Roman" w:hAnsi="Times New Roman" w:eastAsia="宋体" w:cs="Times New Roman"/>
                <w:color w:val="auto"/>
                <w:sz w:val="18"/>
                <w:szCs w:val="21"/>
                <w:highlight w:val="none"/>
              </w:rPr>
            </w:pPr>
          </w:p>
        </w:tc>
        <w:tc>
          <w:tcPr>
            <w:tcW w:w="1120" w:type="dxa"/>
            <w:vAlign w:val="center"/>
          </w:tcPr>
          <w:p w14:paraId="1A21D3C1">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管道铺设</w:t>
            </w:r>
          </w:p>
        </w:tc>
        <w:tc>
          <w:tcPr>
            <w:tcW w:w="850" w:type="dxa"/>
            <w:vAlign w:val="center"/>
          </w:tcPr>
          <w:p w14:paraId="7C4EEF04">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-1</w:t>
            </w:r>
          </w:p>
        </w:tc>
        <w:tc>
          <w:tcPr>
            <w:tcW w:w="850" w:type="dxa"/>
            <w:vAlign w:val="center"/>
          </w:tcPr>
          <w:p w14:paraId="36E91E02">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-1</w:t>
            </w:r>
          </w:p>
        </w:tc>
        <w:tc>
          <w:tcPr>
            <w:tcW w:w="850" w:type="dxa"/>
            <w:vAlign w:val="center"/>
          </w:tcPr>
          <w:p w14:paraId="0FBC7CDA">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5DB1774A">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3F90DE8A">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051CA470">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1DA51459">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-1</w:t>
            </w:r>
          </w:p>
        </w:tc>
        <w:tc>
          <w:tcPr>
            <w:tcW w:w="850" w:type="dxa"/>
            <w:vAlign w:val="center"/>
          </w:tcPr>
          <w:p w14:paraId="4081DB25">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r>
      <w:tr w14:paraId="701F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dxa"/>
            <w:vMerge w:val="continue"/>
            <w:vAlign w:val="center"/>
          </w:tcPr>
          <w:p w14:paraId="1127F1E8">
            <w:pPr>
              <w:keepNext w:val="0"/>
              <w:keepLines w:val="0"/>
              <w:pageBreakBefore w:val="0"/>
              <w:widowControl/>
              <w:suppressLineNumbers w:val="0"/>
              <w:kinsoku/>
              <w:wordWrap/>
              <w:overflowPunct/>
              <w:bidi w:val="0"/>
              <w:spacing w:before="0" w:beforeAutospacing="0" w:after="0" w:afterAutospacing="0" w:line="240" w:lineRule="auto"/>
              <w:ind w:left="0" w:right="0" w:firstLine="0"/>
              <w:jc w:val="left"/>
              <w:rPr>
                <w:rFonts w:hint="default" w:ascii="Times New Roman" w:hAnsi="Times New Roman" w:eastAsia="宋体" w:cs="Times New Roman"/>
                <w:color w:val="auto"/>
                <w:sz w:val="18"/>
                <w:szCs w:val="21"/>
                <w:highlight w:val="none"/>
              </w:rPr>
            </w:pPr>
          </w:p>
        </w:tc>
        <w:tc>
          <w:tcPr>
            <w:tcW w:w="1120" w:type="dxa"/>
            <w:vAlign w:val="center"/>
          </w:tcPr>
          <w:p w14:paraId="799C5387">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修建环保厕所</w:t>
            </w:r>
          </w:p>
        </w:tc>
        <w:tc>
          <w:tcPr>
            <w:tcW w:w="850" w:type="dxa"/>
            <w:vAlign w:val="center"/>
          </w:tcPr>
          <w:p w14:paraId="6C6B6754">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263DE72D">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6175AD25">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c>
          <w:tcPr>
            <w:tcW w:w="850" w:type="dxa"/>
            <w:vAlign w:val="center"/>
          </w:tcPr>
          <w:p w14:paraId="3C29E73C">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45D4AD73">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4C3EB2B9">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5280B7E3">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67E206BB">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eastAsia" w:cs="Times New Roman"/>
                <w:color w:val="auto"/>
                <w:kern w:val="2"/>
                <w:sz w:val="18"/>
                <w:szCs w:val="18"/>
                <w:highlight w:val="none"/>
                <w:lang w:val="en-US" w:eastAsia="zh-CN" w:bidi="ar-SA"/>
              </w:rPr>
            </w:pPr>
          </w:p>
        </w:tc>
      </w:tr>
      <w:tr w14:paraId="49E1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dxa"/>
            <w:vMerge w:val="continue"/>
            <w:vAlign w:val="center"/>
          </w:tcPr>
          <w:p w14:paraId="6184304B">
            <w:pPr>
              <w:keepNext w:val="0"/>
              <w:keepLines w:val="0"/>
              <w:pageBreakBefore w:val="0"/>
              <w:widowControl/>
              <w:suppressLineNumbers w:val="0"/>
              <w:kinsoku/>
              <w:wordWrap/>
              <w:overflowPunct/>
              <w:bidi w:val="0"/>
              <w:spacing w:before="0" w:beforeAutospacing="0" w:after="0" w:afterAutospacing="0" w:line="240" w:lineRule="auto"/>
              <w:ind w:left="0" w:right="0" w:firstLine="0"/>
              <w:jc w:val="left"/>
              <w:rPr>
                <w:rFonts w:hint="default" w:ascii="Times New Roman" w:hAnsi="Times New Roman" w:eastAsia="宋体" w:cs="Times New Roman"/>
                <w:color w:val="auto"/>
                <w:sz w:val="18"/>
                <w:szCs w:val="21"/>
                <w:highlight w:val="none"/>
              </w:rPr>
            </w:pPr>
          </w:p>
        </w:tc>
        <w:tc>
          <w:tcPr>
            <w:tcW w:w="1120" w:type="dxa"/>
            <w:vAlign w:val="center"/>
          </w:tcPr>
          <w:p w14:paraId="66306AF7">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建筑工程</w:t>
            </w:r>
          </w:p>
        </w:tc>
        <w:tc>
          <w:tcPr>
            <w:tcW w:w="850" w:type="dxa"/>
            <w:vAlign w:val="center"/>
          </w:tcPr>
          <w:p w14:paraId="3B3139F6">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-1</w:t>
            </w:r>
          </w:p>
        </w:tc>
        <w:tc>
          <w:tcPr>
            <w:tcW w:w="850" w:type="dxa"/>
            <w:vAlign w:val="center"/>
          </w:tcPr>
          <w:p w14:paraId="0E079E6C">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-1</w:t>
            </w:r>
          </w:p>
        </w:tc>
        <w:tc>
          <w:tcPr>
            <w:tcW w:w="850" w:type="dxa"/>
            <w:vAlign w:val="center"/>
          </w:tcPr>
          <w:p w14:paraId="7C175FDD">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60634FFC">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3BB1214E">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4D8D5FCB">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1974749F">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c>
          <w:tcPr>
            <w:tcW w:w="850" w:type="dxa"/>
            <w:vAlign w:val="center"/>
          </w:tcPr>
          <w:p w14:paraId="03B1C1BD">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r>
      <w:tr w14:paraId="5DC1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dxa"/>
            <w:vMerge w:val="restart"/>
            <w:vAlign w:val="center"/>
          </w:tcPr>
          <w:p w14:paraId="020168E8">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运营期</w:t>
            </w:r>
          </w:p>
        </w:tc>
        <w:tc>
          <w:tcPr>
            <w:tcW w:w="1120" w:type="dxa"/>
            <w:vAlign w:val="center"/>
          </w:tcPr>
          <w:p w14:paraId="33D86BDC">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航空器飞行</w:t>
            </w:r>
          </w:p>
        </w:tc>
        <w:tc>
          <w:tcPr>
            <w:tcW w:w="850" w:type="dxa"/>
            <w:vAlign w:val="center"/>
          </w:tcPr>
          <w:p w14:paraId="52E1D4C1">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-2</w:t>
            </w:r>
          </w:p>
        </w:tc>
        <w:tc>
          <w:tcPr>
            <w:tcW w:w="850" w:type="dxa"/>
            <w:vAlign w:val="center"/>
          </w:tcPr>
          <w:p w14:paraId="793E0350">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-1</w:t>
            </w:r>
          </w:p>
        </w:tc>
        <w:tc>
          <w:tcPr>
            <w:tcW w:w="850" w:type="dxa"/>
            <w:vAlign w:val="center"/>
          </w:tcPr>
          <w:p w14:paraId="0A057B54">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6597B585">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4C8B0D72">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-1</w:t>
            </w:r>
          </w:p>
        </w:tc>
        <w:tc>
          <w:tcPr>
            <w:tcW w:w="850" w:type="dxa"/>
            <w:vAlign w:val="center"/>
          </w:tcPr>
          <w:p w14:paraId="5C95A564">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-1</w:t>
            </w:r>
          </w:p>
        </w:tc>
        <w:tc>
          <w:tcPr>
            <w:tcW w:w="850" w:type="dxa"/>
            <w:vAlign w:val="center"/>
          </w:tcPr>
          <w:p w14:paraId="5851231F">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0CA9808A">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r>
      <w:tr w14:paraId="4EE1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dxa"/>
            <w:vMerge w:val="continue"/>
            <w:vAlign w:val="center"/>
          </w:tcPr>
          <w:p w14:paraId="5DA13236">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1120" w:type="dxa"/>
            <w:shd w:val="clear" w:color="auto" w:fill="auto"/>
            <w:vAlign w:val="center"/>
          </w:tcPr>
          <w:p w14:paraId="291A5067">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油车棚</w:t>
            </w:r>
          </w:p>
        </w:tc>
        <w:tc>
          <w:tcPr>
            <w:tcW w:w="850" w:type="dxa"/>
            <w:shd w:val="clear" w:color="auto" w:fill="auto"/>
            <w:vAlign w:val="center"/>
          </w:tcPr>
          <w:p w14:paraId="5824490A">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shd w:val="clear" w:color="auto" w:fill="auto"/>
            <w:vAlign w:val="center"/>
          </w:tcPr>
          <w:p w14:paraId="2DB413F2">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-1</w:t>
            </w:r>
          </w:p>
        </w:tc>
        <w:tc>
          <w:tcPr>
            <w:tcW w:w="850" w:type="dxa"/>
            <w:shd w:val="clear" w:color="auto" w:fill="auto"/>
            <w:vAlign w:val="center"/>
          </w:tcPr>
          <w:p w14:paraId="1135656F">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shd w:val="clear" w:color="auto" w:fill="auto"/>
            <w:vAlign w:val="center"/>
          </w:tcPr>
          <w:p w14:paraId="53954705">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-1</w:t>
            </w:r>
          </w:p>
        </w:tc>
        <w:tc>
          <w:tcPr>
            <w:tcW w:w="850" w:type="dxa"/>
            <w:shd w:val="clear" w:color="auto" w:fill="auto"/>
            <w:vAlign w:val="center"/>
          </w:tcPr>
          <w:p w14:paraId="1EFAB451">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shd w:val="clear" w:color="auto" w:fill="auto"/>
            <w:vAlign w:val="center"/>
          </w:tcPr>
          <w:p w14:paraId="79D82C72">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shd w:val="clear" w:color="auto" w:fill="auto"/>
            <w:vAlign w:val="center"/>
          </w:tcPr>
          <w:p w14:paraId="6A70E81F">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shd w:val="clear" w:color="auto" w:fill="auto"/>
            <w:vAlign w:val="center"/>
          </w:tcPr>
          <w:p w14:paraId="24CD504A">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r>
      <w:tr w14:paraId="7C89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dxa"/>
            <w:vMerge w:val="continue"/>
            <w:vAlign w:val="center"/>
          </w:tcPr>
          <w:p w14:paraId="52F8724D">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1120" w:type="dxa"/>
            <w:vAlign w:val="center"/>
          </w:tcPr>
          <w:p w14:paraId="0DF6657E">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机场车辆行驶</w:t>
            </w:r>
          </w:p>
        </w:tc>
        <w:tc>
          <w:tcPr>
            <w:tcW w:w="850" w:type="dxa"/>
            <w:vAlign w:val="center"/>
          </w:tcPr>
          <w:p w14:paraId="3881771F">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c>
          <w:tcPr>
            <w:tcW w:w="850" w:type="dxa"/>
            <w:vAlign w:val="center"/>
          </w:tcPr>
          <w:p w14:paraId="40093A14">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c>
          <w:tcPr>
            <w:tcW w:w="850" w:type="dxa"/>
            <w:vAlign w:val="center"/>
          </w:tcPr>
          <w:p w14:paraId="48DFFB37">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673C765C">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54433D62">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307E3DC8">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213953FD">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64E8F81F">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r>
      <w:tr w14:paraId="11AF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dxa"/>
            <w:vMerge w:val="continue"/>
            <w:vAlign w:val="center"/>
          </w:tcPr>
          <w:p w14:paraId="211FA3BD">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1120" w:type="dxa"/>
            <w:vAlign w:val="center"/>
          </w:tcPr>
          <w:p w14:paraId="4AE41FF8">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食堂餐饮</w:t>
            </w:r>
          </w:p>
        </w:tc>
        <w:tc>
          <w:tcPr>
            <w:tcW w:w="850" w:type="dxa"/>
            <w:vAlign w:val="center"/>
          </w:tcPr>
          <w:p w14:paraId="4616AF0B">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01235F54">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c>
          <w:tcPr>
            <w:tcW w:w="850" w:type="dxa"/>
            <w:vAlign w:val="center"/>
          </w:tcPr>
          <w:p w14:paraId="0240EBD5">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11225B4A">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034B5125">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355BF506">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15CD6C26">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605A38AB">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r>
      <w:tr w14:paraId="0C40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dxa"/>
            <w:vMerge w:val="continue"/>
            <w:vAlign w:val="center"/>
          </w:tcPr>
          <w:p w14:paraId="773C9926">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1120" w:type="dxa"/>
            <w:shd w:val="clear" w:color="auto" w:fill="auto"/>
            <w:vAlign w:val="center"/>
          </w:tcPr>
          <w:p w14:paraId="05CFA082">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污水站处理污水</w:t>
            </w:r>
          </w:p>
        </w:tc>
        <w:tc>
          <w:tcPr>
            <w:tcW w:w="850" w:type="dxa"/>
            <w:shd w:val="clear" w:color="auto" w:fill="auto"/>
            <w:vAlign w:val="center"/>
          </w:tcPr>
          <w:p w14:paraId="088D23CE">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shd w:val="clear" w:color="auto" w:fill="auto"/>
            <w:vAlign w:val="center"/>
          </w:tcPr>
          <w:p w14:paraId="73C87FBC">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c>
          <w:tcPr>
            <w:tcW w:w="850" w:type="dxa"/>
            <w:shd w:val="clear" w:color="auto" w:fill="auto"/>
            <w:vAlign w:val="center"/>
          </w:tcPr>
          <w:p w14:paraId="27C1C944">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+2</w:t>
            </w:r>
          </w:p>
        </w:tc>
        <w:tc>
          <w:tcPr>
            <w:tcW w:w="850" w:type="dxa"/>
            <w:shd w:val="clear" w:color="auto" w:fill="auto"/>
            <w:vAlign w:val="center"/>
          </w:tcPr>
          <w:p w14:paraId="6959A660">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shd w:val="clear" w:color="auto" w:fill="auto"/>
            <w:vAlign w:val="center"/>
          </w:tcPr>
          <w:p w14:paraId="4B2FC37A">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shd w:val="clear" w:color="auto" w:fill="auto"/>
            <w:vAlign w:val="center"/>
          </w:tcPr>
          <w:p w14:paraId="3E8FDD40">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c>
          <w:tcPr>
            <w:tcW w:w="850" w:type="dxa"/>
            <w:shd w:val="clear" w:color="auto" w:fill="auto"/>
            <w:vAlign w:val="center"/>
          </w:tcPr>
          <w:p w14:paraId="333F4157">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shd w:val="clear" w:color="auto" w:fill="auto"/>
            <w:vAlign w:val="center"/>
          </w:tcPr>
          <w:p w14:paraId="02C21C8F">
            <w:pPr>
              <w:keepNext w:val="0"/>
              <w:keepLines w:val="0"/>
              <w:pageBreakBefore w:val="0"/>
              <w:widowControl w:val="0"/>
              <w:suppressLineNumbers w:val="0"/>
              <w:kinsoku/>
              <w:wordWrap/>
              <w:overflowPunct/>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r>
      <w:tr w14:paraId="1EE6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dxa"/>
            <w:vMerge w:val="continue"/>
            <w:vAlign w:val="center"/>
          </w:tcPr>
          <w:p w14:paraId="338BDA18">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1120" w:type="dxa"/>
            <w:vAlign w:val="center"/>
          </w:tcPr>
          <w:p w14:paraId="5DE388CB">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设备清洗、维修</w:t>
            </w:r>
          </w:p>
        </w:tc>
        <w:tc>
          <w:tcPr>
            <w:tcW w:w="850" w:type="dxa"/>
            <w:vAlign w:val="center"/>
          </w:tcPr>
          <w:p w14:paraId="5E3529B6">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7A40CE43">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eastAsia" w:cs="Times New Roman"/>
                <w:color w:val="auto"/>
                <w:kern w:val="2"/>
                <w:sz w:val="18"/>
                <w:szCs w:val="18"/>
                <w:highlight w:val="none"/>
                <w:lang w:val="en-US" w:eastAsia="zh-CN" w:bidi="ar-SA"/>
              </w:rPr>
            </w:pPr>
          </w:p>
        </w:tc>
        <w:tc>
          <w:tcPr>
            <w:tcW w:w="850" w:type="dxa"/>
            <w:vAlign w:val="center"/>
          </w:tcPr>
          <w:p w14:paraId="6E9BAD36">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c>
          <w:tcPr>
            <w:tcW w:w="850" w:type="dxa"/>
            <w:vAlign w:val="center"/>
          </w:tcPr>
          <w:p w14:paraId="484CD52D">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-1</w:t>
            </w:r>
          </w:p>
        </w:tc>
        <w:tc>
          <w:tcPr>
            <w:tcW w:w="850" w:type="dxa"/>
            <w:vAlign w:val="center"/>
          </w:tcPr>
          <w:p w14:paraId="7F9A6209">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4558A93F">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600E3105">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850" w:type="dxa"/>
            <w:vAlign w:val="center"/>
          </w:tcPr>
          <w:p w14:paraId="5C406B61">
            <w:pPr>
              <w:keepNext w:val="0"/>
              <w:keepLines w:val="0"/>
              <w:pageBreakBefore w:val="0"/>
              <w:widowControl w:val="0"/>
              <w:suppressLineNumbers w:val="0"/>
              <w:kinsoku/>
              <w:wordWrap/>
              <w:overflowPunct/>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r>
    </w:tbl>
    <w:p w14:paraId="0F485AEC">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楷体" w:hAnsi="楷体" w:eastAsia="楷体" w:cs="楷体"/>
          <w:bCs/>
          <w:color w:val="auto"/>
          <w:kern w:val="2"/>
          <w:sz w:val="18"/>
          <w:szCs w:val="28"/>
          <w:highlight w:val="none"/>
          <w:lang w:val="en-US" w:eastAsia="zh-CN" w:bidi="ar-SA"/>
        </w:rPr>
      </w:pPr>
      <w:r>
        <w:rPr>
          <w:rFonts w:hint="eastAsia" w:ascii="楷体" w:hAnsi="楷体" w:eastAsia="楷体" w:cs="楷体"/>
          <w:bCs/>
          <w:color w:val="auto"/>
          <w:kern w:val="2"/>
          <w:sz w:val="18"/>
          <w:szCs w:val="28"/>
          <w:highlight w:val="none"/>
          <w:lang w:val="en-US" w:eastAsia="zh-CN" w:bidi="ar-SA"/>
        </w:rPr>
        <w:t>注：表中数值表示影响大小。“3”重大影响；“2”中等影响；“1”轻微影响。“＋”有利影响；“－”不利影响；</w:t>
      </w:r>
      <w:bookmarkEnd w:id="96"/>
      <w:r>
        <w:rPr>
          <w:rFonts w:hint="eastAsia" w:ascii="楷体" w:hAnsi="楷体" w:eastAsia="楷体" w:cs="楷体"/>
          <w:bCs/>
          <w:color w:val="auto"/>
          <w:kern w:val="2"/>
          <w:sz w:val="18"/>
          <w:szCs w:val="28"/>
          <w:highlight w:val="none"/>
          <w:lang w:val="en-US" w:eastAsia="zh-CN" w:bidi="ar-SA"/>
        </w:rPr>
        <w:t>空白处表示相互作用不明显或不确定。</w:t>
      </w:r>
    </w:p>
    <w:p w14:paraId="4F34CE25">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楷体" w:hAnsi="楷体" w:eastAsia="楷体" w:cs="楷体"/>
          <w:bCs/>
          <w:color w:val="auto"/>
          <w:kern w:val="2"/>
          <w:sz w:val="18"/>
          <w:szCs w:val="28"/>
          <w:highlight w:val="none"/>
          <w:lang w:val="en-US" w:eastAsia="zh-CN" w:bidi="ar-SA"/>
        </w:rPr>
      </w:pPr>
    </w:p>
    <w:p w14:paraId="4822CF0F">
      <w:pPr>
        <w:pStyle w:val="5"/>
        <w:pageBreakBefore w:val="0"/>
        <w:kinsoku/>
        <w:wordWrap/>
        <w:overflowPunct/>
        <w:bidi w:val="0"/>
        <w:rPr>
          <w:rFonts w:hint="eastAsia" w:ascii="黑体" w:hAnsi="黑体"/>
          <w:color w:val="auto"/>
          <w:sz w:val="28"/>
          <w:szCs w:val="28"/>
          <w:highlight w:val="none"/>
          <w:lang w:val="en-US" w:eastAsia="zh-CN"/>
        </w:rPr>
      </w:pPr>
      <w:r>
        <w:rPr>
          <w:rFonts w:hint="eastAsia" w:ascii="黑体" w:hAnsi="黑体"/>
          <w:color w:val="auto"/>
          <w:sz w:val="28"/>
          <w:szCs w:val="28"/>
          <w:highlight w:val="none"/>
          <w:lang w:val="en-US" w:eastAsia="zh-CN"/>
        </w:rPr>
        <w:t>2.3.2评价因子筛选</w:t>
      </w:r>
    </w:p>
    <w:p w14:paraId="122FC21A">
      <w:pPr>
        <w:pageBreakBefore w:val="0"/>
        <w:kinsoku/>
        <w:wordWrap/>
        <w:overflowPunct/>
        <w:bidi w:val="0"/>
        <w:ind w:firstLine="480"/>
        <w:rPr>
          <w:rFonts w:ascii="Times New Roman" w:hAnsi="Times New Roman" w:eastAsia="黑体" w:cs="Times New Roman"/>
          <w:color w:val="auto"/>
          <w:kern w:val="2"/>
          <w:sz w:val="21"/>
          <w:szCs w:val="18"/>
          <w:highlight w:val="none"/>
          <w:lang w:val="en-US" w:eastAsia="zh-CN" w:bidi="ar-SA"/>
        </w:rPr>
      </w:pPr>
      <w:r>
        <w:rPr>
          <w:rFonts w:hint="eastAsia"/>
          <w:color w:val="auto"/>
          <w:highlight w:val="none"/>
        </w:rPr>
        <w:t>结合环境影响识别结果，筛选生态环境要素的影响因子，确定生态环境现状调查评价及影响预测因子</w:t>
      </w:r>
      <w:r>
        <w:rPr>
          <w:rFonts w:hint="eastAsia"/>
          <w:color w:val="auto"/>
          <w:highlight w:val="none"/>
          <w:lang w:eastAsia="zh-CN"/>
        </w:rPr>
        <w:t>，</w:t>
      </w:r>
      <w:r>
        <w:rPr>
          <w:rFonts w:hint="eastAsia"/>
          <w:color w:val="auto"/>
          <w:highlight w:val="none"/>
          <w:lang w:val="en-US" w:eastAsia="zh-CN"/>
        </w:rPr>
        <w:t>详见</w:t>
      </w:r>
      <w:r>
        <w:rPr>
          <w:rFonts w:hint="eastAsia"/>
          <w:color w:val="auto"/>
          <w:highlight w:val="none"/>
        </w:rPr>
        <w:t>表2.3-</w:t>
      </w:r>
      <w:r>
        <w:rPr>
          <w:rFonts w:hint="eastAsia"/>
          <w:color w:val="auto"/>
          <w:highlight w:val="none"/>
          <w:lang w:val="en-US" w:eastAsia="zh-CN"/>
        </w:rPr>
        <w:t>2</w:t>
      </w:r>
      <w:r>
        <w:rPr>
          <w:rFonts w:hint="eastAsia"/>
          <w:color w:val="auto"/>
          <w:highlight w:val="none"/>
          <w:lang w:eastAsia="zh-CN"/>
        </w:rPr>
        <w:t>。</w:t>
      </w:r>
    </w:p>
    <w:p w14:paraId="066E1BC6">
      <w:pPr>
        <w:pageBreakBefore w:val="0"/>
        <w:widowControl w:val="0"/>
        <w:kinsoku/>
        <w:wordWrap/>
        <w:overflowPunct/>
        <w:bidi w:val="0"/>
        <w:spacing w:before="156" w:beforeLines="50" w:after="156" w:afterLines="50" w:line="240" w:lineRule="auto"/>
        <w:ind w:left="0" w:leftChars="0" w:firstLine="0" w:firstLineChars="0"/>
        <w:jc w:val="center"/>
        <w:rPr>
          <w:rFonts w:ascii="Times New Roman" w:hAnsi="Times New Roman" w:eastAsia="黑体" w:cs="Times New Roman"/>
          <w:color w:val="auto"/>
          <w:kern w:val="2"/>
          <w:sz w:val="21"/>
          <w:szCs w:val="18"/>
          <w:highlight w:val="none"/>
          <w:lang w:val="en-US" w:eastAsia="zh-CN" w:bidi="ar-SA"/>
        </w:rPr>
      </w:pPr>
      <w:r>
        <w:rPr>
          <w:rFonts w:ascii="Times New Roman" w:hAnsi="Times New Roman" w:eastAsia="黑体" w:cs="Times New Roman"/>
          <w:color w:val="auto"/>
          <w:kern w:val="2"/>
          <w:sz w:val="21"/>
          <w:szCs w:val="18"/>
          <w:highlight w:val="none"/>
          <w:lang w:val="en-US" w:eastAsia="zh-CN" w:bidi="ar-SA"/>
        </w:rPr>
        <w:t>表</w:t>
      </w:r>
      <w:r>
        <w:rPr>
          <w:rFonts w:ascii="Times New Roman" w:hAnsi="Times New Roman" w:eastAsia="Times New Roman" w:cs="Times New Roman"/>
          <w:b/>
          <w:color w:val="auto"/>
          <w:kern w:val="2"/>
          <w:sz w:val="21"/>
          <w:szCs w:val="18"/>
          <w:highlight w:val="none"/>
          <w:lang w:val="en-US" w:eastAsia="zh-CN" w:bidi="ar-SA"/>
        </w:rPr>
        <w:t>2.3-</w:t>
      </w:r>
      <w:r>
        <w:rPr>
          <w:rFonts w:hint="eastAsia" w:eastAsia="Times New Roman" w:cs="Times New Roman"/>
          <w:b/>
          <w:color w:val="auto"/>
          <w:kern w:val="2"/>
          <w:sz w:val="21"/>
          <w:szCs w:val="18"/>
          <w:highlight w:val="none"/>
          <w:lang w:val="en-US" w:eastAsia="zh-CN" w:bidi="ar-SA"/>
        </w:rPr>
        <w:t xml:space="preserve">2  </w:t>
      </w:r>
      <w:r>
        <w:rPr>
          <w:rFonts w:ascii="Times New Roman" w:hAnsi="Times New Roman" w:eastAsia="黑体" w:cs="Times New Roman"/>
          <w:color w:val="auto"/>
          <w:kern w:val="2"/>
          <w:sz w:val="21"/>
          <w:szCs w:val="18"/>
          <w:highlight w:val="none"/>
          <w:lang w:val="en-US" w:eastAsia="zh-CN" w:bidi="ar-SA"/>
        </w:rPr>
        <w:t>评价因子筛选</w:t>
      </w:r>
      <w:r>
        <w:rPr>
          <w:rFonts w:hint="eastAsia" w:eastAsia="黑体" w:cs="Times New Roman"/>
          <w:color w:val="auto"/>
          <w:kern w:val="2"/>
          <w:sz w:val="21"/>
          <w:szCs w:val="18"/>
          <w:highlight w:val="none"/>
          <w:lang w:val="en-US" w:eastAsia="zh-CN" w:bidi="ar-SA"/>
        </w:rPr>
        <w:t>一览</w:t>
      </w:r>
      <w:r>
        <w:rPr>
          <w:rFonts w:ascii="Times New Roman" w:hAnsi="Times New Roman" w:eastAsia="黑体" w:cs="Times New Roman"/>
          <w:color w:val="auto"/>
          <w:kern w:val="2"/>
          <w:sz w:val="21"/>
          <w:szCs w:val="18"/>
          <w:highlight w:val="none"/>
          <w:lang w:val="en-US" w:eastAsia="zh-CN" w:bidi="ar-SA"/>
        </w:rPr>
        <w:t>表</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4040"/>
        <w:gridCol w:w="3359"/>
      </w:tblGrid>
      <w:tr w14:paraId="567A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63" w:type="pct"/>
            <w:tcMar>
              <w:left w:w="57" w:type="dxa"/>
              <w:right w:w="57" w:type="dxa"/>
            </w:tcMar>
            <w:vAlign w:val="center"/>
          </w:tcPr>
          <w:p w14:paraId="75505A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环境要素</w:t>
            </w:r>
          </w:p>
        </w:tc>
        <w:tc>
          <w:tcPr>
            <w:tcW w:w="2313" w:type="pct"/>
            <w:tcMar>
              <w:left w:w="57" w:type="dxa"/>
              <w:right w:w="57" w:type="dxa"/>
            </w:tcMar>
            <w:vAlign w:val="center"/>
          </w:tcPr>
          <w:p w14:paraId="64B603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现状评价因子</w:t>
            </w:r>
          </w:p>
        </w:tc>
        <w:tc>
          <w:tcPr>
            <w:tcW w:w="1923" w:type="pct"/>
            <w:tcMar>
              <w:left w:w="57" w:type="dxa"/>
              <w:right w:w="57" w:type="dxa"/>
            </w:tcMar>
            <w:vAlign w:val="center"/>
          </w:tcPr>
          <w:p w14:paraId="00D45C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预测评价因子</w:t>
            </w:r>
          </w:p>
        </w:tc>
      </w:tr>
      <w:tr w14:paraId="1869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pct"/>
            <w:tcMar>
              <w:left w:w="57" w:type="dxa"/>
              <w:right w:w="57" w:type="dxa"/>
            </w:tcMar>
            <w:vAlign w:val="center"/>
          </w:tcPr>
          <w:p w14:paraId="304CED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生态</w:t>
            </w:r>
          </w:p>
        </w:tc>
        <w:tc>
          <w:tcPr>
            <w:tcW w:w="2313" w:type="pct"/>
            <w:tcMar>
              <w:left w:w="57" w:type="dxa"/>
              <w:right w:w="57" w:type="dxa"/>
            </w:tcMar>
            <w:vAlign w:val="center"/>
          </w:tcPr>
          <w:p w14:paraId="3C8FBB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调查评价区域生态系统功能、主要生态问题、景观、主要保护对象、植物区系、植被类型，物种构成、动物（主要是鸟类分布及生境特征等）、土地利用等。</w:t>
            </w:r>
          </w:p>
        </w:tc>
        <w:tc>
          <w:tcPr>
            <w:tcW w:w="1923" w:type="pct"/>
            <w:tcMar>
              <w:left w:w="57" w:type="dxa"/>
              <w:right w:w="57" w:type="dxa"/>
            </w:tcMar>
            <w:vAlign w:val="center"/>
          </w:tcPr>
          <w:p w14:paraId="6F5CF2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生态系统功能、主要生态问题、景观、主要保护对象、植物区系、植被类型，物种构成、动物（主要是鸟类分布及生境特征等）、土地利用等。</w:t>
            </w:r>
          </w:p>
        </w:tc>
      </w:tr>
      <w:tr w14:paraId="60AC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pct"/>
            <w:tcMar>
              <w:left w:w="57" w:type="dxa"/>
              <w:right w:w="57" w:type="dxa"/>
            </w:tcMar>
            <w:vAlign w:val="center"/>
          </w:tcPr>
          <w:p w14:paraId="59369F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声环境</w:t>
            </w:r>
          </w:p>
        </w:tc>
        <w:tc>
          <w:tcPr>
            <w:tcW w:w="2313" w:type="pct"/>
            <w:tcMar>
              <w:left w:w="57" w:type="dxa"/>
              <w:right w:w="57" w:type="dxa"/>
            </w:tcMar>
            <w:vAlign w:val="center"/>
          </w:tcPr>
          <w:p w14:paraId="3006F9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等效连续A声级</w:t>
            </w:r>
          </w:p>
        </w:tc>
        <w:tc>
          <w:tcPr>
            <w:tcW w:w="1923" w:type="pct"/>
            <w:tcMar>
              <w:left w:w="57" w:type="dxa"/>
              <w:right w:w="57" w:type="dxa"/>
            </w:tcMar>
            <w:vAlign w:val="center"/>
          </w:tcPr>
          <w:p w14:paraId="2D1F53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计权等效连续感觉噪声级</w:t>
            </w:r>
            <w:r>
              <w:rPr>
                <w:rFonts w:hint="default" w:ascii="Times New Roman" w:hAnsi="Times New Roman" w:eastAsia="宋体" w:cs="Times New Roman"/>
                <w:i/>
                <w:iCs/>
                <w:color w:val="auto"/>
                <w:kern w:val="2"/>
                <w:sz w:val="21"/>
                <w:szCs w:val="21"/>
                <w:highlight w:val="none"/>
                <w:lang w:val="en-US" w:eastAsia="zh-CN" w:bidi="ar-SA"/>
              </w:rPr>
              <w:t>L</w:t>
            </w:r>
            <w:r>
              <w:rPr>
                <w:rFonts w:hint="default" w:ascii="Times New Roman" w:hAnsi="Times New Roman" w:eastAsia="宋体" w:cs="Times New Roman"/>
                <w:i/>
                <w:iCs/>
                <w:color w:val="auto"/>
                <w:kern w:val="2"/>
                <w:sz w:val="21"/>
                <w:szCs w:val="21"/>
                <w:highlight w:val="none"/>
                <w:vertAlign w:val="subscript"/>
                <w:lang w:val="en-US" w:eastAsia="zh-CN" w:bidi="ar-SA"/>
              </w:rPr>
              <w:t>WECPN</w:t>
            </w:r>
          </w:p>
        </w:tc>
      </w:tr>
      <w:tr w14:paraId="7B2A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pct"/>
            <w:tcMar>
              <w:left w:w="57" w:type="dxa"/>
              <w:right w:w="57" w:type="dxa"/>
            </w:tcMar>
            <w:vAlign w:val="center"/>
          </w:tcPr>
          <w:p w14:paraId="235F82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大气环境</w:t>
            </w:r>
          </w:p>
        </w:tc>
        <w:tc>
          <w:tcPr>
            <w:tcW w:w="2313" w:type="pct"/>
            <w:tcMar>
              <w:left w:w="57" w:type="dxa"/>
              <w:right w:w="57" w:type="dxa"/>
            </w:tcMar>
            <w:vAlign w:val="center"/>
          </w:tcPr>
          <w:p w14:paraId="2D0F71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SO</w:t>
            </w:r>
            <w:r>
              <w:rPr>
                <w:rFonts w:hint="default" w:ascii="Times New Roman" w:hAnsi="Times New Roman" w:eastAsia="宋体" w:cs="Times New Roman"/>
                <w:color w:val="auto"/>
                <w:kern w:val="2"/>
                <w:sz w:val="21"/>
                <w:szCs w:val="21"/>
                <w:highlight w:val="none"/>
                <w:vertAlign w:val="subscript"/>
                <w:lang w:val="en-US" w:eastAsia="zh-CN" w:bidi="ar-SA"/>
              </w:rPr>
              <w:t>2</w:t>
            </w:r>
            <w:r>
              <w:rPr>
                <w:rFonts w:hint="default" w:ascii="Times New Roman" w:hAnsi="Times New Roman" w:eastAsia="宋体" w:cs="Times New Roman"/>
                <w:color w:val="auto"/>
                <w:kern w:val="2"/>
                <w:sz w:val="21"/>
                <w:szCs w:val="21"/>
                <w:highlight w:val="none"/>
                <w:lang w:val="en-US" w:eastAsia="zh-CN" w:bidi="ar-SA"/>
              </w:rPr>
              <w:t>、NO</w:t>
            </w:r>
            <w:r>
              <w:rPr>
                <w:rFonts w:hint="default" w:ascii="Times New Roman" w:hAnsi="Times New Roman" w:eastAsia="宋体" w:cs="Times New Roman"/>
                <w:color w:val="auto"/>
                <w:kern w:val="2"/>
                <w:sz w:val="21"/>
                <w:szCs w:val="21"/>
                <w:highlight w:val="none"/>
                <w:vertAlign w:val="subscript"/>
                <w:lang w:val="en-US" w:eastAsia="zh-CN" w:bidi="ar-SA"/>
              </w:rPr>
              <w:t>2</w:t>
            </w:r>
            <w:r>
              <w:rPr>
                <w:rFonts w:hint="default" w:ascii="Times New Roman" w:hAnsi="Times New Roman" w:eastAsia="宋体" w:cs="Times New Roman"/>
                <w:color w:val="auto"/>
                <w:kern w:val="2"/>
                <w:sz w:val="21"/>
                <w:szCs w:val="21"/>
                <w:highlight w:val="none"/>
                <w:lang w:val="en-US" w:eastAsia="zh-CN" w:bidi="ar-SA"/>
              </w:rPr>
              <w:t>、PM</w:t>
            </w:r>
            <w:r>
              <w:rPr>
                <w:rFonts w:hint="default" w:ascii="Times New Roman" w:hAnsi="Times New Roman" w:eastAsia="宋体" w:cs="Times New Roman"/>
                <w:color w:val="auto"/>
                <w:kern w:val="2"/>
                <w:sz w:val="21"/>
                <w:szCs w:val="21"/>
                <w:highlight w:val="none"/>
                <w:vertAlign w:val="subscript"/>
                <w:lang w:val="en-US" w:eastAsia="zh-CN" w:bidi="ar-SA"/>
              </w:rPr>
              <w:t>10</w:t>
            </w:r>
            <w:r>
              <w:rPr>
                <w:rFonts w:hint="default" w:ascii="Times New Roman" w:hAnsi="Times New Roman" w:eastAsia="宋体" w:cs="Times New Roman"/>
                <w:color w:val="auto"/>
                <w:kern w:val="2"/>
                <w:sz w:val="21"/>
                <w:szCs w:val="21"/>
                <w:highlight w:val="none"/>
                <w:lang w:val="en-US" w:eastAsia="zh-CN" w:bidi="ar-SA"/>
              </w:rPr>
              <w:t>、PM</w:t>
            </w:r>
            <w:r>
              <w:rPr>
                <w:rFonts w:hint="default" w:ascii="Times New Roman" w:hAnsi="Times New Roman" w:eastAsia="宋体" w:cs="Times New Roman"/>
                <w:color w:val="auto"/>
                <w:kern w:val="2"/>
                <w:sz w:val="21"/>
                <w:szCs w:val="21"/>
                <w:highlight w:val="none"/>
                <w:vertAlign w:val="subscript"/>
                <w:lang w:val="en-US" w:eastAsia="zh-CN" w:bidi="ar-SA"/>
              </w:rPr>
              <w:t>2.5</w:t>
            </w:r>
            <w:r>
              <w:rPr>
                <w:rFonts w:hint="default" w:ascii="Times New Roman" w:hAnsi="Times New Roman" w:eastAsia="宋体" w:cs="Times New Roman"/>
                <w:color w:val="auto"/>
                <w:kern w:val="2"/>
                <w:sz w:val="21"/>
                <w:szCs w:val="21"/>
                <w:highlight w:val="none"/>
                <w:lang w:val="en-US" w:eastAsia="zh-CN" w:bidi="ar-SA"/>
              </w:rPr>
              <w:t>、CO、O</w:t>
            </w:r>
            <w:r>
              <w:rPr>
                <w:rFonts w:hint="default" w:ascii="Times New Roman" w:hAnsi="Times New Roman" w:eastAsia="宋体" w:cs="Times New Roman"/>
                <w:color w:val="auto"/>
                <w:kern w:val="2"/>
                <w:sz w:val="21"/>
                <w:szCs w:val="21"/>
                <w:highlight w:val="none"/>
                <w:vertAlign w:val="subscript"/>
                <w:lang w:val="en-US" w:eastAsia="zh-CN" w:bidi="ar-SA"/>
              </w:rPr>
              <w:t>3、</w:t>
            </w:r>
            <w:r>
              <w:rPr>
                <w:rFonts w:hint="default" w:ascii="Times New Roman" w:hAnsi="Times New Roman" w:eastAsia="宋体" w:cs="Times New Roman"/>
                <w:color w:val="auto"/>
                <w:kern w:val="0"/>
                <w:sz w:val="21"/>
                <w:szCs w:val="21"/>
                <w:highlight w:val="none"/>
                <w:lang w:val="en-US" w:eastAsia="zh-CN" w:bidi="ar"/>
              </w:rPr>
              <w:t>NMHC</w:t>
            </w:r>
          </w:p>
        </w:tc>
        <w:tc>
          <w:tcPr>
            <w:tcW w:w="1923" w:type="pct"/>
            <w:tcMar>
              <w:left w:w="57" w:type="dxa"/>
              <w:right w:w="57" w:type="dxa"/>
            </w:tcMar>
            <w:vAlign w:val="center"/>
          </w:tcPr>
          <w:p w14:paraId="4A41D3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SO</w:t>
            </w:r>
            <w:r>
              <w:rPr>
                <w:rFonts w:hint="default" w:ascii="Times New Roman" w:hAnsi="Times New Roman" w:eastAsia="宋体" w:cs="Times New Roman"/>
                <w:color w:val="auto"/>
                <w:sz w:val="21"/>
                <w:szCs w:val="21"/>
                <w:highlight w:val="none"/>
                <w:vertAlign w:val="subscript"/>
              </w:rPr>
              <w:t>2</w:t>
            </w:r>
            <w:r>
              <w:rPr>
                <w:rFonts w:hint="default" w:ascii="Times New Roman" w:hAnsi="Times New Roman" w:eastAsia="宋体" w:cs="Times New Roman"/>
                <w:color w:val="auto"/>
                <w:sz w:val="21"/>
                <w:szCs w:val="21"/>
                <w:highlight w:val="none"/>
              </w:rPr>
              <w:t>、NO</w:t>
            </w:r>
            <w:r>
              <w:rPr>
                <w:rFonts w:hint="default" w:ascii="Times New Roman" w:hAnsi="Times New Roman" w:eastAsia="宋体" w:cs="Times New Roman"/>
                <w:color w:val="auto"/>
                <w:sz w:val="21"/>
                <w:szCs w:val="21"/>
                <w:highlight w:val="none"/>
                <w:vertAlign w:val="subscript"/>
              </w:rPr>
              <w:t>x</w:t>
            </w:r>
            <w:r>
              <w:rPr>
                <w:rFonts w:hint="default" w:ascii="Times New Roman" w:hAnsi="Times New Roman" w:eastAsia="宋体" w:cs="Times New Roman"/>
                <w:color w:val="auto"/>
                <w:sz w:val="21"/>
                <w:szCs w:val="21"/>
                <w:highlight w:val="none"/>
              </w:rPr>
              <w:t>、颗粒物、</w:t>
            </w:r>
            <w:r>
              <w:rPr>
                <w:rFonts w:hint="default" w:ascii="Times New Roman" w:hAnsi="Times New Roman" w:eastAsia="宋体" w:cs="Times New Roman"/>
                <w:color w:val="auto"/>
                <w:kern w:val="0"/>
                <w:sz w:val="21"/>
                <w:szCs w:val="21"/>
                <w:highlight w:val="none"/>
                <w:lang w:bidi="ar"/>
              </w:rPr>
              <w:t>CO、</w:t>
            </w:r>
            <w:r>
              <w:rPr>
                <w:rFonts w:hint="eastAsia" w:ascii="Times New Roman" w:hAnsi="Times New Roman" w:eastAsia="宋体" w:cs="Times New Roman"/>
                <w:color w:val="auto"/>
                <w:kern w:val="0"/>
                <w:sz w:val="21"/>
                <w:szCs w:val="21"/>
                <w:highlight w:val="none"/>
                <w:lang w:val="en-US" w:eastAsia="zh-CN" w:bidi="ar"/>
              </w:rPr>
              <w:t>NMHC</w:t>
            </w:r>
            <w:r>
              <w:rPr>
                <w:rFonts w:hint="eastAsia" w:cs="Times New Roman"/>
                <w:color w:val="auto"/>
                <w:kern w:val="0"/>
                <w:sz w:val="21"/>
                <w:szCs w:val="21"/>
                <w:highlight w:val="none"/>
                <w:lang w:val="en-US" w:eastAsia="zh-CN" w:bidi="ar"/>
              </w:rPr>
              <w:t>、硫化氢、氨</w:t>
            </w:r>
          </w:p>
        </w:tc>
      </w:tr>
      <w:tr w14:paraId="3F51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pct"/>
            <w:tcMar>
              <w:left w:w="57" w:type="dxa"/>
              <w:right w:w="57" w:type="dxa"/>
            </w:tcMar>
            <w:vAlign w:val="center"/>
          </w:tcPr>
          <w:p w14:paraId="5B0448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地下水环境</w:t>
            </w:r>
          </w:p>
        </w:tc>
        <w:tc>
          <w:tcPr>
            <w:tcW w:w="2313" w:type="pct"/>
            <w:tcMar>
              <w:left w:w="57" w:type="dxa"/>
              <w:right w:w="57" w:type="dxa"/>
            </w:tcMar>
            <w:vAlign w:val="center"/>
          </w:tcPr>
          <w:p w14:paraId="28E74C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pH、K</w:t>
            </w:r>
            <w:r>
              <w:rPr>
                <w:rFonts w:hint="default" w:ascii="Times New Roman" w:hAnsi="Times New Roman" w:eastAsia="宋体" w:cs="Times New Roman"/>
                <w:color w:val="auto"/>
                <w:kern w:val="2"/>
                <w:sz w:val="21"/>
                <w:szCs w:val="21"/>
                <w:highlight w:val="none"/>
                <w:vertAlign w:val="superscript"/>
                <w:lang w:val="en-US" w:eastAsia="zh-CN" w:bidi="ar-SA"/>
              </w:rPr>
              <w:t>+</w:t>
            </w:r>
            <w:r>
              <w:rPr>
                <w:rFonts w:hint="default" w:ascii="Times New Roman" w:hAnsi="Times New Roman" w:eastAsia="宋体" w:cs="Times New Roman"/>
                <w:color w:val="auto"/>
                <w:kern w:val="2"/>
                <w:sz w:val="21"/>
                <w:szCs w:val="21"/>
                <w:highlight w:val="none"/>
                <w:lang w:val="en-US" w:eastAsia="zh-CN" w:bidi="ar-SA"/>
              </w:rPr>
              <w:t>、Na</w:t>
            </w:r>
            <w:r>
              <w:rPr>
                <w:rFonts w:hint="default" w:ascii="Times New Roman" w:hAnsi="Times New Roman" w:eastAsia="宋体" w:cs="Times New Roman"/>
                <w:color w:val="auto"/>
                <w:kern w:val="2"/>
                <w:sz w:val="21"/>
                <w:szCs w:val="21"/>
                <w:highlight w:val="none"/>
                <w:vertAlign w:val="superscript"/>
                <w:lang w:val="en-US" w:eastAsia="zh-CN" w:bidi="ar-SA"/>
              </w:rPr>
              <w:t>+</w:t>
            </w:r>
            <w:r>
              <w:rPr>
                <w:rFonts w:hint="default" w:ascii="Times New Roman" w:hAnsi="Times New Roman" w:eastAsia="宋体" w:cs="Times New Roman"/>
                <w:color w:val="auto"/>
                <w:kern w:val="2"/>
                <w:sz w:val="21"/>
                <w:szCs w:val="21"/>
                <w:highlight w:val="none"/>
                <w:lang w:val="en-US" w:eastAsia="zh-CN" w:bidi="ar-SA"/>
              </w:rPr>
              <w:t>、Ca</w:t>
            </w:r>
            <w:r>
              <w:rPr>
                <w:rFonts w:hint="default" w:ascii="Times New Roman" w:hAnsi="Times New Roman" w:eastAsia="宋体" w:cs="Times New Roman"/>
                <w:color w:val="auto"/>
                <w:kern w:val="2"/>
                <w:sz w:val="21"/>
                <w:szCs w:val="21"/>
                <w:highlight w:val="none"/>
                <w:vertAlign w:val="superscript"/>
                <w:lang w:val="en-US" w:eastAsia="zh-CN" w:bidi="ar-SA"/>
              </w:rPr>
              <w:t>2+</w:t>
            </w:r>
            <w:r>
              <w:rPr>
                <w:rFonts w:hint="default" w:ascii="Times New Roman" w:hAnsi="Times New Roman" w:eastAsia="宋体" w:cs="Times New Roman"/>
                <w:color w:val="auto"/>
                <w:kern w:val="2"/>
                <w:sz w:val="21"/>
                <w:szCs w:val="21"/>
                <w:highlight w:val="none"/>
                <w:lang w:val="en-US" w:eastAsia="zh-CN" w:bidi="ar-SA"/>
              </w:rPr>
              <w:t>、Mg</w:t>
            </w:r>
            <w:r>
              <w:rPr>
                <w:rFonts w:hint="default" w:ascii="Times New Roman" w:hAnsi="Times New Roman" w:eastAsia="宋体" w:cs="Times New Roman"/>
                <w:color w:val="auto"/>
                <w:kern w:val="2"/>
                <w:sz w:val="21"/>
                <w:szCs w:val="21"/>
                <w:highlight w:val="none"/>
                <w:vertAlign w:val="superscript"/>
                <w:lang w:val="en-US" w:eastAsia="zh-CN" w:bidi="ar-SA"/>
              </w:rPr>
              <w:t>2+</w:t>
            </w:r>
            <w:r>
              <w:rPr>
                <w:rFonts w:hint="default" w:ascii="Times New Roman" w:hAnsi="Times New Roman" w:eastAsia="宋体" w:cs="Times New Roman"/>
                <w:color w:val="auto"/>
                <w:kern w:val="2"/>
                <w:sz w:val="21"/>
                <w:szCs w:val="21"/>
                <w:highlight w:val="none"/>
                <w:lang w:val="en-US" w:eastAsia="zh-CN" w:bidi="ar-SA"/>
              </w:rPr>
              <w:t>、CO</w:t>
            </w:r>
            <w:r>
              <w:rPr>
                <w:rFonts w:hint="default" w:ascii="Times New Roman" w:hAnsi="Times New Roman" w:eastAsia="宋体" w:cs="Times New Roman"/>
                <w:color w:val="auto"/>
                <w:kern w:val="2"/>
                <w:sz w:val="21"/>
                <w:szCs w:val="21"/>
                <w:highlight w:val="none"/>
                <w:vertAlign w:val="subscript"/>
                <w:lang w:val="en-US" w:eastAsia="zh-CN" w:bidi="ar-SA"/>
              </w:rPr>
              <w:t>3</w:t>
            </w:r>
            <w:r>
              <w:rPr>
                <w:rFonts w:hint="default" w:ascii="Times New Roman" w:hAnsi="Times New Roman" w:eastAsia="宋体" w:cs="Times New Roman"/>
                <w:color w:val="auto"/>
                <w:kern w:val="2"/>
                <w:sz w:val="21"/>
                <w:szCs w:val="21"/>
                <w:highlight w:val="none"/>
                <w:vertAlign w:val="superscript"/>
                <w:lang w:val="en-US" w:eastAsia="zh-CN" w:bidi="ar-SA"/>
              </w:rPr>
              <w:t>2-</w:t>
            </w:r>
            <w:r>
              <w:rPr>
                <w:rFonts w:hint="default" w:ascii="Times New Roman" w:hAnsi="Times New Roman" w:eastAsia="宋体" w:cs="Times New Roman"/>
                <w:color w:val="auto"/>
                <w:kern w:val="2"/>
                <w:sz w:val="21"/>
                <w:szCs w:val="21"/>
                <w:highlight w:val="none"/>
                <w:lang w:val="en-US" w:eastAsia="zh-CN" w:bidi="ar-SA"/>
              </w:rPr>
              <w:t>、HCO</w:t>
            </w:r>
            <w:r>
              <w:rPr>
                <w:rFonts w:hint="default" w:ascii="Times New Roman" w:hAnsi="Times New Roman" w:eastAsia="宋体" w:cs="Times New Roman"/>
                <w:color w:val="auto"/>
                <w:kern w:val="2"/>
                <w:sz w:val="21"/>
                <w:szCs w:val="21"/>
                <w:highlight w:val="none"/>
                <w:vertAlign w:val="subscript"/>
                <w:lang w:val="en-US" w:eastAsia="zh-CN" w:bidi="ar-SA"/>
              </w:rPr>
              <w:t>3</w:t>
            </w:r>
            <w:r>
              <w:rPr>
                <w:rFonts w:hint="default" w:ascii="Times New Roman" w:hAnsi="Times New Roman" w:eastAsia="宋体" w:cs="Times New Roman"/>
                <w:color w:val="auto"/>
                <w:kern w:val="2"/>
                <w:sz w:val="21"/>
                <w:szCs w:val="21"/>
                <w:highlight w:val="none"/>
                <w:vertAlign w:val="superscript"/>
                <w:lang w:val="en-US" w:eastAsia="zh-CN" w:bidi="ar-SA"/>
              </w:rPr>
              <w:t>-</w:t>
            </w:r>
            <w:r>
              <w:rPr>
                <w:rFonts w:hint="default" w:ascii="Times New Roman" w:hAnsi="Times New Roman" w:eastAsia="宋体" w:cs="Times New Roman"/>
                <w:color w:val="auto"/>
                <w:kern w:val="2"/>
                <w:sz w:val="21"/>
                <w:szCs w:val="21"/>
                <w:highlight w:val="none"/>
                <w:lang w:val="en-US" w:eastAsia="zh-CN" w:bidi="ar-SA"/>
              </w:rPr>
              <w:t>、Cl</w:t>
            </w:r>
            <w:r>
              <w:rPr>
                <w:rFonts w:hint="default" w:ascii="Times New Roman" w:hAnsi="Times New Roman" w:eastAsia="宋体" w:cs="Times New Roman"/>
                <w:color w:val="auto"/>
                <w:kern w:val="2"/>
                <w:sz w:val="21"/>
                <w:szCs w:val="21"/>
                <w:highlight w:val="none"/>
                <w:vertAlign w:val="superscript"/>
                <w:lang w:val="en-US" w:eastAsia="zh-CN" w:bidi="ar-SA"/>
              </w:rPr>
              <w:t>-</w:t>
            </w:r>
            <w:r>
              <w:rPr>
                <w:rFonts w:hint="default" w:ascii="Times New Roman" w:hAnsi="Times New Roman" w:eastAsia="宋体" w:cs="Times New Roman"/>
                <w:color w:val="auto"/>
                <w:kern w:val="2"/>
                <w:sz w:val="21"/>
                <w:szCs w:val="21"/>
                <w:highlight w:val="none"/>
                <w:lang w:val="en-US" w:eastAsia="zh-CN" w:bidi="ar-SA"/>
              </w:rPr>
              <w:t>、SO</w:t>
            </w:r>
            <w:r>
              <w:rPr>
                <w:rFonts w:hint="default" w:ascii="Times New Roman" w:hAnsi="Times New Roman" w:eastAsia="宋体" w:cs="Times New Roman"/>
                <w:color w:val="auto"/>
                <w:kern w:val="2"/>
                <w:sz w:val="21"/>
                <w:szCs w:val="21"/>
                <w:highlight w:val="none"/>
                <w:vertAlign w:val="subscript"/>
                <w:lang w:val="en-US" w:eastAsia="zh-CN" w:bidi="ar-SA"/>
              </w:rPr>
              <w:t>4</w:t>
            </w:r>
            <w:r>
              <w:rPr>
                <w:rFonts w:hint="default" w:ascii="Times New Roman" w:hAnsi="Times New Roman" w:eastAsia="宋体" w:cs="Times New Roman"/>
                <w:color w:val="auto"/>
                <w:kern w:val="2"/>
                <w:sz w:val="21"/>
                <w:szCs w:val="21"/>
                <w:highlight w:val="none"/>
                <w:vertAlign w:val="superscript"/>
                <w:lang w:val="en-US" w:eastAsia="zh-CN" w:bidi="ar-SA"/>
              </w:rPr>
              <w:t>2-</w:t>
            </w:r>
            <w:r>
              <w:rPr>
                <w:rFonts w:hint="default" w:ascii="Times New Roman" w:hAnsi="Times New Roman" w:eastAsia="宋体" w:cs="Times New Roman"/>
                <w:color w:val="auto"/>
                <w:kern w:val="2"/>
                <w:sz w:val="21"/>
                <w:szCs w:val="21"/>
                <w:highlight w:val="none"/>
                <w:lang w:val="en-US" w:eastAsia="zh-CN" w:bidi="ar-SA"/>
              </w:rPr>
              <w:t>、氨氮、硝酸盐、亚硝酸盐、挥发性酚类、氟化物、溶解性总固体、汞、砷、铅、镉、铁、锰、铬（六价）、氰化物、总硬度、耗氧量、硫酸盐、氯离子、总大肠菌数、细菌总数、石油类，共29项。</w:t>
            </w:r>
          </w:p>
        </w:tc>
        <w:tc>
          <w:tcPr>
            <w:tcW w:w="1923" w:type="pct"/>
            <w:tcMar>
              <w:left w:w="57" w:type="dxa"/>
              <w:right w:w="57" w:type="dxa"/>
            </w:tcMar>
            <w:vAlign w:val="center"/>
          </w:tcPr>
          <w:p w14:paraId="6CB868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石油类</w:t>
            </w:r>
          </w:p>
          <w:p w14:paraId="7DAF42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对周围地下水水质</w:t>
            </w:r>
            <w:r>
              <w:rPr>
                <w:rFonts w:hint="eastAsia" w:cs="Times New Roman"/>
                <w:color w:val="auto"/>
                <w:sz w:val="21"/>
                <w:szCs w:val="21"/>
                <w:highlight w:val="none"/>
                <w:lang w:val="en-US" w:eastAsia="zh-CN"/>
              </w:rPr>
              <w:t>等</w:t>
            </w:r>
            <w:r>
              <w:rPr>
                <w:rFonts w:hint="default" w:ascii="Times New Roman" w:hAnsi="Times New Roman" w:eastAsia="宋体" w:cs="Times New Roman"/>
                <w:color w:val="auto"/>
                <w:sz w:val="21"/>
                <w:szCs w:val="21"/>
                <w:highlight w:val="none"/>
              </w:rPr>
              <w:t>的影响</w:t>
            </w:r>
          </w:p>
        </w:tc>
      </w:tr>
      <w:tr w14:paraId="011F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pct"/>
            <w:tcMar>
              <w:left w:w="57" w:type="dxa"/>
              <w:right w:w="57" w:type="dxa"/>
            </w:tcMar>
            <w:vAlign w:val="center"/>
          </w:tcPr>
          <w:p w14:paraId="36C59B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土壤环境</w:t>
            </w:r>
          </w:p>
        </w:tc>
        <w:tc>
          <w:tcPr>
            <w:tcW w:w="2313" w:type="pct"/>
            <w:tcMar>
              <w:left w:w="57" w:type="dxa"/>
              <w:right w:w="57" w:type="dxa"/>
            </w:tcMar>
            <w:vAlign w:val="center"/>
          </w:tcPr>
          <w:p w14:paraId="46371F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①pH；②重金属和无机污染物：砷、镉、铬、铜、铅、汞、镍、锌；③挥发性有机物：四氯化碳、氯仿、氯甲烷、1,1-二氯乙烷、1,2-二氯乙烷、1,1-二氯乙烯、顺-1,2-二氯乙烯、反-1,2-二氯乙烯、二氯甲烷、1,2-二氯丙烷、1,1,1,2-四氯乙烷、1,1,2,2-四氯乙烷、四氯乙烯、1,1,1-三氯乙烷、1,1,2-三氯乙烷、三氯乙烯、1,2,3-三氯丙烷、氯乙烯、苯、氯苯、1,2-二氯苯、1,4-二氯苯、乙苯、苯乙烯、甲苯、间二甲苯+对二甲苯、邻二甲苯；④半挥发性有机物：硝基苯、苯胺、2-氯酚、苯并[a]蒽、苯并[a]芘、苯并[b]荧蒽、苯并[k]荧蒽、䓛、二苯并[a,h]蒽、茚并[1,2,3-cd]芘、萘；⑤石油烃类：石油烃（C</w:t>
            </w:r>
            <w:r>
              <w:rPr>
                <w:rFonts w:hint="default" w:ascii="Times New Roman" w:hAnsi="Times New Roman" w:eastAsia="宋体" w:cs="Times New Roman"/>
                <w:color w:val="auto"/>
                <w:kern w:val="2"/>
                <w:sz w:val="21"/>
                <w:szCs w:val="21"/>
                <w:highlight w:val="none"/>
                <w:vertAlign w:val="subscript"/>
                <w:lang w:val="en-US" w:eastAsia="zh-CN" w:bidi="ar-SA"/>
              </w:rPr>
              <w:t>10</w:t>
            </w:r>
            <w:r>
              <w:rPr>
                <w:rFonts w:hint="default" w:ascii="Times New Roman" w:hAnsi="Times New Roman" w:eastAsia="宋体" w:cs="Times New Roman"/>
                <w:color w:val="auto"/>
                <w:kern w:val="2"/>
                <w:sz w:val="21"/>
                <w:szCs w:val="21"/>
                <w:highlight w:val="none"/>
                <w:lang w:val="en-US" w:eastAsia="zh-CN" w:bidi="ar-SA"/>
              </w:rPr>
              <w:t>-C</w:t>
            </w:r>
            <w:r>
              <w:rPr>
                <w:rFonts w:hint="default" w:ascii="Times New Roman" w:hAnsi="Times New Roman" w:eastAsia="宋体" w:cs="Times New Roman"/>
                <w:color w:val="auto"/>
                <w:kern w:val="2"/>
                <w:sz w:val="21"/>
                <w:szCs w:val="21"/>
                <w:highlight w:val="none"/>
                <w:vertAlign w:val="subscript"/>
                <w:lang w:val="en-US" w:eastAsia="zh-CN" w:bidi="ar-SA"/>
              </w:rPr>
              <w:t>40</w:t>
            </w:r>
            <w:r>
              <w:rPr>
                <w:rFonts w:hint="default" w:ascii="Times New Roman" w:hAnsi="Times New Roman" w:eastAsia="宋体" w:cs="Times New Roman"/>
                <w:color w:val="auto"/>
                <w:kern w:val="2"/>
                <w:sz w:val="21"/>
                <w:szCs w:val="21"/>
                <w:highlight w:val="none"/>
                <w:lang w:val="en-US" w:eastAsia="zh-CN" w:bidi="ar-SA"/>
              </w:rPr>
              <w:t>）。</w:t>
            </w:r>
          </w:p>
        </w:tc>
        <w:tc>
          <w:tcPr>
            <w:tcW w:w="1923" w:type="pct"/>
            <w:tcMar>
              <w:left w:w="57" w:type="dxa"/>
              <w:right w:w="57" w:type="dxa"/>
            </w:tcMar>
            <w:vAlign w:val="center"/>
          </w:tcPr>
          <w:p w14:paraId="17515E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石油烃</w:t>
            </w:r>
          </w:p>
        </w:tc>
      </w:tr>
      <w:tr w14:paraId="5934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pct"/>
            <w:tcMar>
              <w:left w:w="57" w:type="dxa"/>
              <w:right w:w="57" w:type="dxa"/>
            </w:tcMar>
            <w:vAlign w:val="center"/>
          </w:tcPr>
          <w:p w14:paraId="4D2E2F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电磁</w:t>
            </w:r>
            <w:r>
              <w:rPr>
                <w:rFonts w:hint="eastAsia" w:cs="Times New Roman"/>
                <w:color w:val="auto"/>
                <w:kern w:val="2"/>
                <w:sz w:val="21"/>
                <w:szCs w:val="21"/>
                <w:highlight w:val="none"/>
                <w:lang w:val="en-US" w:eastAsia="zh-CN" w:bidi="ar-SA"/>
              </w:rPr>
              <w:t>环境</w:t>
            </w:r>
          </w:p>
        </w:tc>
        <w:tc>
          <w:tcPr>
            <w:tcW w:w="2313" w:type="pct"/>
            <w:tcMar>
              <w:left w:w="57" w:type="dxa"/>
              <w:right w:w="57" w:type="dxa"/>
            </w:tcMar>
            <w:vAlign w:val="center"/>
          </w:tcPr>
          <w:p w14:paraId="73795F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snapToGrid w:val="0"/>
                <w:color w:val="auto"/>
                <w:spacing w:val="-8"/>
                <w:sz w:val="21"/>
                <w:szCs w:val="21"/>
                <w:highlight w:val="none"/>
                <w:lang w:val="en-US" w:eastAsia="zh-CN" w:bidi="ar-SA"/>
              </w:rPr>
            </w:pPr>
            <w:r>
              <w:rPr>
                <w:rFonts w:hint="eastAsia" w:cs="Times New Roman"/>
                <w:snapToGrid w:val="0"/>
                <w:color w:val="auto"/>
                <w:spacing w:val="-8"/>
                <w:sz w:val="21"/>
                <w:szCs w:val="21"/>
                <w:highlight w:val="none"/>
                <w:lang w:val="en-US" w:eastAsia="zh-CN" w:bidi="ar-SA"/>
              </w:rPr>
              <w:t>/</w:t>
            </w:r>
          </w:p>
        </w:tc>
        <w:tc>
          <w:tcPr>
            <w:tcW w:w="1923" w:type="pct"/>
            <w:tcMar>
              <w:left w:w="57" w:type="dxa"/>
              <w:right w:w="57" w:type="dxa"/>
            </w:tcMar>
            <w:vAlign w:val="center"/>
          </w:tcPr>
          <w:p w14:paraId="5E4F61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snapToGrid w:val="0"/>
                <w:color w:val="auto"/>
                <w:sz w:val="21"/>
                <w:szCs w:val="21"/>
                <w:highlight w:val="none"/>
                <w:lang w:val="en-US" w:eastAsia="zh-CN" w:bidi="ar-SA"/>
              </w:rPr>
            </w:pPr>
            <w:r>
              <w:rPr>
                <w:rFonts w:hint="eastAsia" w:ascii="Times New Roman" w:hAnsi="Times New Roman" w:eastAsia="宋体" w:cs="Times New Roman"/>
                <w:snapToGrid w:val="0"/>
                <w:color w:val="auto"/>
                <w:sz w:val="21"/>
                <w:szCs w:val="21"/>
                <w:highlight w:val="none"/>
                <w:lang w:val="en-US" w:eastAsia="zh-CN" w:bidi="ar-SA"/>
              </w:rPr>
              <w:t>电场强度、磁场强度和功率密度</w:t>
            </w:r>
          </w:p>
        </w:tc>
      </w:tr>
    </w:tbl>
    <w:p w14:paraId="2894EEBC">
      <w:pPr>
        <w:pageBreakBefore w:val="0"/>
        <w:widowControl w:val="0"/>
        <w:kinsoku/>
        <w:wordWrap/>
        <w:overflowPunct/>
        <w:bidi w:val="0"/>
        <w:spacing w:before="156" w:beforeLines="50" w:after="156" w:afterLines="50" w:line="240" w:lineRule="auto"/>
        <w:ind w:left="0" w:leftChars="0" w:firstLine="0" w:firstLineChars="0"/>
        <w:jc w:val="center"/>
        <w:rPr>
          <w:rFonts w:ascii="Times New Roman" w:hAnsi="Times New Roman" w:eastAsia="黑体" w:cs="Times New Roman"/>
          <w:color w:val="auto"/>
          <w:kern w:val="2"/>
          <w:sz w:val="21"/>
          <w:szCs w:val="18"/>
          <w:highlight w:val="none"/>
          <w:lang w:val="en-US" w:eastAsia="zh-CN" w:bidi="ar-SA"/>
        </w:rPr>
      </w:pPr>
    </w:p>
    <w:p w14:paraId="0908ECD4">
      <w:pPr>
        <w:pStyle w:val="4"/>
        <w:pageBreakBefore w:val="0"/>
        <w:kinsoku/>
        <w:wordWrap/>
        <w:overflowPunct/>
        <w:bidi w:val="0"/>
        <w:rPr>
          <w:rFonts w:hint="eastAsia"/>
          <w:color w:val="auto"/>
          <w:sz w:val="30"/>
          <w:szCs w:val="30"/>
          <w:highlight w:val="none"/>
        </w:rPr>
      </w:pPr>
      <w:bookmarkStart w:id="97" w:name="_Toc145148598"/>
      <w:bookmarkStart w:id="98" w:name="_Toc144648425"/>
      <w:bookmarkStart w:id="99" w:name="_Toc4293"/>
      <w:bookmarkStart w:id="100" w:name="_Toc133987574"/>
      <w:bookmarkStart w:id="101" w:name="_Toc240165911"/>
      <w:bookmarkStart w:id="102" w:name="_Toc239499249"/>
      <w:bookmarkStart w:id="103" w:name="_Toc239760138"/>
      <w:bookmarkStart w:id="104" w:name="_Toc434352253"/>
      <w:bookmarkStart w:id="105" w:name="_Toc142275517"/>
      <w:bookmarkStart w:id="106" w:name="_Toc143925537"/>
      <w:bookmarkStart w:id="107" w:name="_Toc142237586"/>
      <w:bookmarkStart w:id="108" w:name="_Toc240083822"/>
      <w:bookmarkStart w:id="109" w:name="_Toc319045784"/>
      <w:bookmarkStart w:id="110" w:name="_Toc141948803"/>
      <w:bookmarkStart w:id="111" w:name="_Toc148165605"/>
      <w:bookmarkStart w:id="112" w:name="_Toc131828137"/>
      <w:bookmarkStart w:id="113" w:name="_Toc316558129"/>
      <w:bookmarkStart w:id="114" w:name="_Toc14937"/>
      <w:r>
        <w:rPr>
          <w:rFonts w:hint="eastAsia"/>
          <w:color w:val="auto"/>
          <w:sz w:val="30"/>
          <w:szCs w:val="30"/>
          <w:highlight w:val="none"/>
        </w:rPr>
        <w:t>2.4</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hint="eastAsia"/>
          <w:color w:val="auto"/>
          <w:sz w:val="30"/>
          <w:szCs w:val="30"/>
          <w:highlight w:val="none"/>
        </w:rPr>
        <w:t>环境功能区划与评价标准</w:t>
      </w:r>
      <w:bookmarkEnd w:id="114"/>
    </w:p>
    <w:p w14:paraId="7E9DB1C8">
      <w:pPr>
        <w:pStyle w:val="5"/>
        <w:pageBreakBefore w:val="0"/>
        <w:kinsoku/>
        <w:wordWrap/>
        <w:overflowPunct/>
        <w:bidi w:val="0"/>
        <w:rPr>
          <w:rFonts w:hint="eastAsia" w:ascii="黑体" w:hAnsi="黑体"/>
          <w:color w:val="auto"/>
          <w:sz w:val="28"/>
          <w:szCs w:val="28"/>
          <w:highlight w:val="none"/>
        </w:rPr>
      </w:pPr>
      <w:bookmarkStart w:id="115" w:name="_Toc434352254"/>
      <w:bookmarkStart w:id="116" w:name="_Toc418694295"/>
      <w:bookmarkStart w:id="117" w:name="_Toc417997032"/>
      <w:bookmarkStart w:id="118" w:name="_Toc418086137"/>
      <w:bookmarkStart w:id="119" w:name="_Toc131828138"/>
      <w:bookmarkStart w:id="120" w:name="_Toc434259903"/>
      <w:bookmarkStart w:id="121" w:name="_Toc374032648"/>
      <w:bookmarkStart w:id="122" w:name="_Toc121301873"/>
      <w:bookmarkStart w:id="123" w:name="_Toc112496131"/>
      <w:bookmarkStart w:id="124" w:name="_Toc97226708"/>
      <w:bookmarkStart w:id="125" w:name="_Toc98819271"/>
      <w:bookmarkStart w:id="126" w:name="_Toc79816426"/>
      <w:bookmarkStart w:id="127" w:name="_Toc94624961"/>
      <w:bookmarkStart w:id="128" w:name="_Toc97383171"/>
      <w:bookmarkStart w:id="129" w:name="_Toc95064029"/>
      <w:bookmarkStart w:id="130" w:name="_Toc118368822"/>
      <w:bookmarkStart w:id="131" w:name="_Toc97391885"/>
      <w:bookmarkStart w:id="132" w:name="_Toc99200666"/>
      <w:bookmarkStart w:id="133" w:name="_Toc96759224"/>
      <w:r>
        <w:rPr>
          <w:rFonts w:hint="eastAsia" w:ascii="黑体" w:hAnsi="黑体"/>
          <w:color w:val="auto"/>
          <w:sz w:val="28"/>
          <w:szCs w:val="28"/>
          <w:highlight w:val="none"/>
        </w:rPr>
        <w:t>2.4.1</w:t>
      </w:r>
      <w:bookmarkEnd w:id="115"/>
      <w:bookmarkEnd w:id="116"/>
      <w:bookmarkEnd w:id="117"/>
      <w:bookmarkEnd w:id="118"/>
      <w:bookmarkEnd w:id="119"/>
      <w:bookmarkEnd w:id="120"/>
      <w:bookmarkEnd w:id="121"/>
      <w:r>
        <w:rPr>
          <w:rFonts w:hint="eastAsia" w:ascii="黑体" w:hAnsi="黑体"/>
          <w:color w:val="auto"/>
          <w:sz w:val="28"/>
          <w:szCs w:val="28"/>
          <w:highlight w:val="none"/>
        </w:rPr>
        <w:t>环境功能区划</w:t>
      </w:r>
    </w:p>
    <w:p w14:paraId="4CEFC1A1">
      <w:pPr>
        <w:pageBreakBefore w:val="0"/>
        <w:kinsoku/>
        <w:wordWrap/>
        <w:overflowPunct/>
        <w:bidi w:val="0"/>
        <w:ind w:firstLine="480" w:firstLineChars="20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（1）环境空气</w:t>
      </w:r>
    </w:p>
    <w:p w14:paraId="0DD3E2BB">
      <w:pPr>
        <w:pageBreakBefore w:val="0"/>
        <w:kinsoku/>
        <w:wordWrap/>
        <w:overflowPunct/>
        <w:bidi w:val="0"/>
        <w:ind w:firstLine="480" w:firstLineChars="20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val="en-US" w:eastAsia="zh-CN"/>
        </w:rPr>
        <w:t>根据《环境空气质量标准》（GB3095-2012）及修改单规定，项目所处区域为农村地区，属二类功能区</w:t>
      </w:r>
      <w:r>
        <w:rPr>
          <w:rFonts w:hint="default" w:ascii="Times New Roman" w:hAnsi="Times New Roman" w:cs="Times New Roman"/>
          <w:color w:val="auto"/>
          <w:highlight w:val="none"/>
          <w:lang w:eastAsia="zh-CN"/>
        </w:rPr>
        <w:t>。</w:t>
      </w:r>
    </w:p>
    <w:p w14:paraId="13D38FC9">
      <w:pPr>
        <w:pageBreakBefore w:val="0"/>
        <w:kinsoku/>
        <w:wordWrap/>
        <w:overflowPunct/>
        <w:bidi w:val="0"/>
        <w:ind w:firstLine="480" w:firstLineChars="20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（2）地下水</w:t>
      </w:r>
    </w:p>
    <w:p w14:paraId="3BFE4D00">
      <w:pPr>
        <w:pageBreakBefore w:val="0"/>
        <w:kinsoku/>
        <w:wordWrap/>
        <w:overflowPunct/>
        <w:bidi w:val="0"/>
        <w:ind w:firstLine="480" w:firstLineChars="20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根据《地下水质量标准》（GB/T14848-2017）中的地下水水质分类要求，Ⅲ类地下水质量主要适用于集中式生活饮用水源及工农业用水，由此本项目评价区地下水环境功能区划为Ⅲ类功能区。</w:t>
      </w:r>
    </w:p>
    <w:p w14:paraId="449B88FB">
      <w:pPr>
        <w:pageBreakBefore w:val="0"/>
        <w:kinsoku/>
        <w:wordWrap/>
        <w:overflowPunct/>
        <w:bidi w:val="0"/>
        <w:ind w:firstLine="480" w:firstLineChars="20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（3）声环境</w:t>
      </w:r>
    </w:p>
    <w:p w14:paraId="73921DBA">
      <w:pPr>
        <w:pageBreakBefore w:val="0"/>
        <w:kinsoku/>
        <w:wordWrap/>
        <w:overflowPunct/>
        <w:bidi w:val="0"/>
        <w:ind w:firstLine="480" w:firstLineChars="200"/>
        <w:rPr>
          <w:rFonts w:hint="default" w:ascii="Times New Roman" w:hAnsi="Times New Roman" w:cs="Times New Roman"/>
          <w:color w:val="auto"/>
          <w:highlight w:val="none"/>
          <w:lang w:eastAsia="zh-CN"/>
        </w:rPr>
      </w:pPr>
      <w:r>
        <w:rPr>
          <w:rFonts w:hint="eastAsia" w:cs="Times New Roman"/>
          <w:color w:val="auto"/>
          <w:highlight w:val="none"/>
          <w:lang w:val="en-US" w:eastAsia="zh-CN"/>
        </w:rPr>
        <w:t>本项目位于城市规划区外的乡村区域</w:t>
      </w:r>
      <w:r>
        <w:rPr>
          <w:rFonts w:hint="default" w:ascii="Times New Roman" w:hAnsi="Times New Roman" w:cs="Times New Roman"/>
          <w:color w:val="auto"/>
          <w:highlight w:val="none"/>
          <w:lang w:eastAsia="zh-CN"/>
        </w:rPr>
        <w:t>，根据《声环境质量标准》（GB3096-2008），</w:t>
      </w:r>
      <w:r>
        <w:rPr>
          <w:rFonts w:hint="eastAsia" w:cs="Times New Roman"/>
          <w:color w:val="auto"/>
          <w:highlight w:val="none"/>
          <w:lang w:val="en-US" w:eastAsia="zh-CN"/>
        </w:rPr>
        <w:t>参照</w:t>
      </w:r>
      <w:r>
        <w:rPr>
          <w:rFonts w:hint="default" w:ascii="Times New Roman" w:hAnsi="Times New Roman" w:cs="Times New Roman"/>
          <w:color w:val="auto"/>
          <w:highlight w:val="none"/>
          <w:lang w:eastAsia="zh-CN"/>
        </w:rPr>
        <w:t>执行《声环境质量标准》（GB3096-2008）</w:t>
      </w:r>
      <w:r>
        <w:rPr>
          <w:rFonts w:hint="eastAsia" w:cs="Times New Roman"/>
          <w:color w:val="auto"/>
          <w:highlight w:val="none"/>
          <w:lang w:val="en-US" w:eastAsia="zh-CN"/>
        </w:rPr>
        <w:t>中</w:t>
      </w:r>
      <w:r>
        <w:rPr>
          <w:rFonts w:hint="default" w:ascii="Times New Roman" w:hAnsi="Times New Roman" w:cs="Times New Roman"/>
          <w:color w:val="auto"/>
          <w:highlight w:val="none"/>
          <w:lang w:eastAsia="zh-CN"/>
        </w:rPr>
        <w:t>的2类声环境功能区。</w:t>
      </w:r>
    </w:p>
    <w:p w14:paraId="30DB342B">
      <w:pPr>
        <w:pageBreakBefore w:val="0"/>
        <w:kinsoku/>
        <w:wordWrap/>
        <w:overflowPunct/>
        <w:bidi w:val="0"/>
        <w:ind w:firstLine="480" w:firstLineChars="20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（4）生态</w:t>
      </w:r>
    </w:p>
    <w:p w14:paraId="68530491">
      <w:pPr>
        <w:pageBreakBefore w:val="0"/>
        <w:kinsoku/>
        <w:wordWrap/>
        <w:overflowPunct/>
        <w:bidi w:val="0"/>
        <w:ind w:firstLine="480" w:firstLineChars="200"/>
        <w:rPr>
          <w:rFonts w:hint="eastAsia" w:cs="Times New Roman"/>
          <w:color w:val="auto"/>
          <w:highlight w:val="none"/>
          <w:lang w:eastAsia="zh-CN"/>
        </w:rPr>
      </w:pPr>
      <w:r>
        <w:rPr>
          <w:rFonts w:hint="default" w:ascii="Times New Roman" w:hAnsi="Times New Roman" w:cs="Times New Roman"/>
          <w:color w:val="auto"/>
          <w:highlight w:val="none"/>
          <w:lang w:eastAsia="zh-CN"/>
        </w:rPr>
        <w:t>依据《新疆生态功能区划》，评价区属于准噶尔盆地温性荒漠与绿洲农业生态区、准噶尔盆地西部荒漠及绿洲农业生态亚区、精河-博尔塔拉谷地绿洲农业生态功能区</w:t>
      </w:r>
      <w:r>
        <w:rPr>
          <w:rFonts w:hint="eastAsia" w:cs="Times New Roman"/>
          <w:color w:val="auto"/>
          <w:highlight w:val="none"/>
          <w:lang w:eastAsia="zh-CN"/>
        </w:rPr>
        <w:t>。</w:t>
      </w:r>
    </w:p>
    <w:p w14:paraId="3EE3466F">
      <w:pPr>
        <w:pageBreakBefore w:val="0"/>
        <w:kinsoku/>
        <w:wordWrap/>
        <w:overflowPunct/>
        <w:bidi w:val="0"/>
        <w:ind w:firstLine="480" w:firstLineChars="20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根据新水水保〔2019〕4号文，项目所在区域精河县属于天山北坡诸小河流域重点治理区。</w:t>
      </w:r>
    </w:p>
    <w:p w14:paraId="4492321B">
      <w:pPr>
        <w:pageBreakBefore w:val="0"/>
        <w:kinsoku/>
        <w:wordWrap/>
        <w:overflowPunct/>
        <w:bidi w:val="0"/>
        <w:ind w:firstLine="480" w:firstLineChars="20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（5）土壤环境</w:t>
      </w:r>
    </w:p>
    <w:p w14:paraId="2B912FB0">
      <w:pPr>
        <w:pageBreakBefore w:val="0"/>
        <w:kinsoku/>
        <w:wordWrap/>
        <w:overflowPunct/>
        <w:bidi w:val="0"/>
        <w:ind w:firstLine="480" w:firstLineChars="200"/>
        <w:rPr>
          <w:rFonts w:hint="eastAsia"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机场占地范围内执行《土壤环境质量 建设用地土壤污染风险管控标准</w:t>
      </w:r>
      <w:r>
        <w:rPr>
          <w:rFonts w:hint="eastAsia" w:cs="Times New Roman"/>
          <w:color w:val="auto"/>
          <w:highlight w:val="none"/>
          <w:lang w:eastAsia="zh-CN"/>
        </w:rPr>
        <w:t>（</w:t>
      </w:r>
      <w:r>
        <w:rPr>
          <w:rFonts w:hint="default" w:ascii="Times New Roman" w:hAnsi="Times New Roman" w:cs="Times New Roman"/>
          <w:color w:val="auto"/>
          <w:highlight w:val="none"/>
          <w:lang w:eastAsia="zh-CN"/>
        </w:rPr>
        <w:t>试行</w:t>
      </w:r>
      <w:r>
        <w:rPr>
          <w:rFonts w:hint="eastAsia" w:cs="Times New Roman"/>
          <w:color w:val="auto"/>
          <w:highlight w:val="none"/>
          <w:lang w:eastAsia="zh-CN"/>
        </w:rPr>
        <w:t>）</w:t>
      </w:r>
      <w:r>
        <w:rPr>
          <w:rFonts w:hint="default" w:ascii="Times New Roman" w:hAnsi="Times New Roman" w:cs="Times New Roman"/>
          <w:color w:val="auto"/>
          <w:highlight w:val="none"/>
          <w:lang w:eastAsia="zh-CN"/>
        </w:rPr>
        <w:t>》</w:t>
      </w:r>
      <w:r>
        <w:rPr>
          <w:rFonts w:hint="eastAsia" w:cs="Times New Roman"/>
          <w:color w:val="auto"/>
          <w:highlight w:val="none"/>
          <w:lang w:eastAsia="zh-CN"/>
        </w:rPr>
        <w:t>（</w:t>
      </w:r>
      <w:r>
        <w:rPr>
          <w:rFonts w:hint="default" w:ascii="Times New Roman" w:hAnsi="Times New Roman" w:cs="Times New Roman"/>
          <w:color w:val="auto"/>
          <w:highlight w:val="none"/>
          <w:lang w:eastAsia="zh-CN"/>
        </w:rPr>
        <w:t>GB36600-2018</w:t>
      </w:r>
      <w:r>
        <w:rPr>
          <w:rFonts w:hint="eastAsia" w:cs="Times New Roman"/>
          <w:color w:val="auto"/>
          <w:highlight w:val="none"/>
          <w:lang w:eastAsia="zh-CN"/>
        </w:rPr>
        <w:t>）</w:t>
      </w:r>
      <w:r>
        <w:rPr>
          <w:rFonts w:hint="default" w:ascii="Times New Roman" w:hAnsi="Times New Roman" w:cs="Times New Roman"/>
          <w:color w:val="auto"/>
          <w:highlight w:val="none"/>
          <w:lang w:eastAsia="zh-CN"/>
        </w:rPr>
        <w:t>表1第二类用地筛选值标准。机场占地范围外执行《土壤环境质量 农用地土壤污染风险管控标准</w:t>
      </w:r>
      <w:r>
        <w:rPr>
          <w:rFonts w:hint="eastAsia" w:cs="Times New Roman"/>
          <w:color w:val="auto"/>
          <w:highlight w:val="none"/>
          <w:lang w:eastAsia="zh-CN"/>
        </w:rPr>
        <w:t>（</w:t>
      </w:r>
      <w:r>
        <w:rPr>
          <w:rFonts w:hint="default" w:ascii="Times New Roman" w:hAnsi="Times New Roman" w:cs="Times New Roman"/>
          <w:color w:val="auto"/>
          <w:highlight w:val="none"/>
          <w:lang w:eastAsia="zh-CN"/>
        </w:rPr>
        <w:t>试行</w:t>
      </w:r>
      <w:r>
        <w:rPr>
          <w:rFonts w:hint="eastAsia" w:cs="Times New Roman"/>
          <w:color w:val="auto"/>
          <w:highlight w:val="none"/>
          <w:lang w:eastAsia="zh-CN"/>
        </w:rPr>
        <w:t>）</w:t>
      </w:r>
      <w:r>
        <w:rPr>
          <w:rFonts w:hint="default" w:ascii="Times New Roman" w:hAnsi="Times New Roman" w:cs="Times New Roman"/>
          <w:color w:val="auto"/>
          <w:highlight w:val="none"/>
          <w:lang w:eastAsia="zh-CN"/>
        </w:rPr>
        <w:t>》</w:t>
      </w:r>
      <w:r>
        <w:rPr>
          <w:rFonts w:hint="eastAsia" w:cs="Times New Roman"/>
          <w:color w:val="auto"/>
          <w:highlight w:val="none"/>
          <w:lang w:eastAsia="zh-CN"/>
        </w:rPr>
        <w:t>（</w:t>
      </w:r>
      <w:r>
        <w:rPr>
          <w:rFonts w:hint="default" w:ascii="Times New Roman" w:hAnsi="Times New Roman" w:cs="Times New Roman"/>
          <w:color w:val="auto"/>
          <w:highlight w:val="none"/>
          <w:lang w:eastAsia="zh-CN"/>
        </w:rPr>
        <w:t>GB15618-2018</w:t>
      </w:r>
      <w:r>
        <w:rPr>
          <w:rFonts w:hint="eastAsia" w:cs="Times New Roman"/>
          <w:color w:val="auto"/>
          <w:highlight w:val="none"/>
          <w:lang w:eastAsia="zh-CN"/>
        </w:rPr>
        <w:t>）</w:t>
      </w:r>
      <w:r>
        <w:rPr>
          <w:rFonts w:hint="default" w:ascii="Times New Roman" w:hAnsi="Times New Roman" w:cs="Times New Roman"/>
          <w:color w:val="auto"/>
          <w:highlight w:val="none"/>
          <w:lang w:eastAsia="zh-CN"/>
        </w:rPr>
        <w:t>中农用地土壤污染风险筛选值限值</w:t>
      </w:r>
      <w:r>
        <w:rPr>
          <w:rFonts w:hint="eastAsia" w:ascii="Times New Roman" w:hAnsi="Times New Roman" w:cs="Times New Roman"/>
          <w:color w:val="auto"/>
          <w:highlight w:val="none"/>
          <w:lang w:eastAsia="zh-CN"/>
        </w:rPr>
        <w:t>。</w:t>
      </w:r>
    </w:p>
    <w:p w14:paraId="1096360C">
      <w:pPr>
        <w:pageBreakBefore w:val="0"/>
        <w:kinsoku/>
        <w:wordWrap/>
        <w:overflowPunct/>
        <w:bidi w:val="0"/>
        <w:ind w:firstLine="480" w:firstLineChars="200"/>
        <w:rPr>
          <w:rFonts w:hint="eastAsia" w:ascii="Times New Roman" w:hAnsi="Times New Roman" w:cs="Times New Roman"/>
          <w:color w:val="auto"/>
          <w:highlight w:val="none"/>
          <w:lang w:eastAsia="zh-CN"/>
        </w:rPr>
      </w:pPr>
    </w:p>
    <w:p w14:paraId="59097ACD">
      <w:pPr>
        <w:pageBreakBefore w:val="0"/>
        <w:kinsoku/>
        <w:wordWrap/>
        <w:overflowPunct/>
        <w:bidi w:val="0"/>
        <w:ind w:firstLine="480" w:firstLineChars="200"/>
        <w:rPr>
          <w:rFonts w:hint="eastAsia" w:ascii="Times New Roman" w:hAnsi="Times New Roman" w:cs="Times New Roman"/>
          <w:color w:val="auto"/>
          <w:highlight w:val="none"/>
          <w:lang w:eastAsia="zh-CN"/>
        </w:rPr>
      </w:pPr>
    </w:p>
    <w:p w14:paraId="5E9954DB">
      <w:pPr>
        <w:pStyle w:val="5"/>
        <w:pageBreakBefore w:val="0"/>
        <w:kinsoku/>
        <w:wordWrap/>
        <w:overflowPunct/>
        <w:bidi w:val="0"/>
        <w:rPr>
          <w:rFonts w:hint="eastAsia" w:ascii="黑体" w:hAnsi="黑体"/>
          <w:color w:val="auto"/>
          <w:sz w:val="28"/>
          <w:szCs w:val="28"/>
          <w:highlight w:val="none"/>
        </w:rPr>
      </w:pPr>
      <w:r>
        <w:rPr>
          <w:rFonts w:hint="eastAsia" w:ascii="黑体" w:hAnsi="黑体"/>
          <w:color w:val="auto"/>
          <w:sz w:val="28"/>
          <w:szCs w:val="28"/>
          <w:highlight w:val="none"/>
        </w:rPr>
        <w:t>2.4.</w:t>
      </w:r>
      <w:r>
        <w:rPr>
          <w:rFonts w:hint="eastAsia" w:ascii="黑体" w:hAnsi="黑体"/>
          <w:color w:val="auto"/>
          <w:sz w:val="28"/>
          <w:szCs w:val="28"/>
          <w:highlight w:val="none"/>
          <w:lang w:val="en-US" w:eastAsia="zh-CN"/>
        </w:rPr>
        <w:t>2</w:t>
      </w:r>
      <w:r>
        <w:rPr>
          <w:rFonts w:hint="eastAsia" w:ascii="黑体" w:hAnsi="黑体"/>
          <w:color w:val="auto"/>
          <w:sz w:val="28"/>
          <w:szCs w:val="28"/>
          <w:highlight w:val="none"/>
        </w:rPr>
        <w:t xml:space="preserve"> 评价标准</w:t>
      </w:r>
    </w:p>
    <w:p w14:paraId="31600352">
      <w:pPr>
        <w:pageBreakBefore w:val="0"/>
        <w:kinsoku/>
        <w:wordWrap/>
        <w:overflowPunct/>
        <w:bidi w:val="0"/>
        <w:spacing w:line="360" w:lineRule="auto"/>
        <w:ind w:left="0" w:firstLine="0"/>
        <w:jc w:val="both"/>
        <w:outlineLvl w:val="3"/>
        <w:rPr>
          <w:rFonts w:ascii="Times New Roman" w:hAnsi="Times New Roman" w:eastAsia="黑体" w:cs="Times New Roman"/>
          <w:color w:val="auto"/>
          <w:kern w:val="2"/>
          <w:sz w:val="24"/>
          <w:szCs w:val="24"/>
          <w:highlight w:val="none"/>
          <w:lang w:val="en-US" w:eastAsia="zh-CN" w:bidi="ar-SA"/>
        </w:rPr>
      </w:pPr>
      <w:r>
        <w:rPr>
          <w:rFonts w:ascii="Times New Roman" w:hAnsi="Times New Roman" w:eastAsia="黑体" w:cs="Times New Roman"/>
          <w:color w:val="auto"/>
          <w:kern w:val="2"/>
          <w:sz w:val="24"/>
          <w:szCs w:val="24"/>
          <w:highlight w:val="none"/>
          <w:lang w:val="en-US" w:eastAsia="zh-CN" w:bidi="ar-SA"/>
        </w:rPr>
        <w:t>2.4.</w:t>
      </w:r>
      <w:r>
        <w:rPr>
          <w:rFonts w:hint="eastAsia" w:ascii="Times New Roman" w:hAnsi="Times New Roman" w:eastAsia="黑体" w:cs="Times New Roman"/>
          <w:color w:val="auto"/>
          <w:kern w:val="2"/>
          <w:sz w:val="24"/>
          <w:szCs w:val="24"/>
          <w:highlight w:val="none"/>
          <w:lang w:val="en-US" w:eastAsia="zh-CN" w:bidi="ar-SA"/>
        </w:rPr>
        <w:t>2</w:t>
      </w:r>
      <w:r>
        <w:rPr>
          <w:rFonts w:ascii="Times New Roman" w:hAnsi="Times New Roman" w:eastAsia="黑体" w:cs="Times New Roman"/>
          <w:color w:val="auto"/>
          <w:kern w:val="2"/>
          <w:sz w:val="24"/>
          <w:szCs w:val="24"/>
          <w:highlight w:val="none"/>
          <w:lang w:val="en-US" w:eastAsia="zh-CN" w:bidi="ar-SA"/>
        </w:rPr>
        <w:t>.1环境质量标准</w:t>
      </w:r>
    </w:p>
    <w:p w14:paraId="735800C4">
      <w:pPr>
        <w:pageBreakBefore w:val="0"/>
        <w:widowControl/>
        <w:numPr>
          <w:ilvl w:val="0"/>
          <w:numId w:val="0"/>
        </w:numPr>
        <w:kinsoku/>
        <w:wordWrap/>
        <w:overflowPunct/>
        <w:bidi w:val="0"/>
        <w:ind w:leftChars="200"/>
        <w:jc w:val="both"/>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lang w:eastAsia="zh-CN"/>
        </w:rPr>
        <w:t>（</w:t>
      </w:r>
      <w:r>
        <w:rPr>
          <w:rFonts w:hint="eastAsia" w:ascii="Times New Roman" w:hAnsi="Times New Roman" w:eastAsia="宋体" w:cs="Times New Roman"/>
          <w:b/>
          <w:bCs/>
          <w:color w:val="auto"/>
          <w:szCs w:val="21"/>
          <w:highlight w:val="none"/>
          <w:lang w:val="en-US" w:eastAsia="zh-CN"/>
        </w:rPr>
        <w:t>1</w:t>
      </w:r>
      <w:r>
        <w:rPr>
          <w:rFonts w:hint="eastAsia" w:ascii="Times New Roman" w:hAnsi="Times New Roman" w:eastAsia="宋体" w:cs="Times New Roman"/>
          <w:b/>
          <w:bCs/>
          <w:color w:val="auto"/>
          <w:szCs w:val="21"/>
          <w:highlight w:val="none"/>
          <w:lang w:eastAsia="zh-CN"/>
        </w:rPr>
        <w:t>）</w:t>
      </w:r>
      <w:r>
        <w:rPr>
          <w:rFonts w:ascii="Times New Roman" w:hAnsi="Times New Roman" w:eastAsia="宋体" w:cs="Times New Roman"/>
          <w:b/>
          <w:bCs/>
          <w:color w:val="auto"/>
          <w:szCs w:val="21"/>
          <w:highlight w:val="none"/>
        </w:rPr>
        <w:t>声环境</w:t>
      </w:r>
    </w:p>
    <w:p w14:paraId="3C518032">
      <w:pPr>
        <w:kinsoku w:val="0"/>
        <w:overflowPunct w:val="0"/>
        <w:autoSpaceDE w:val="0"/>
        <w:autoSpaceDN w:val="0"/>
        <w:ind w:firstLine="480" w:firstLineChars="200"/>
        <w:rPr>
          <w:rFonts w:ascii="Times New Roman" w:hAnsi="Times New Roman" w:eastAsia="黑体" w:cs="Times New Roman"/>
          <w:color w:val="auto"/>
          <w:kern w:val="0"/>
          <w:szCs w:val="20"/>
          <w:highlight w:val="none"/>
        </w:rPr>
      </w:pPr>
      <w:r>
        <w:rPr>
          <w:rFonts w:hint="eastAsia" w:ascii="Times New Roman" w:hAnsi="Times New Roman" w:eastAsia="宋体" w:cs="Times New Roman"/>
          <w:color w:val="auto"/>
          <w:kern w:val="0"/>
          <w:szCs w:val="22"/>
          <w:highlight w:val="none"/>
          <w:lang w:val="en-US" w:eastAsia="zh-CN"/>
        </w:rPr>
        <w:t>区域</w:t>
      </w:r>
      <w:r>
        <w:rPr>
          <w:rFonts w:ascii="Times New Roman" w:hAnsi="Times New Roman" w:eastAsia="宋体" w:cs="Times New Roman"/>
          <w:color w:val="auto"/>
          <w:kern w:val="0"/>
          <w:szCs w:val="22"/>
          <w:highlight w:val="none"/>
        </w:rPr>
        <w:t>现状声环境执行《声环境质量标准》（GB3096-2008）的2类区标准。标准限值见表2-</w:t>
      </w:r>
      <w:r>
        <w:rPr>
          <w:rFonts w:hint="eastAsia" w:ascii="Times New Roman" w:hAnsi="Times New Roman" w:eastAsia="宋体" w:cs="Times New Roman"/>
          <w:color w:val="auto"/>
          <w:kern w:val="0"/>
          <w:szCs w:val="22"/>
          <w:highlight w:val="none"/>
          <w:lang w:val="en-US" w:eastAsia="zh-CN"/>
        </w:rPr>
        <w:t>4-1</w:t>
      </w:r>
      <w:r>
        <w:rPr>
          <w:rFonts w:ascii="Times New Roman" w:hAnsi="Times New Roman" w:eastAsia="宋体" w:cs="Times New Roman"/>
          <w:color w:val="auto"/>
          <w:kern w:val="0"/>
          <w:szCs w:val="22"/>
          <w:highlight w:val="none"/>
        </w:rPr>
        <w:t>。</w:t>
      </w:r>
    </w:p>
    <w:p w14:paraId="2E20D670">
      <w:pPr>
        <w:kinsoku w:val="0"/>
        <w:overflowPunct w:val="0"/>
        <w:autoSpaceDE w:val="0"/>
        <w:autoSpaceDN w:val="0"/>
        <w:spacing w:line="240" w:lineRule="auto"/>
        <w:ind w:firstLine="0"/>
        <w:jc w:val="center"/>
        <w:rPr>
          <w:rFonts w:ascii="Times New Roman" w:hAnsi="Times New Roman" w:eastAsia="黑体" w:cs="Times New Roman"/>
          <w:color w:val="auto"/>
          <w:kern w:val="0"/>
          <w:sz w:val="21"/>
          <w:szCs w:val="20"/>
          <w:highlight w:val="none"/>
        </w:rPr>
      </w:pPr>
      <w:r>
        <w:rPr>
          <w:rFonts w:hint="eastAsia" w:ascii="Times New Roman" w:hAnsi="Times New Roman" w:eastAsia="黑体" w:cs="Times New Roman"/>
          <w:color w:val="auto"/>
          <w:kern w:val="0"/>
          <w:sz w:val="21"/>
          <w:szCs w:val="20"/>
          <w:highlight w:val="none"/>
        </w:rPr>
        <w:t>表2-4-1</w:t>
      </w:r>
      <w:r>
        <w:rPr>
          <w:rFonts w:ascii="Times New Roman" w:hAnsi="Times New Roman" w:eastAsia="黑体" w:cs="Times New Roman"/>
          <w:color w:val="auto"/>
          <w:kern w:val="0"/>
          <w:sz w:val="21"/>
          <w:szCs w:val="20"/>
          <w:highlight w:val="none"/>
        </w:rPr>
        <w:t xml:space="preserve"> </w:t>
      </w:r>
      <w:r>
        <w:rPr>
          <w:rFonts w:hint="eastAsia" w:ascii="Times New Roman" w:hAnsi="Times New Roman" w:eastAsia="黑体" w:cs="Times New Roman"/>
          <w:color w:val="auto"/>
          <w:kern w:val="0"/>
          <w:sz w:val="21"/>
          <w:szCs w:val="20"/>
          <w:highlight w:val="none"/>
          <w:lang w:val="en-US" w:eastAsia="zh-CN"/>
        </w:rPr>
        <w:t>现状</w:t>
      </w:r>
      <w:r>
        <w:rPr>
          <w:rFonts w:ascii="Times New Roman" w:hAnsi="Times New Roman" w:eastAsia="黑体" w:cs="Times New Roman"/>
          <w:color w:val="auto"/>
          <w:kern w:val="0"/>
          <w:sz w:val="21"/>
          <w:szCs w:val="20"/>
          <w:highlight w:val="none"/>
        </w:rPr>
        <w:t>声环境质量标准</w:t>
      </w:r>
    </w:p>
    <w:tbl>
      <w:tblPr>
        <w:tblStyle w:val="40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5"/>
        <w:gridCol w:w="2836"/>
        <w:gridCol w:w="3043"/>
      </w:tblGrid>
      <w:tr w14:paraId="087A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2" w:type="pct"/>
            <w:vMerge w:val="restart"/>
            <w:vAlign w:val="center"/>
          </w:tcPr>
          <w:p w14:paraId="7C67C331">
            <w:pPr>
              <w:keepNext w:val="0"/>
              <w:keepLines w:val="0"/>
              <w:suppressLineNumbers w:val="0"/>
              <w:kinsoku w:val="0"/>
              <w:overflowPunct w:val="0"/>
              <w:autoSpaceDE w:val="0"/>
              <w:autoSpaceDN w:val="0"/>
              <w:adjustRightInd w:val="0"/>
              <w:spacing w:before="112" w:beforeAutospacing="0" w:after="0" w:afterAutospacing="0" w:line="240" w:lineRule="auto"/>
              <w:ind w:left="962" w:right="0" w:firstLine="0"/>
              <w:jc w:val="left"/>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声环境类别</w:t>
            </w:r>
          </w:p>
        </w:tc>
        <w:tc>
          <w:tcPr>
            <w:tcW w:w="3327" w:type="pct"/>
            <w:gridSpan w:val="2"/>
            <w:vAlign w:val="center"/>
          </w:tcPr>
          <w:p w14:paraId="056DDE66">
            <w:pPr>
              <w:keepNext w:val="0"/>
              <w:keepLines w:val="0"/>
              <w:suppressLineNumbers w:val="0"/>
              <w:kinsoku w:val="0"/>
              <w:overflowPunct w:val="0"/>
              <w:autoSpaceDE w:val="0"/>
              <w:autoSpaceDN w:val="0"/>
              <w:adjustRightInd w:val="0"/>
              <w:spacing w:before="0" w:beforeAutospacing="0" w:after="0" w:afterAutospacing="0" w:line="259" w:lineRule="exact"/>
              <w:ind w:left="0" w:right="5"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标准值</w:t>
            </w:r>
            <w:r>
              <w:rPr>
                <w:rFonts w:hint="eastAsia" w:cs="Times New Roman"/>
                <w:color w:val="auto"/>
                <w:kern w:val="0"/>
                <w:sz w:val="21"/>
                <w:szCs w:val="20"/>
                <w:highlight w:val="none"/>
                <w:lang w:val="en-US" w:eastAsia="zh-CN"/>
              </w:rPr>
              <w:t>/</w:t>
            </w:r>
            <w:r>
              <w:rPr>
                <w:rFonts w:hint="default" w:ascii="Times New Roman" w:hAnsi="Times New Roman" w:eastAsia="Times New Roman" w:cs="Times New Roman"/>
                <w:color w:val="auto"/>
                <w:kern w:val="0"/>
                <w:sz w:val="21"/>
                <w:szCs w:val="20"/>
                <w:highlight w:val="none"/>
              </w:rPr>
              <w:t>dB</w:t>
            </w:r>
            <w:r>
              <w:rPr>
                <w:rFonts w:hint="eastAsia" w:ascii="宋体" w:hAnsi="宋体" w:eastAsia="宋体" w:cs="宋体"/>
                <w:color w:val="auto"/>
                <w:kern w:val="0"/>
                <w:sz w:val="21"/>
                <w:szCs w:val="20"/>
                <w:highlight w:val="none"/>
              </w:rPr>
              <w:t>（</w:t>
            </w:r>
            <w:r>
              <w:rPr>
                <w:rFonts w:hint="default" w:ascii="Times New Roman" w:hAnsi="Times New Roman" w:eastAsia="Times New Roman" w:cs="Times New Roman"/>
                <w:color w:val="auto"/>
                <w:kern w:val="0"/>
                <w:sz w:val="21"/>
                <w:szCs w:val="20"/>
                <w:highlight w:val="none"/>
              </w:rPr>
              <w:t>A</w:t>
            </w:r>
            <w:r>
              <w:rPr>
                <w:rFonts w:hint="default" w:ascii="Times New Roman" w:hAnsi="Times New Roman" w:eastAsia="宋体" w:cs="Times New Roman"/>
                <w:color w:val="auto"/>
                <w:kern w:val="0"/>
                <w:sz w:val="21"/>
                <w:szCs w:val="20"/>
                <w:highlight w:val="none"/>
              </w:rPr>
              <w:t>）</w:t>
            </w:r>
          </w:p>
        </w:tc>
      </w:tr>
      <w:tr w14:paraId="4194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2" w:type="pct"/>
            <w:vMerge w:val="continue"/>
            <w:vAlign w:val="center"/>
          </w:tcPr>
          <w:p w14:paraId="6D9D4683">
            <w:pPr>
              <w:keepNext w:val="0"/>
              <w:keepLines w:val="0"/>
              <w:suppressLineNumbers w:val="0"/>
              <w:kinsoku w:val="0"/>
              <w:overflowPunct w:val="0"/>
              <w:autoSpaceDE w:val="0"/>
              <w:autoSpaceDN w:val="0"/>
              <w:adjustRightInd w:val="0"/>
              <w:spacing w:before="0" w:beforeAutospacing="0" w:after="0" w:afterAutospacing="0" w:line="259" w:lineRule="exact"/>
              <w:ind w:left="0" w:right="5" w:firstLine="0"/>
              <w:jc w:val="center"/>
              <w:rPr>
                <w:rFonts w:hint="default" w:ascii="Times New Roman" w:hAnsi="Times New Roman" w:eastAsia="宋体" w:cs="Times New Roman"/>
                <w:color w:val="auto"/>
                <w:kern w:val="0"/>
                <w:szCs w:val="20"/>
                <w:highlight w:val="none"/>
              </w:rPr>
            </w:pPr>
          </w:p>
        </w:tc>
        <w:tc>
          <w:tcPr>
            <w:tcW w:w="1605" w:type="pct"/>
            <w:vAlign w:val="center"/>
          </w:tcPr>
          <w:p w14:paraId="423A012C">
            <w:pPr>
              <w:keepNext w:val="0"/>
              <w:keepLines w:val="0"/>
              <w:suppressLineNumbers w:val="0"/>
              <w:kinsoku w:val="0"/>
              <w:overflowPunct w:val="0"/>
              <w:autoSpaceDE w:val="0"/>
              <w:autoSpaceDN w:val="0"/>
              <w:adjustRightInd w:val="0"/>
              <w:spacing w:before="0" w:beforeAutospacing="0" w:after="0" w:afterAutospacing="0" w:line="243" w:lineRule="exact"/>
              <w:ind w:left="2" w:right="0"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昼间</w:t>
            </w:r>
          </w:p>
        </w:tc>
        <w:tc>
          <w:tcPr>
            <w:tcW w:w="1722" w:type="pct"/>
            <w:vAlign w:val="center"/>
          </w:tcPr>
          <w:p w14:paraId="274E9B0A">
            <w:pPr>
              <w:keepNext w:val="0"/>
              <w:keepLines w:val="0"/>
              <w:suppressLineNumbers w:val="0"/>
              <w:kinsoku w:val="0"/>
              <w:overflowPunct w:val="0"/>
              <w:autoSpaceDE w:val="0"/>
              <w:autoSpaceDN w:val="0"/>
              <w:adjustRightInd w:val="0"/>
              <w:spacing w:before="0" w:beforeAutospacing="0" w:after="0" w:afterAutospacing="0" w:line="243" w:lineRule="exact"/>
              <w:ind w:left="0" w:right="8"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夜间</w:t>
            </w:r>
          </w:p>
        </w:tc>
      </w:tr>
      <w:tr w14:paraId="20E8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2" w:type="pct"/>
            <w:vAlign w:val="center"/>
          </w:tcPr>
          <w:p w14:paraId="4346E783">
            <w:pPr>
              <w:keepNext w:val="0"/>
              <w:keepLines w:val="0"/>
              <w:suppressLineNumbers w:val="0"/>
              <w:kinsoku w:val="0"/>
              <w:overflowPunct w:val="0"/>
              <w:autoSpaceDE w:val="0"/>
              <w:autoSpaceDN w:val="0"/>
              <w:adjustRightInd w:val="0"/>
              <w:spacing w:before="0" w:beforeAutospacing="0" w:after="0" w:afterAutospacing="0" w:line="257" w:lineRule="exact"/>
              <w:ind w:left="20" w:right="0"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Times New Roman" w:cs="Times New Roman"/>
                <w:color w:val="auto"/>
                <w:kern w:val="0"/>
                <w:sz w:val="21"/>
                <w:szCs w:val="20"/>
                <w:highlight w:val="none"/>
              </w:rPr>
              <w:t>2</w:t>
            </w:r>
            <w:r>
              <w:rPr>
                <w:rFonts w:hint="default" w:ascii="Times New Roman" w:hAnsi="Times New Roman" w:eastAsia="宋体" w:cs="Times New Roman"/>
                <w:color w:val="auto"/>
                <w:kern w:val="0"/>
                <w:sz w:val="21"/>
                <w:szCs w:val="20"/>
                <w:highlight w:val="none"/>
              </w:rPr>
              <w:t>类</w:t>
            </w:r>
          </w:p>
        </w:tc>
        <w:tc>
          <w:tcPr>
            <w:tcW w:w="1605" w:type="pct"/>
            <w:vAlign w:val="center"/>
          </w:tcPr>
          <w:p w14:paraId="528AE003">
            <w:pPr>
              <w:keepNext w:val="0"/>
              <w:keepLines w:val="0"/>
              <w:suppressLineNumbers w:val="0"/>
              <w:kinsoku w:val="0"/>
              <w:overflowPunct w:val="0"/>
              <w:autoSpaceDE w:val="0"/>
              <w:autoSpaceDN w:val="0"/>
              <w:adjustRightInd w:val="0"/>
              <w:spacing w:before="15" w:beforeAutospacing="0" w:after="0" w:afterAutospacing="0" w:line="240" w:lineRule="auto"/>
              <w:ind w:left="2" w:right="0"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Times New Roman" w:cs="Times New Roman"/>
                <w:color w:val="auto"/>
                <w:kern w:val="0"/>
                <w:sz w:val="21"/>
                <w:szCs w:val="20"/>
                <w:highlight w:val="none"/>
              </w:rPr>
              <w:t>60</w:t>
            </w:r>
          </w:p>
        </w:tc>
        <w:tc>
          <w:tcPr>
            <w:tcW w:w="1722" w:type="pct"/>
            <w:vAlign w:val="center"/>
          </w:tcPr>
          <w:p w14:paraId="1FC55154">
            <w:pPr>
              <w:keepNext w:val="0"/>
              <w:keepLines w:val="0"/>
              <w:suppressLineNumbers w:val="0"/>
              <w:kinsoku w:val="0"/>
              <w:overflowPunct w:val="0"/>
              <w:autoSpaceDE w:val="0"/>
              <w:autoSpaceDN w:val="0"/>
              <w:adjustRightInd w:val="0"/>
              <w:spacing w:before="15" w:beforeAutospacing="0" w:after="0" w:afterAutospacing="0" w:line="240" w:lineRule="auto"/>
              <w:ind w:left="0" w:right="8"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Times New Roman" w:cs="Times New Roman"/>
                <w:color w:val="auto"/>
                <w:kern w:val="0"/>
                <w:sz w:val="21"/>
                <w:szCs w:val="20"/>
                <w:highlight w:val="none"/>
              </w:rPr>
              <w:t>50</w:t>
            </w:r>
          </w:p>
        </w:tc>
      </w:tr>
    </w:tbl>
    <w:p w14:paraId="5DD35FA0">
      <w:pPr>
        <w:pageBreakBefore w:val="0"/>
        <w:widowControl/>
        <w:kinsoku/>
        <w:wordWrap/>
        <w:overflowPunct/>
        <w:bidi w:val="0"/>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运营期机场</w:t>
      </w:r>
      <w:r>
        <w:rPr>
          <w:rFonts w:hint="eastAsia" w:cs="Times New Roman"/>
          <w:color w:val="auto"/>
          <w:szCs w:val="24"/>
          <w:highlight w:val="none"/>
          <w:lang w:val="en-US" w:eastAsia="zh-CN"/>
        </w:rPr>
        <w:t>周边</w:t>
      </w:r>
      <w:r>
        <w:rPr>
          <w:rFonts w:ascii="Times New Roman" w:hAnsi="Times New Roman" w:eastAsia="宋体" w:cs="Times New Roman"/>
          <w:color w:val="auto"/>
          <w:szCs w:val="24"/>
          <w:highlight w:val="none"/>
        </w:rPr>
        <w:t>区域居民点执行《机场周围飞机噪声环境标准》（GB9660-88）二类区域</w:t>
      </w:r>
      <w:bookmarkStart w:id="134" w:name="1.4.2污染物排放标准"/>
      <w:bookmarkEnd w:id="134"/>
      <w:r>
        <w:rPr>
          <w:rFonts w:ascii="Times New Roman" w:hAnsi="Times New Roman" w:eastAsia="宋体" w:cs="Times New Roman"/>
          <w:color w:val="auto"/>
          <w:szCs w:val="24"/>
          <w:highlight w:val="none"/>
        </w:rPr>
        <w:t>（计权等效连续感觉噪声级</w:t>
      </w:r>
      <w:r>
        <w:rPr>
          <w:rFonts w:ascii="Times New Roman" w:hAnsi="Times New Roman" w:eastAsia="宋体" w:cs="Times New Roman"/>
          <w:i/>
          <w:iCs/>
          <w:color w:val="auto"/>
          <w:szCs w:val="24"/>
          <w:highlight w:val="none"/>
        </w:rPr>
        <w:t>L</w:t>
      </w:r>
      <w:r>
        <w:rPr>
          <w:rFonts w:ascii="Times New Roman" w:hAnsi="Times New Roman" w:eastAsia="宋体" w:cs="Times New Roman"/>
          <w:i/>
          <w:iCs/>
          <w:color w:val="auto"/>
          <w:szCs w:val="24"/>
          <w:highlight w:val="none"/>
          <w:vertAlign w:val="subscript"/>
        </w:rPr>
        <w:t>WECPN</w:t>
      </w:r>
      <w:r>
        <w:rPr>
          <w:rFonts w:ascii="Times New Roman" w:hAnsi="Times New Roman" w:eastAsia="宋体" w:cs="Times New Roman"/>
          <w:color w:val="auto"/>
          <w:szCs w:val="24"/>
          <w:highlight w:val="none"/>
        </w:rPr>
        <w:t>）标准限值。</w:t>
      </w:r>
    </w:p>
    <w:p w14:paraId="69A014EE">
      <w:pPr>
        <w:pageBreakBefore w:val="0"/>
        <w:widowControl w:val="0"/>
        <w:kinsoku/>
        <w:wordWrap/>
        <w:overflowPunct/>
        <w:bidi w:val="0"/>
        <w:spacing w:before="156" w:beforeLines="50" w:after="156" w:afterLines="50" w:line="240" w:lineRule="auto"/>
        <w:ind w:left="0" w:leftChars="0" w:firstLine="0" w:firstLineChars="0"/>
        <w:jc w:val="center"/>
        <w:rPr>
          <w:rFonts w:ascii="Times New Roman" w:hAnsi="Times New Roman" w:eastAsia="黑体" w:cs="Times New Roman"/>
          <w:color w:val="auto"/>
          <w:kern w:val="2"/>
          <w:sz w:val="21"/>
          <w:szCs w:val="18"/>
          <w:highlight w:val="none"/>
          <w:lang w:val="en-US" w:eastAsia="zh-CN" w:bidi="ar-SA"/>
        </w:rPr>
      </w:pPr>
    </w:p>
    <w:p w14:paraId="7097E9C0">
      <w:pPr>
        <w:pageBreakBefore w:val="0"/>
        <w:widowControl w:val="0"/>
        <w:kinsoku/>
        <w:wordWrap/>
        <w:overflowPunct/>
        <w:bidi w:val="0"/>
        <w:spacing w:before="156" w:beforeLines="50" w:after="156" w:afterLines="50" w:line="240" w:lineRule="auto"/>
        <w:ind w:left="0" w:leftChars="0" w:firstLine="0" w:firstLineChars="0"/>
        <w:jc w:val="center"/>
        <w:rPr>
          <w:rFonts w:hint="eastAsia" w:eastAsia="黑体" w:cs="Times New Roman"/>
          <w:color w:val="auto"/>
          <w:kern w:val="2"/>
          <w:sz w:val="21"/>
          <w:szCs w:val="18"/>
          <w:highlight w:val="none"/>
          <w:lang w:val="en-US" w:eastAsia="zh-CN" w:bidi="ar-SA"/>
        </w:rPr>
      </w:pPr>
      <w:r>
        <w:rPr>
          <w:rFonts w:ascii="Times New Roman" w:hAnsi="Times New Roman" w:eastAsia="黑体" w:cs="Times New Roman"/>
          <w:color w:val="auto"/>
          <w:kern w:val="2"/>
          <w:sz w:val="21"/>
          <w:szCs w:val="18"/>
          <w:highlight w:val="none"/>
          <w:lang w:val="en-US" w:eastAsia="zh-CN" w:bidi="ar-SA"/>
        </w:rPr>
        <w:t>表</w:t>
      </w:r>
      <w:r>
        <w:rPr>
          <w:rFonts w:ascii="Times New Roman" w:hAnsi="Times New Roman" w:eastAsia="Times New Roman" w:cs="Times New Roman"/>
          <w:b/>
          <w:color w:val="auto"/>
          <w:kern w:val="2"/>
          <w:sz w:val="21"/>
          <w:szCs w:val="18"/>
          <w:highlight w:val="none"/>
          <w:lang w:val="en-US" w:eastAsia="zh-CN" w:bidi="ar-SA"/>
        </w:rPr>
        <w:t>2.4-</w:t>
      </w:r>
      <w:r>
        <w:rPr>
          <w:rFonts w:hint="eastAsia" w:eastAsia="Times New Roman" w:cs="Times New Roman"/>
          <w:b/>
          <w:color w:val="auto"/>
          <w:kern w:val="2"/>
          <w:sz w:val="21"/>
          <w:szCs w:val="18"/>
          <w:highlight w:val="none"/>
          <w:lang w:val="en-US" w:eastAsia="zh-CN" w:bidi="ar-SA"/>
        </w:rPr>
        <w:t xml:space="preserve">2  </w:t>
      </w:r>
      <w:r>
        <w:rPr>
          <w:rFonts w:ascii="Times New Roman" w:hAnsi="Times New Roman" w:eastAsia="黑体" w:cs="Times New Roman"/>
          <w:color w:val="auto"/>
          <w:kern w:val="2"/>
          <w:sz w:val="21"/>
          <w:szCs w:val="18"/>
          <w:highlight w:val="none"/>
          <w:lang w:val="en-US" w:eastAsia="zh-CN" w:bidi="ar-SA"/>
        </w:rPr>
        <w:t>机场周围飞机噪声环境标准单位：dB</w:t>
      </w:r>
      <w:r>
        <w:rPr>
          <w:rFonts w:hint="eastAsia" w:eastAsia="黑体" w:cs="Times New Roman"/>
          <w:color w:val="auto"/>
          <w:kern w:val="2"/>
          <w:sz w:val="21"/>
          <w:szCs w:val="18"/>
          <w:highlight w:val="none"/>
          <w:lang w:val="en-US" w:eastAsia="zh-CN" w:bidi="ar-SA"/>
        </w:rPr>
        <w:t>（</w:t>
      </w:r>
      <w:r>
        <w:rPr>
          <w:rFonts w:ascii="Times New Roman" w:hAnsi="Times New Roman" w:eastAsia="黑体" w:cs="Times New Roman"/>
          <w:color w:val="auto"/>
          <w:kern w:val="2"/>
          <w:sz w:val="21"/>
          <w:szCs w:val="18"/>
          <w:highlight w:val="none"/>
          <w:lang w:val="en-US" w:eastAsia="zh-CN" w:bidi="ar-SA"/>
        </w:rPr>
        <w:t>A</w:t>
      </w:r>
      <w:r>
        <w:rPr>
          <w:rFonts w:hint="eastAsia" w:eastAsia="黑体" w:cs="Times New Roman"/>
          <w:color w:val="auto"/>
          <w:kern w:val="2"/>
          <w:sz w:val="21"/>
          <w:szCs w:val="18"/>
          <w:highlight w:val="none"/>
          <w:lang w:val="en-US" w:eastAsia="zh-CN" w:bidi="ar-SA"/>
        </w:rPr>
        <w:t>）</w:t>
      </w:r>
    </w:p>
    <w:tbl>
      <w:tblPr>
        <w:tblStyle w:val="40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4"/>
        <w:gridCol w:w="4140"/>
      </w:tblGrid>
      <w:tr w14:paraId="1921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657" w:type="pct"/>
            <w:vAlign w:val="center"/>
          </w:tcPr>
          <w:p w14:paraId="09766EAA">
            <w:pPr>
              <w:keepNext w:val="0"/>
              <w:keepLines w:val="0"/>
              <w:suppressLineNumbers w:val="0"/>
              <w:kinsoku w:val="0"/>
              <w:overflowPunct w:val="0"/>
              <w:autoSpaceDE w:val="0"/>
              <w:autoSpaceDN w:val="0"/>
              <w:adjustRightInd w:val="0"/>
              <w:spacing w:before="0" w:beforeAutospacing="0" w:after="0" w:afterAutospacing="0" w:line="243" w:lineRule="exact"/>
              <w:ind w:left="21" w:right="0"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适用区域</w:t>
            </w:r>
          </w:p>
        </w:tc>
        <w:tc>
          <w:tcPr>
            <w:tcW w:w="2343" w:type="pct"/>
            <w:vAlign w:val="center"/>
          </w:tcPr>
          <w:p w14:paraId="77B9FF15">
            <w:pPr>
              <w:keepNext w:val="0"/>
              <w:keepLines w:val="0"/>
              <w:suppressLineNumbers w:val="0"/>
              <w:kinsoku w:val="0"/>
              <w:overflowPunct w:val="0"/>
              <w:autoSpaceDE w:val="0"/>
              <w:autoSpaceDN w:val="0"/>
              <w:adjustRightInd w:val="0"/>
              <w:spacing w:before="0" w:beforeAutospacing="0" w:after="0" w:afterAutospacing="0" w:line="259" w:lineRule="exact"/>
              <w:ind w:left="0" w:right="6"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最高允许标准值（</w:t>
            </w:r>
            <w:r>
              <w:rPr>
                <w:rFonts w:hint="default" w:ascii="Times New Roman" w:hAnsi="Times New Roman" w:eastAsia="Times New Roman" w:cs="Times New Roman"/>
                <w:color w:val="auto"/>
                <w:kern w:val="0"/>
                <w:sz w:val="21"/>
                <w:szCs w:val="20"/>
                <w:highlight w:val="none"/>
              </w:rPr>
              <w:t>dB</w:t>
            </w:r>
            <w:r>
              <w:rPr>
                <w:rFonts w:hint="default" w:ascii="Times New Roman" w:hAnsi="Times New Roman" w:eastAsia="宋体" w:cs="Times New Roman"/>
                <w:color w:val="auto"/>
                <w:kern w:val="0"/>
                <w:sz w:val="21"/>
                <w:szCs w:val="20"/>
                <w:highlight w:val="none"/>
              </w:rPr>
              <w:t>）</w:t>
            </w:r>
          </w:p>
        </w:tc>
      </w:tr>
      <w:tr w14:paraId="00B2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57" w:type="pct"/>
            <w:vAlign w:val="center"/>
          </w:tcPr>
          <w:p w14:paraId="0E591669">
            <w:pPr>
              <w:keepNext w:val="0"/>
              <w:keepLines w:val="0"/>
              <w:suppressLineNumbers w:val="0"/>
              <w:kinsoku w:val="0"/>
              <w:overflowPunct w:val="0"/>
              <w:autoSpaceDE w:val="0"/>
              <w:autoSpaceDN w:val="0"/>
              <w:adjustRightInd w:val="0"/>
              <w:spacing w:before="0" w:beforeAutospacing="0" w:after="0" w:afterAutospacing="0" w:line="241" w:lineRule="exact"/>
              <w:ind w:left="21" w:right="0"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一类区域（特殊住宅区，居住、文教区）</w:t>
            </w:r>
          </w:p>
        </w:tc>
        <w:tc>
          <w:tcPr>
            <w:tcW w:w="2343" w:type="pct"/>
            <w:vAlign w:val="center"/>
          </w:tcPr>
          <w:p w14:paraId="0F2442EC">
            <w:pPr>
              <w:keepNext w:val="0"/>
              <w:keepLines w:val="0"/>
              <w:suppressLineNumbers w:val="0"/>
              <w:kinsoku w:val="0"/>
              <w:overflowPunct w:val="0"/>
              <w:autoSpaceDE w:val="0"/>
              <w:autoSpaceDN w:val="0"/>
              <w:adjustRightInd w:val="0"/>
              <w:spacing w:before="0" w:beforeAutospacing="0" w:after="0" w:afterAutospacing="0" w:line="257" w:lineRule="exact"/>
              <w:ind w:left="0" w:right="2"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w:t>
            </w:r>
            <w:r>
              <w:rPr>
                <w:rFonts w:hint="default" w:ascii="Times New Roman" w:hAnsi="Times New Roman" w:eastAsia="Times New Roman" w:cs="Times New Roman"/>
                <w:color w:val="auto"/>
                <w:kern w:val="0"/>
                <w:sz w:val="21"/>
                <w:szCs w:val="20"/>
                <w:highlight w:val="none"/>
              </w:rPr>
              <w:t>70</w:t>
            </w:r>
          </w:p>
        </w:tc>
      </w:tr>
      <w:tr w14:paraId="1967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57" w:type="pct"/>
            <w:vAlign w:val="center"/>
          </w:tcPr>
          <w:p w14:paraId="3C8112D8">
            <w:pPr>
              <w:keepNext w:val="0"/>
              <w:keepLines w:val="0"/>
              <w:suppressLineNumbers w:val="0"/>
              <w:kinsoku w:val="0"/>
              <w:overflowPunct w:val="0"/>
              <w:autoSpaceDE w:val="0"/>
              <w:autoSpaceDN w:val="0"/>
              <w:adjustRightInd w:val="0"/>
              <w:spacing w:before="0" w:beforeAutospacing="0" w:after="0" w:afterAutospacing="0" w:line="241" w:lineRule="exact"/>
              <w:ind w:left="21" w:right="0"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二类区域（除一类区域以外的生活区）</w:t>
            </w:r>
          </w:p>
        </w:tc>
        <w:tc>
          <w:tcPr>
            <w:tcW w:w="2343" w:type="pct"/>
            <w:vAlign w:val="center"/>
          </w:tcPr>
          <w:p w14:paraId="0DB65E0B">
            <w:pPr>
              <w:keepNext w:val="0"/>
              <w:keepLines w:val="0"/>
              <w:suppressLineNumbers w:val="0"/>
              <w:kinsoku w:val="0"/>
              <w:overflowPunct w:val="0"/>
              <w:autoSpaceDE w:val="0"/>
              <w:autoSpaceDN w:val="0"/>
              <w:adjustRightInd w:val="0"/>
              <w:spacing w:before="0" w:beforeAutospacing="0" w:after="0" w:afterAutospacing="0" w:line="257" w:lineRule="exact"/>
              <w:ind w:left="0" w:right="2"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w:t>
            </w:r>
            <w:r>
              <w:rPr>
                <w:rFonts w:hint="default" w:ascii="Times New Roman" w:hAnsi="Times New Roman" w:eastAsia="Times New Roman" w:cs="Times New Roman"/>
                <w:color w:val="auto"/>
                <w:kern w:val="0"/>
                <w:sz w:val="21"/>
                <w:szCs w:val="20"/>
                <w:highlight w:val="none"/>
              </w:rPr>
              <w:t>75</w:t>
            </w:r>
          </w:p>
        </w:tc>
      </w:tr>
    </w:tbl>
    <w:p w14:paraId="3B7435ED">
      <w:pPr>
        <w:pageBreakBefore w:val="0"/>
        <w:widowControl/>
        <w:numPr>
          <w:ilvl w:val="0"/>
          <w:numId w:val="0"/>
        </w:numPr>
        <w:kinsoku/>
        <w:wordWrap/>
        <w:overflowPunct/>
        <w:bidi w:val="0"/>
        <w:ind w:leftChars="200"/>
        <w:jc w:val="both"/>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lang w:eastAsia="zh-CN"/>
        </w:rPr>
        <w:t>（</w:t>
      </w:r>
      <w:r>
        <w:rPr>
          <w:rFonts w:hint="eastAsia" w:ascii="Times New Roman" w:hAnsi="Times New Roman" w:eastAsia="宋体" w:cs="Times New Roman"/>
          <w:b/>
          <w:bCs/>
          <w:color w:val="auto"/>
          <w:szCs w:val="21"/>
          <w:highlight w:val="none"/>
          <w:lang w:val="en-US" w:eastAsia="zh-CN"/>
        </w:rPr>
        <w:t>2</w:t>
      </w:r>
      <w:r>
        <w:rPr>
          <w:rFonts w:hint="eastAsia" w:ascii="Times New Roman" w:hAnsi="Times New Roman" w:eastAsia="宋体" w:cs="Times New Roman"/>
          <w:b/>
          <w:bCs/>
          <w:color w:val="auto"/>
          <w:szCs w:val="21"/>
          <w:highlight w:val="none"/>
          <w:lang w:eastAsia="zh-CN"/>
        </w:rPr>
        <w:t>）</w:t>
      </w:r>
      <w:r>
        <w:rPr>
          <w:rFonts w:ascii="Times New Roman" w:hAnsi="Times New Roman" w:eastAsia="宋体" w:cs="Times New Roman"/>
          <w:b/>
          <w:bCs/>
          <w:color w:val="auto"/>
          <w:szCs w:val="21"/>
          <w:highlight w:val="none"/>
        </w:rPr>
        <w:t>大气环境质量标准</w:t>
      </w:r>
    </w:p>
    <w:p w14:paraId="3C086178">
      <w:pPr>
        <w:pageBreakBefore w:val="0"/>
        <w:widowControl/>
        <w:kinsoku/>
        <w:wordWrap/>
        <w:overflowPunct/>
        <w:bidi w:val="0"/>
        <w:spacing w:after="15" w:line="381" w:lineRule="auto"/>
        <w:ind w:left="-15" w:right="8" w:firstLine="480"/>
        <w:jc w:val="both"/>
        <w:rPr>
          <w:rFonts w:ascii="Times New Roman" w:hAnsi="Times New Roman" w:eastAsia="宋体" w:cs="Times New Roman"/>
          <w:color w:val="auto"/>
          <w:szCs w:val="21"/>
          <w:highlight w:val="none"/>
        </w:rPr>
      </w:pPr>
      <w:r>
        <w:rPr>
          <w:rFonts w:hint="eastAsia" w:ascii="Times New Roman" w:eastAsia="宋体"/>
          <w:color w:val="auto"/>
          <w:highlight w:val="none"/>
          <w:lang w:val="en-US" w:eastAsia="zh-CN"/>
        </w:rPr>
        <w:t>本项目</w:t>
      </w:r>
      <w:r>
        <w:rPr>
          <w:rFonts w:hint="eastAsia"/>
          <w:color w:val="auto"/>
          <w:highlight w:val="none"/>
        </w:rPr>
        <w:t>场址区为农村地区，评价区大气常规污染物（SO</w:t>
      </w:r>
      <w:r>
        <w:rPr>
          <w:rFonts w:hint="eastAsia"/>
          <w:color w:val="auto"/>
          <w:highlight w:val="none"/>
          <w:vertAlign w:val="subscript"/>
        </w:rPr>
        <w:t>2</w:t>
      </w:r>
      <w:r>
        <w:rPr>
          <w:rFonts w:hint="eastAsia"/>
          <w:color w:val="auto"/>
          <w:highlight w:val="none"/>
        </w:rPr>
        <w:t>、NO</w:t>
      </w:r>
      <w:r>
        <w:rPr>
          <w:rFonts w:hint="eastAsia"/>
          <w:color w:val="auto"/>
          <w:highlight w:val="none"/>
          <w:vertAlign w:val="subscript"/>
        </w:rPr>
        <w:t>2</w:t>
      </w:r>
      <w:r>
        <w:rPr>
          <w:rFonts w:hint="eastAsia"/>
          <w:color w:val="auto"/>
          <w:highlight w:val="none"/>
        </w:rPr>
        <w:t>、CO、O</w:t>
      </w:r>
      <w:r>
        <w:rPr>
          <w:rFonts w:hint="eastAsia"/>
          <w:color w:val="auto"/>
          <w:highlight w:val="none"/>
          <w:vertAlign w:val="subscript"/>
        </w:rPr>
        <w:t>3</w:t>
      </w:r>
      <w:r>
        <w:rPr>
          <w:rFonts w:hint="eastAsia"/>
          <w:color w:val="auto"/>
          <w:highlight w:val="none"/>
        </w:rPr>
        <w:t>、PM</w:t>
      </w:r>
      <w:r>
        <w:rPr>
          <w:rFonts w:hint="eastAsia"/>
          <w:color w:val="auto"/>
          <w:highlight w:val="none"/>
          <w:vertAlign w:val="subscript"/>
        </w:rPr>
        <w:t>10</w:t>
      </w:r>
      <w:r>
        <w:rPr>
          <w:rFonts w:hint="eastAsia"/>
          <w:color w:val="auto"/>
          <w:highlight w:val="none"/>
        </w:rPr>
        <w:t>、PM</w:t>
      </w:r>
      <w:r>
        <w:rPr>
          <w:rFonts w:hint="eastAsia"/>
          <w:color w:val="auto"/>
          <w:highlight w:val="none"/>
          <w:vertAlign w:val="subscript"/>
        </w:rPr>
        <w:t>2.5</w:t>
      </w:r>
      <w:r>
        <w:rPr>
          <w:rFonts w:hint="eastAsia"/>
          <w:color w:val="auto"/>
          <w:highlight w:val="none"/>
        </w:rPr>
        <w:t>）执行</w:t>
      </w:r>
      <w:r>
        <w:rPr>
          <w:rFonts w:ascii="Times New Roman" w:hAnsi="Times New Roman" w:eastAsia="宋体" w:cs="Times New Roman"/>
          <w:color w:val="auto"/>
          <w:szCs w:val="21"/>
          <w:highlight w:val="none"/>
        </w:rPr>
        <w:t>《环境空气质量标准》（</w:t>
      </w:r>
      <w:r>
        <w:rPr>
          <w:rFonts w:ascii="Times New Roman" w:hAnsi="Times New Roman" w:eastAsia="Times New Roman" w:cs="Times New Roman"/>
          <w:color w:val="auto"/>
          <w:szCs w:val="21"/>
          <w:highlight w:val="none"/>
        </w:rPr>
        <w:t>GB30952012</w:t>
      </w:r>
      <w:r>
        <w:rPr>
          <w:rFonts w:ascii="Times New Roman" w:hAnsi="Times New Roman" w:eastAsia="宋体" w:cs="Times New Roman"/>
          <w:color w:val="auto"/>
          <w:szCs w:val="21"/>
          <w:highlight w:val="none"/>
        </w:rPr>
        <w:t>）及其修改单中二级标准</w:t>
      </w:r>
      <w:r>
        <w:rPr>
          <w:rFonts w:hint="eastAsia" w:cs="Times New Roman"/>
          <w:color w:val="auto"/>
          <w:szCs w:val="21"/>
          <w:highlight w:val="none"/>
          <w:lang w:eastAsia="zh-CN"/>
        </w:rPr>
        <w:t>；</w:t>
      </w:r>
      <w:r>
        <w:rPr>
          <w:color w:val="auto"/>
          <w:kern w:val="0"/>
          <w:highlight w:val="none"/>
        </w:rPr>
        <w:t>NMHC参考《大气污染物综合排放标准</w:t>
      </w:r>
      <w:r>
        <w:rPr>
          <w:rFonts w:hint="eastAsia"/>
          <w:color w:val="auto"/>
          <w:kern w:val="0"/>
          <w:highlight w:val="none"/>
        </w:rPr>
        <w:t>详解</w:t>
      </w:r>
      <w:r>
        <w:rPr>
          <w:color w:val="auto"/>
          <w:kern w:val="0"/>
          <w:highlight w:val="none"/>
        </w:rPr>
        <w:t>》中无组织排放监控浓度限值</w:t>
      </w:r>
      <w:r>
        <w:rPr>
          <w:rFonts w:hint="eastAsia"/>
          <w:color w:val="auto"/>
          <w:kern w:val="0"/>
          <w:highlight w:val="none"/>
        </w:rPr>
        <w:t>，</w:t>
      </w:r>
      <w:r>
        <w:rPr>
          <w:color w:val="auto"/>
          <w:highlight w:val="none"/>
        </w:rPr>
        <w:t>H</w:t>
      </w:r>
      <w:r>
        <w:rPr>
          <w:color w:val="auto"/>
          <w:highlight w:val="none"/>
          <w:vertAlign w:val="subscript"/>
        </w:rPr>
        <w:t>2</w:t>
      </w:r>
      <w:r>
        <w:rPr>
          <w:color w:val="auto"/>
          <w:highlight w:val="none"/>
        </w:rPr>
        <w:t>S、NH</w:t>
      </w:r>
      <w:r>
        <w:rPr>
          <w:color w:val="auto"/>
          <w:highlight w:val="none"/>
          <w:vertAlign w:val="subscript"/>
        </w:rPr>
        <w:t>3</w:t>
      </w:r>
      <w:r>
        <w:rPr>
          <w:color w:val="auto"/>
          <w:highlight w:val="none"/>
        </w:rPr>
        <w:t>参照执行《环境影响评价技术导则 大气环境》（HJ2.2-2018）附录 D中标准</w:t>
      </w:r>
      <w:r>
        <w:rPr>
          <w:rFonts w:hint="eastAsia"/>
          <w:color w:val="auto"/>
          <w:highlight w:val="none"/>
        </w:rPr>
        <w:t>，</w:t>
      </w:r>
      <w:r>
        <w:rPr>
          <w:rFonts w:ascii="Times New Roman" w:hAnsi="Times New Roman" w:eastAsia="宋体" w:cs="Times New Roman"/>
          <w:color w:val="auto"/>
          <w:szCs w:val="21"/>
          <w:highlight w:val="none"/>
        </w:rPr>
        <w:t>标准限值见表</w:t>
      </w:r>
      <w:r>
        <w:rPr>
          <w:rFonts w:ascii="Times New Roman" w:hAnsi="Times New Roman" w:eastAsia="Times New Roman" w:cs="Times New Roman"/>
          <w:color w:val="auto"/>
          <w:szCs w:val="21"/>
          <w:highlight w:val="none"/>
        </w:rPr>
        <w:t>2.4-</w:t>
      </w:r>
      <w:r>
        <w:rPr>
          <w:rFonts w:hint="eastAsia" w:eastAsia="宋体" w:cs="Times New Roman"/>
          <w:color w:val="auto"/>
          <w:szCs w:val="21"/>
          <w:highlight w:val="none"/>
          <w:lang w:val="en-US" w:eastAsia="zh-CN"/>
        </w:rPr>
        <w:t>3</w:t>
      </w:r>
      <w:r>
        <w:rPr>
          <w:rFonts w:ascii="Times New Roman" w:hAnsi="Times New Roman" w:eastAsia="宋体" w:cs="Times New Roman"/>
          <w:color w:val="auto"/>
          <w:szCs w:val="21"/>
          <w:highlight w:val="none"/>
        </w:rPr>
        <w:t>。</w:t>
      </w:r>
    </w:p>
    <w:p w14:paraId="38DDF26F">
      <w:pPr>
        <w:pageBreakBefore w:val="0"/>
        <w:widowControl w:val="0"/>
        <w:kinsoku/>
        <w:wordWrap/>
        <w:overflowPunct/>
        <w:bidi w:val="0"/>
        <w:spacing w:before="156" w:beforeLines="50" w:after="156" w:afterLines="50" w:line="240" w:lineRule="auto"/>
        <w:ind w:left="0" w:leftChars="0" w:firstLine="0" w:firstLineChars="0"/>
        <w:jc w:val="center"/>
        <w:rPr>
          <w:rFonts w:ascii="Times New Roman" w:hAnsi="Times New Roman" w:eastAsia="黑体" w:cs="Times New Roman"/>
          <w:color w:val="auto"/>
          <w:kern w:val="2"/>
          <w:sz w:val="21"/>
          <w:szCs w:val="18"/>
          <w:highlight w:val="none"/>
          <w:lang w:val="en-US" w:eastAsia="zh-CN" w:bidi="ar-SA"/>
        </w:rPr>
      </w:pPr>
      <w:r>
        <w:rPr>
          <w:rFonts w:ascii="Times New Roman" w:hAnsi="Times New Roman" w:eastAsia="黑体" w:cs="Times New Roman"/>
          <w:color w:val="auto"/>
          <w:kern w:val="2"/>
          <w:sz w:val="21"/>
          <w:szCs w:val="18"/>
          <w:highlight w:val="none"/>
          <w:lang w:val="en-US" w:eastAsia="zh-CN" w:bidi="ar-SA"/>
        </w:rPr>
        <w:t>表</w:t>
      </w:r>
      <w:r>
        <w:rPr>
          <w:rFonts w:ascii="Times New Roman" w:hAnsi="Times New Roman" w:eastAsia="Times New Roman" w:cs="Times New Roman"/>
          <w:b/>
          <w:color w:val="auto"/>
          <w:kern w:val="2"/>
          <w:sz w:val="21"/>
          <w:szCs w:val="18"/>
          <w:highlight w:val="none"/>
          <w:lang w:val="en-US" w:eastAsia="zh-CN" w:bidi="ar-SA"/>
        </w:rPr>
        <w:t>2.4-</w:t>
      </w:r>
      <w:r>
        <w:rPr>
          <w:rFonts w:hint="eastAsia" w:eastAsia="Times New Roman" w:cs="Times New Roman"/>
          <w:b/>
          <w:color w:val="auto"/>
          <w:kern w:val="2"/>
          <w:sz w:val="21"/>
          <w:szCs w:val="18"/>
          <w:highlight w:val="none"/>
          <w:lang w:val="en-US" w:eastAsia="zh-CN" w:bidi="ar-SA"/>
        </w:rPr>
        <w:t xml:space="preserve">3  </w:t>
      </w:r>
      <w:r>
        <w:rPr>
          <w:rFonts w:ascii="Times New Roman" w:hAnsi="Times New Roman" w:eastAsia="黑体" w:cs="Times New Roman"/>
          <w:color w:val="auto"/>
          <w:kern w:val="2"/>
          <w:sz w:val="21"/>
          <w:szCs w:val="18"/>
          <w:highlight w:val="none"/>
          <w:lang w:val="en-US" w:eastAsia="zh-CN" w:bidi="ar-SA"/>
        </w:rPr>
        <w:t>环境空气质量标准限值</w:t>
      </w:r>
    </w:p>
    <w:tbl>
      <w:tblPr>
        <w:tblStyle w:val="40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2415"/>
        <w:gridCol w:w="1509"/>
        <w:gridCol w:w="3254"/>
      </w:tblGrid>
      <w:tr w14:paraId="0801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6" w:type="pct"/>
            <w:vAlign w:val="center"/>
          </w:tcPr>
          <w:p w14:paraId="306A3EDF">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污染物</w:t>
            </w:r>
          </w:p>
        </w:tc>
        <w:tc>
          <w:tcPr>
            <w:tcW w:w="1367" w:type="pct"/>
            <w:vAlign w:val="center"/>
          </w:tcPr>
          <w:p w14:paraId="16D01B44">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取值时间</w:t>
            </w:r>
          </w:p>
        </w:tc>
        <w:tc>
          <w:tcPr>
            <w:tcW w:w="854" w:type="pct"/>
            <w:vAlign w:val="center"/>
          </w:tcPr>
          <w:p w14:paraId="7A3C81E7">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浓度限值</w:t>
            </w:r>
          </w:p>
          <w:p w14:paraId="63BFBB20">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w:t>
            </w:r>
            <w:r>
              <w:rPr>
                <w:rFonts w:hint="default" w:ascii="Times New Roman" w:hAnsi="Times New Roman" w:eastAsia="宋体" w:cs="Times New Roman"/>
                <w:color w:val="auto"/>
                <w:kern w:val="0"/>
                <w:sz w:val="21"/>
                <w:szCs w:val="21"/>
                <w:highlight w:val="none"/>
                <w:lang w:val="en-US" w:eastAsia="zh-CN" w:bidi="ar-SA"/>
              </w:rPr>
              <w:t>μg/m³</w:t>
            </w:r>
            <w:r>
              <w:rPr>
                <w:rFonts w:hint="eastAsia" w:cs="Times New Roman"/>
                <w:color w:val="auto"/>
                <w:kern w:val="0"/>
                <w:sz w:val="21"/>
                <w:szCs w:val="21"/>
                <w:highlight w:val="none"/>
                <w:lang w:val="en-US" w:eastAsia="zh-CN" w:bidi="ar-SA"/>
              </w:rPr>
              <w:t>)</w:t>
            </w:r>
          </w:p>
        </w:tc>
        <w:tc>
          <w:tcPr>
            <w:tcW w:w="1842" w:type="pct"/>
            <w:vAlign w:val="center"/>
          </w:tcPr>
          <w:p w14:paraId="26FC6C9D">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标准来源</w:t>
            </w:r>
          </w:p>
        </w:tc>
      </w:tr>
      <w:tr w14:paraId="7FB0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6" w:type="pct"/>
            <w:vMerge w:val="restart"/>
            <w:vAlign w:val="center"/>
          </w:tcPr>
          <w:p w14:paraId="1409CBFF">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S0</w:t>
            </w:r>
            <w:r>
              <w:rPr>
                <w:rFonts w:hint="default" w:ascii="Times New Roman" w:hAnsi="Times New Roman" w:cs="Times New Roman" w:eastAsiaTheme="minorEastAsia"/>
                <w:color w:val="auto"/>
                <w:kern w:val="0"/>
                <w:sz w:val="21"/>
                <w:szCs w:val="21"/>
                <w:highlight w:val="none"/>
                <w:vertAlign w:val="subscript"/>
                <w:lang w:val="en-US" w:eastAsia="zh-CN" w:bidi="ar-SA"/>
              </w:rPr>
              <w:t>2</w:t>
            </w:r>
          </w:p>
        </w:tc>
        <w:tc>
          <w:tcPr>
            <w:tcW w:w="1367" w:type="pct"/>
            <w:vAlign w:val="center"/>
          </w:tcPr>
          <w:p w14:paraId="75B88A5B">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年平均</w:t>
            </w:r>
          </w:p>
        </w:tc>
        <w:tc>
          <w:tcPr>
            <w:tcW w:w="854" w:type="pct"/>
            <w:vAlign w:val="center"/>
          </w:tcPr>
          <w:p w14:paraId="16F819AA">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60</w:t>
            </w:r>
          </w:p>
        </w:tc>
        <w:tc>
          <w:tcPr>
            <w:tcW w:w="1842" w:type="pct"/>
            <w:vMerge w:val="restart"/>
            <w:vAlign w:val="center"/>
          </w:tcPr>
          <w:p w14:paraId="297E5032">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《环境空气质量标准》（GB3095-2012）二级标准</w:t>
            </w:r>
          </w:p>
        </w:tc>
      </w:tr>
      <w:tr w14:paraId="5F1D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6" w:type="pct"/>
            <w:vMerge w:val="continue"/>
            <w:vAlign w:val="center"/>
          </w:tcPr>
          <w:p w14:paraId="37E0279A">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c>
          <w:tcPr>
            <w:tcW w:w="1367" w:type="pct"/>
            <w:vAlign w:val="center"/>
          </w:tcPr>
          <w:p w14:paraId="257C8CAD">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24小时平均</w:t>
            </w:r>
          </w:p>
        </w:tc>
        <w:tc>
          <w:tcPr>
            <w:tcW w:w="854" w:type="pct"/>
            <w:vAlign w:val="center"/>
          </w:tcPr>
          <w:p w14:paraId="1AF79343">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150</w:t>
            </w:r>
          </w:p>
        </w:tc>
        <w:tc>
          <w:tcPr>
            <w:tcW w:w="1842" w:type="pct"/>
            <w:vMerge w:val="continue"/>
            <w:vAlign w:val="center"/>
          </w:tcPr>
          <w:p w14:paraId="157572D5">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r>
      <w:tr w14:paraId="1FD4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6" w:type="pct"/>
            <w:vMerge w:val="continue"/>
            <w:vAlign w:val="center"/>
          </w:tcPr>
          <w:p w14:paraId="5E6AD185">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c>
          <w:tcPr>
            <w:tcW w:w="1367" w:type="pct"/>
            <w:vAlign w:val="center"/>
          </w:tcPr>
          <w:p w14:paraId="5588312D">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1小时平均</w:t>
            </w:r>
          </w:p>
        </w:tc>
        <w:tc>
          <w:tcPr>
            <w:tcW w:w="854" w:type="pct"/>
            <w:vAlign w:val="center"/>
          </w:tcPr>
          <w:p w14:paraId="09256DBD">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500</w:t>
            </w:r>
          </w:p>
        </w:tc>
        <w:tc>
          <w:tcPr>
            <w:tcW w:w="1842" w:type="pct"/>
            <w:vMerge w:val="continue"/>
            <w:vAlign w:val="center"/>
          </w:tcPr>
          <w:p w14:paraId="08B8E1D8">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r>
      <w:tr w14:paraId="5555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6" w:type="pct"/>
            <w:vMerge w:val="restart"/>
            <w:vAlign w:val="center"/>
          </w:tcPr>
          <w:p w14:paraId="7B0F1845">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PM</w:t>
            </w:r>
            <w:r>
              <w:rPr>
                <w:rFonts w:hint="default" w:ascii="Times New Roman" w:hAnsi="Times New Roman" w:cs="Times New Roman" w:eastAsiaTheme="minorEastAsia"/>
                <w:color w:val="auto"/>
                <w:kern w:val="0"/>
                <w:sz w:val="21"/>
                <w:szCs w:val="21"/>
                <w:highlight w:val="none"/>
                <w:vertAlign w:val="subscript"/>
                <w:lang w:val="en-US" w:eastAsia="zh-CN" w:bidi="ar-SA"/>
              </w:rPr>
              <w:t>10</w:t>
            </w:r>
          </w:p>
        </w:tc>
        <w:tc>
          <w:tcPr>
            <w:tcW w:w="1367" w:type="pct"/>
            <w:vAlign w:val="center"/>
          </w:tcPr>
          <w:p w14:paraId="72B34678">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年平均</w:t>
            </w:r>
          </w:p>
        </w:tc>
        <w:tc>
          <w:tcPr>
            <w:tcW w:w="854" w:type="pct"/>
            <w:vAlign w:val="center"/>
          </w:tcPr>
          <w:p w14:paraId="3150FD8A">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70</w:t>
            </w:r>
          </w:p>
        </w:tc>
        <w:tc>
          <w:tcPr>
            <w:tcW w:w="1842" w:type="pct"/>
            <w:vMerge w:val="continue"/>
            <w:vAlign w:val="center"/>
          </w:tcPr>
          <w:p w14:paraId="57D888BF">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r>
      <w:tr w14:paraId="38F4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6" w:type="pct"/>
            <w:vMerge w:val="continue"/>
            <w:vAlign w:val="center"/>
          </w:tcPr>
          <w:p w14:paraId="3F5894A0">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c>
          <w:tcPr>
            <w:tcW w:w="1367" w:type="pct"/>
            <w:vAlign w:val="center"/>
          </w:tcPr>
          <w:p w14:paraId="7FF7B1EC">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24小时平均</w:t>
            </w:r>
          </w:p>
        </w:tc>
        <w:tc>
          <w:tcPr>
            <w:tcW w:w="854" w:type="pct"/>
            <w:vAlign w:val="center"/>
          </w:tcPr>
          <w:p w14:paraId="648BC506">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150</w:t>
            </w:r>
          </w:p>
        </w:tc>
        <w:tc>
          <w:tcPr>
            <w:tcW w:w="1842" w:type="pct"/>
            <w:vMerge w:val="continue"/>
            <w:vAlign w:val="center"/>
          </w:tcPr>
          <w:p w14:paraId="12843417">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r>
      <w:tr w14:paraId="7EC6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6" w:type="pct"/>
            <w:vMerge w:val="restart"/>
            <w:vAlign w:val="center"/>
          </w:tcPr>
          <w:p w14:paraId="1C3DC449">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PM</w:t>
            </w:r>
            <w:r>
              <w:rPr>
                <w:rFonts w:hint="default" w:ascii="Times New Roman" w:hAnsi="Times New Roman" w:cs="Times New Roman" w:eastAsiaTheme="minorEastAsia"/>
                <w:color w:val="auto"/>
                <w:kern w:val="0"/>
                <w:sz w:val="21"/>
                <w:szCs w:val="21"/>
                <w:highlight w:val="none"/>
                <w:vertAlign w:val="subscript"/>
                <w:lang w:val="en-US" w:eastAsia="zh-CN" w:bidi="ar-SA"/>
              </w:rPr>
              <w:t>2.5</w:t>
            </w:r>
          </w:p>
        </w:tc>
        <w:tc>
          <w:tcPr>
            <w:tcW w:w="1367" w:type="pct"/>
            <w:vAlign w:val="center"/>
          </w:tcPr>
          <w:p w14:paraId="0771C364">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年平均</w:t>
            </w:r>
          </w:p>
        </w:tc>
        <w:tc>
          <w:tcPr>
            <w:tcW w:w="854" w:type="pct"/>
            <w:vAlign w:val="center"/>
          </w:tcPr>
          <w:p w14:paraId="1C823F08">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35</w:t>
            </w:r>
          </w:p>
        </w:tc>
        <w:tc>
          <w:tcPr>
            <w:tcW w:w="1842" w:type="pct"/>
            <w:vMerge w:val="continue"/>
            <w:vAlign w:val="center"/>
          </w:tcPr>
          <w:p w14:paraId="3FAC4C0A">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r>
      <w:tr w14:paraId="7CE5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6" w:type="pct"/>
            <w:vMerge w:val="continue"/>
            <w:vAlign w:val="center"/>
          </w:tcPr>
          <w:p w14:paraId="39E3CE59">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c>
          <w:tcPr>
            <w:tcW w:w="1367" w:type="pct"/>
            <w:vAlign w:val="center"/>
          </w:tcPr>
          <w:p w14:paraId="292ACBAC">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24小时平均</w:t>
            </w:r>
          </w:p>
        </w:tc>
        <w:tc>
          <w:tcPr>
            <w:tcW w:w="854" w:type="pct"/>
            <w:vAlign w:val="center"/>
          </w:tcPr>
          <w:p w14:paraId="46E58B28">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75</w:t>
            </w:r>
          </w:p>
        </w:tc>
        <w:tc>
          <w:tcPr>
            <w:tcW w:w="1842" w:type="pct"/>
            <w:vMerge w:val="continue"/>
            <w:vAlign w:val="center"/>
          </w:tcPr>
          <w:p w14:paraId="38B7A40D">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r>
      <w:tr w14:paraId="1EC0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6" w:type="pct"/>
            <w:vMerge w:val="restart"/>
            <w:vAlign w:val="center"/>
          </w:tcPr>
          <w:p w14:paraId="4C79A551">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CO</w:t>
            </w:r>
          </w:p>
        </w:tc>
        <w:tc>
          <w:tcPr>
            <w:tcW w:w="1367" w:type="pct"/>
            <w:vAlign w:val="center"/>
          </w:tcPr>
          <w:p w14:paraId="51AB8128">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24小时平均</w:t>
            </w:r>
          </w:p>
        </w:tc>
        <w:tc>
          <w:tcPr>
            <w:tcW w:w="854" w:type="pct"/>
            <w:vAlign w:val="center"/>
          </w:tcPr>
          <w:p w14:paraId="2873DB19">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4000</w:t>
            </w:r>
          </w:p>
        </w:tc>
        <w:tc>
          <w:tcPr>
            <w:tcW w:w="1842" w:type="pct"/>
            <w:vMerge w:val="continue"/>
            <w:vAlign w:val="center"/>
          </w:tcPr>
          <w:p w14:paraId="03A033CE">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r>
      <w:tr w14:paraId="4386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6" w:type="pct"/>
            <w:vMerge w:val="continue"/>
            <w:vAlign w:val="center"/>
          </w:tcPr>
          <w:p w14:paraId="65FA3293">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c>
          <w:tcPr>
            <w:tcW w:w="1367" w:type="pct"/>
            <w:vAlign w:val="center"/>
          </w:tcPr>
          <w:p w14:paraId="2BEAC68D">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1小时平均</w:t>
            </w:r>
          </w:p>
        </w:tc>
        <w:tc>
          <w:tcPr>
            <w:tcW w:w="854" w:type="pct"/>
            <w:vAlign w:val="center"/>
          </w:tcPr>
          <w:p w14:paraId="58204C40">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10000</w:t>
            </w:r>
          </w:p>
        </w:tc>
        <w:tc>
          <w:tcPr>
            <w:tcW w:w="1842" w:type="pct"/>
            <w:vMerge w:val="continue"/>
            <w:vAlign w:val="center"/>
          </w:tcPr>
          <w:p w14:paraId="50FA3148">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r>
      <w:tr w14:paraId="0398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6" w:type="pct"/>
            <w:vMerge w:val="restart"/>
            <w:vAlign w:val="center"/>
          </w:tcPr>
          <w:p w14:paraId="6207A2FB">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NO</w:t>
            </w:r>
            <w:r>
              <w:rPr>
                <w:rFonts w:hint="default" w:ascii="Times New Roman" w:hAnsi="Times New Roman" w:cs="Times New Roman" w:eastAsiaTheme="minorEastAsia"/>
                <w:color w:val="auto"/>
                <w:kern w:val="0"/>
                <w:sz w:val="21"/>
                <w:szCs w:val="21"/>
                <w:highlight w:val="none"/>
                <w:vertAlign w:val="subscript"/>
                <w:lang w:val="en-US" w:eastAsia="zh-CN" w:bidi="ar-SA"/>
              </w:rPr>
              <w:t>2</w:t>
            </w:r>
          </w:p>
        </w:tc>
        <w:tc>
          <w:tcPr>
            <w:tcW w:w="1367" w:type="pct"/>
            <w:vAlign w:val="center"/>
          </w:tcPr>
          <w:p w14:paraId="29BBFE5C">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年平均</w:t>
            </w:r>
          </w:p>
        </w:tc>
        <w:tc>
          <w:tcPr>
            <w:tcW w:w="854" w:type="pct"/>
            <w:vAlign w:val="center"/>
          </w:tcPr>
          <w:p w14:paraId="4810F64D">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40</w:t>
            </w:r>
          </w:p>
        </w:tc>
        <w:tc>
          <w:tcPr>
            <w:tcW w:w="1842" w:type="pct"/>
            <w:vMerge w:val="continue"/>
            <w:vAlign w:val="center"/>
          </w:tcPr>
          <w:p w14:paraId="692E48D2">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r>
      <w:tr w14:paraId="33E0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6" w:type="pct"/>
            <w:vMerge w:val="continue"/>
            <w:vAlign w:val="center"/>
          </w:tcPr>
          <w:p w14:paraId="635304FD">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c>
          <w:tcPr>
            <w:tcW w:w="1367" w:type="pct"/>
            <w:vAlign w:val="center"/>
          </w:tcPr>
          <w:p w14:paraId="53D42E33">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24小时平均</w:t>
            </w:r>
          </w:p>
        </w:tc>
        <w:tc>
          <w:tcPr>
            <w:tcW w:w="854" w:type="pct"/>
            <w:vAlign w:val="center"/>
          </w:tcPr>
          <w:p w14:paraId="5087D2DF">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80</w:t>
            </w:r>
          </w:p>
        </w:tc>
        <w:tc>
          <w:tcPr>
            <w:tcW w:w="1842" w:type="pct"/>
            <w:vMerge w:val="continue"/>
            <w:vAlign w:val="center"/>
          </w:tcPr>
          <w:p w14:paraId="4CDB61AD">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r>
      <w:tr w14:paraId="1A4E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6" w:type="pct"/>
            <w:vMerge w:val="continue"/>
            <w:vAlign w:val="center"/>
          </w:tcPr>
          <w:p w14:paraId="57112479">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c>
          <w:tcPr>
            <w:tcW w:w="1367" w:type="pct"/>
            <w:vAlign w:val="center"/>
          </w:tcPr>
          <w:p w14:paraId="0DC65AB2">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1小时平均</w:t>
            </w:r>
          </w:p>
        </w:tc>
        <w:tc>
          <w:tcPr>
            <w:tcW w:w="854" w:type="pct"/>
            <w:vAlign w:val="center"/>
          </w:tcPr>
          <w:p w14:paraId="05537F43">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200</w:t>
            </w:r>
          </w:p>
        </w:tc>
        <w:tc>
          <w:tcPr>
            <w:tcW w:w="1842" w:type="pct"/>
            <w:vMerge w:val="continue"/>
            <w:vAlign w:val="center"/>
          </w:tcPr>
          <w:p w14:paraId="4401BAAC">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r>
      <w:tr w14:paraId="3E4C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6" w:type="pct"/>
            <w:vMerge w:val="restart"/>
            <w:vAlign w:val="center"/>
          </w:tcPr>
          <w:p w14:paraId="356BD3E8">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O</w:t>
            </w:r>
            <w:r>
              <w:rPr>
                <w:rFonts w:hint="default" w:ascii="Times New Roman" w:hAnsi="Times New Roman" w:cs="Times New Roman" w:eastAsiaTheme="minorEastAsia"/>
                <w:color w:val="auto"/>
                <w:kern w:val="0"/>
                <w:sz w:val="21"/>
                <w:szCs w:val="21"/>
                <w:highlight w:val="none"/>
                <w:vertAlign w:val="subscript"/>
                <w:lang w:val="en-US" w:eastAsia="zh-CN" w:bidi="ar-SA"/>
              </w:rPr>
              <w:t>3</w:t>
            </w:r>
          </w:p>
        </w:tc>
        <w:tc>
          <w:tcPr>
            <w:tcW w:w="1367" w:type="pct"/>
            <w:vAlign w:val="center"/>
          </w:tcPr>
          <w:p w14:paraId="4BD143C3">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日最大8小时平均</w:t>
            </w:r>
          </w:p>
        </w:tc>
        <w:tc>
          <w:tcPr>
            <w:tcW w:w="854" w:type="pct"/>
            <w:vAlign w:val="center"/>
          </w:tcPr>
          <w:p w14:paraId="6CEED285">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Cs/>
                <w:color w:val="auto"/>
                <w:kern w:val="0"/>
                <w:sz w:val="21"/>
                <w:szCs w:val="21"/>
                <w:highlight w:val="none"/>
                <w:lang w:val="en-US" w:eastAsia="zh-CN" w:bidi="ar-SA"/>
              </w:rPr>
            </w:pPr>
            <w:r>
              <w:rPr>
                <w:rFonts w:hint="default" w:ascii="Times New Roman" w:hAnsi="Times New Roman" w:cs="Times New Roman" w:eastAsiaTheme="minorEastAsia"/>
                <w:bCs/>
                <w:color w:val="auto"/>
                <w:kern w:val="0"/>
                <w:sz w:val="21"/>
                <w:szCs w:val="21"/>
                <w:highlight w:val="none"/>
                <w:lang w:val="en-US" w:eastAsia="zh-CN" w:bidi="ar-SA"/>
              </w:rPr>
              <w:t>160</w:t>
            </w:r>
          </w:p>
        </w:tc>
        <w:tc>
          <w:tcPr>
            <w:tcW w:w="1842" w:type="pct"/>
            <w:vMerge w:val="continue"/>
            <w:vAlign w:val="center"/>
          </w:tcPr>
          <w:p w14:paraId="14C604ED">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r>
      <w:tr w14:paraId="1830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6" w:type="pct"/>
            <w:vMerge w:val="continue"/>
            <w:vAlign w:val="center"/>
          </w:tcPr>
          <w:p w14:paraId="22879709">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c>
          <w:tcPr>
            <w:tcW w:w="1367" w:type="pct"/>
            <w:vAlign w:val="center"/>
          </w:tcPr>
          <w:p w14:paraId="14FCFFD7">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1小时平均</w:t>
            </w:r>
          </w:p>
        </w:tc>
        <w:tc>
          <w:tcPr>
            <w:tcW w:w="854" w:type="pct"/>
            <w:vAlign w:val="center"/>
          </w:tcPr>
          <w:p w14:paraId="16A8F4B4">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Cs/>
                <w:color w:val="auto"/>
                <w:kern w:val="0"/>
                <w:sz w:val="21"/>
                <w:szCs w:val="21"/>
                <w:highlight w:val="none"/>
                <w:lang w:val="en-US" w:eastAsia="zh-CN" w:bidi="ar-SA"/>
              </w:rPr>
            </w:pPr>
            <w:r>
              <w:rPr>
                <w:rFonts w:hint="default" w:ascii="Times New Roman" w:hAnsi="Times New Roman" w:cs="Times New Roman" w:eastAsiaTheme="minorEastAsia"/>
                <w:bCs/>
                <w:color w:val="auto"/>
                <w:kern w:val="0"/>
                <w:sz w:val="21"/>
                <w:szCs w:val="21"/>
                <w:highlight w:val="none"/>
                <w:lang w:val="en-US" w:eastAsia="zh-CN" w:bidi="ar-SA"/>
              </w:rPr>
              <w:t>200</w:t>
            </w:r>
          </w:p>
        </w:tc>
        <w:tc>
          <w:tcPr>
            <w:tcW w:w="1842" w:type="pct"/>
            <w:vMerge w:val="continue"/>
            <w:vAlign w:val="center"/>
          </w:tcPr>
          <w:p w14:paraId="21ACB67A">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p>
        </w:tc>
      </w:tr>
      <w:tr w14:paraId="61076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6" w:type="pct"/>
            <w:vAlign w:val="center"/>
          </w:tcPr>
          <w:p w14:paraId="48447896">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NH</w:t>
            </w:r>
            <w:r>
              <w:rPr>
                <w:rFonts w:hint="default" w:ascii="Times New Roman" w:hAnsi="Times New Roman" w:cs="Times New Roman" w:eastAsiaTheme="minorEastAsia"/>
                <w:color w:val="auto"/>
                <w:kern w:val="0"/>
                <w:sz w:val="21"/>
                <w:szCs w:val="21"/>
                <w:highlight w:val="none"/>
                <w:vertAlign w:val="subscript"/>
                <w:lang w:val="en-US" w:eastAsia="zh-CN" w:bidi="ar-SA"/>
              </w:rPr>
              <w:t>3</w:t>
            </w:r>
          </w:p>
        </w:tc>
        <w:tc>
          <w:tcPr>
            <w:tcW w:w="1367" w:type="pct"/>
            <w:vAlign w:val="center"/>
          </w:tcPr>
          <w:p w14:paraId="35FF3671">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1小时平均</w:t>
            </w:r>
          </w:p>
        </w:tc>
        <w:tc>
          <w:tcPr>
            <w:tcW w:w="854" w:type="pct"/>
            <w:vAlign w:val="center"/>
          </w:tcPr>
          <w:p w14:paraId="51B9F7CF">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200</w:t>
            </w:r>
          </w:p>
        </w:tc>
        <w:tc>
          <w:tcPr>
            <w:tcW w:w="1842" w:type="pct"/>
            <w:vMerge w:val="restart"/>
            <w:vAlign w:val="center"/>
          </w:tcPr>
          <w:p w14:paraId="2DBDFD87">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《环境影响评价技术导则 大气环境》（HJ2.2-2018）附录 D</w:t>
            </w:r>
          </w:p>
        </w:tc>
      </w:tr>
      <w:tr w14:paraId="1453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6" w:type="pct"/>
            <w:vAlign w:val="center"/>
          </w:tcPr>
          <w:p w14:paraId="2AD9ED22">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eastAsia="宋体" w:cs="Times New Roman"/>
                <w:b/>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H</w:t>
            </w:r>
            <w:r>
              <w:rPr>
                <w:rFonts w:hint="default" w:ascii="Times New Roman" w:hAnsi="Times New Roman" w:eastAsia="宋体" w:cs="Times New Roman"/>
                <w:color w:val="auto"/>
                <w:kern w:val="0"/>
                <w:sz w:val="21"/>
                <w:szCs w:val="21"/>
                <w:highlight w:val="none"/>
                <w:vertAlign w:val="subscript"/>
                <w:lang w:val="en-US" w:eastAsia="zh-CN" w:bidi="ar-SA"/>
              </w:rPr>
              <w:t>2</w:t>
            </w:r>
            <w:r>
              <w:rPr>
                <w:rFonts w:hint="default" w:ascii="Times New Roman" w:hAnsi="Times New Roman" w:eastAsia="宋体" w:cs="Times New Roman"/>
                <w:color w:val="auto"/>
                <w:kern w:val="0"/>
                <w:sz w:val="21"/>
                <w:szCs w:val="21"/>
                <w:highlight w:val="none"/>
                <w:lang w:val="en-US" w:eastAsia="zh-CN" w:bidi="ar-SA"/>
              </w:rPr>
              <w:t>S</w:t>
            </w:r>
          </w:p>
        </w:tc>
        <w:tc>
          <w:tcPr>
            <w:tcW w:w="1367" w:type="pct"/>
            <w:vAlign w:val="center"/>
          </w:tcPr>
          <w:p w14:paraId="6623703A">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eastAsia="宋体" w:cs="Times New Roman"/>
                <w:b/>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1小时平均</w:t>
            </w:r>
          </w:p>
        </w:tc>
        <w:tc>
          <w:tcPr>
            <w:tcW w:w="854" w:type="pct"/>
            <w:vAlign w:val="center"/>
          </w:tcPr>
          <w:p w14:paraId="05C6182D">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eastAsia="宋体" w:cs="Times New Roman"/>
                <w:b/>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10</w:t>
            </w:r>
          </w:p>
        </w:tc>
        <w:tc>
          <w:tcPr>
            <w:tcW w:w="1842" w:type="pct"/>
            <w:vMerge w:val="continue"/>
            <w:vAlign w:val="center"/>
          </w:tcPr>
          <w:p w14:paraId="5BC0153B">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eastAsia="宋体" w:cs="Times New Roman"/>
                <w:b/>
                <w:color w:val="auto"/>
                <w:kern w:val="0"/>
                <w:sz w:val="21"/>
                <w:szCs w:val="21"/>
                <w:highlight w:val="none"/>
                <w:lang w:val="en-US" w:eastAsia="zh-CN" w:bidi="ar-SA"/>
              </w:rPr>
            </w:pPr>
          </w:p>
        </w:tc>
      </w:tr>
      <w:tr w14:paraId="61D2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6" w:type="pct"/>
            <w:vAlign w:val="center"/>
          </w:tcPr>
          <w:p w14:paraId="2C293B17">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0"/>
                <w:highlight w:val="none"/>
                <w:lang w:val="en-US" w:eastAsia="zh-CN" w:bidi="ar-SA"/>
              </w:rPr>
              <w:t>N</w:t>
            </w:r>
            <w:r>
              <w:rPr>
                <w:rFonts w:hint="default" w:ascii="Times New Roman" w:hAnsi="Times New Roman" w:eastAsia="宋体" w:cs="Times New Roman"/>
                <w:color w:val="auto"/>
                <w:kern w:val="0"/>
                <w:sz w:val="21"/>
                <w:szCs w:val="20"/>
                <w:highlight w:val="none"/>
                <w:lang w:val="en-US" w:eastAsia="zh-CN" w:bidi="ar-SA"/>
              </w:rPr>
              <w:t>MHC</w:t>
            </w:r>
          </w:p>
        </w:tc>
        <w:tc>
          <w:tcPr>
            <w:tcW w:w="1367" w:type="pct"/>
            <w:vAlign w:val="center"/>
          </w:tcPr>
          <w:p w14:paraId="71F5AEA1">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0"/>
                <w:highlight w:val="none"/>
                <w:lang w:val="en-US" w:eastAsia="zh-CN" w:bidi="ar-SA"/>
              </w:rPr>
              <w:t>1小时平均</w:t>
            </w:r>
          </w:p>
        </w:tc>
        <w:tc>
          <w:tcPr>
            <w:tcW w:w="854" w:type="pct"/>
            <w:vAlign w:val="center"/>
          </w:tcPr>
          <w:p w14:paraId="5D940C92">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2000</w:t>
            </w:r>
          </w:p>
        </w:tc>
        <w:tc>
          <w:tcPr>
            <w:tcW w:w="1842" w:type="pct"/>
            <w:vAlign w:val="center"/>
          </w:tcPr>
          <w:p w14:paraId="0BA97A49">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eastAsia="宋体" w:cs="Times New Roman"/>
                <w:b/>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lang w:val="en-US" w:eastAsia="zh-CN" w:bidi="ar-SA"/>
              </w:rPr>
              <w:t>大气污染物综合排放标准详解</w:t>
            </w:r>
          </w:p>
        </w:tc>
      </w:tr>
    </w:tbl>
    <w:p w14:paraId="53A504C2">
      <w:pPr>
        <w:pageBreakBefore w:val="0"/>
        <w:widowControl w:val="0"/>
        <w:numPr>
          <w:ilvl w:val="0"/>
          <w:numId w:val="0"/>
        </w:numPr>
        <w:kinsoku/>
        <w:wordWrap/>
        <w:overflowPunct/>
        <w:bidi w:val="0"/>
        <w:spacing w:line="360" w:lineRule="auto"/>
        <w:ind w:leftChars="200"/>
        <w:jc w:val="both"/>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（3）</w:t>
      </w:r>
      <w:r>
        <w:rPr>
          <w:rFonts w:ascii="Times New Roman" w:hAnsi="Times New Roman" w:eastAsia="宋体" w:cs="Times New Roman"/>
          <w:b/>
          <w:bCs/>
          <w:color w:val="auto"/>
          <w:kern w:val="2"/>
          <w:sz w:val="24"/>
          <w:szCs w:val="24"/>
          <w:highlight w:val="none"/>
          <w:lang w:val="en-US" w:eastAsia="zh-CN" w:bidi="ar-SA"/>
        </w:rPr>
        <w:t>地下水环境</w:t>
      </w:r>
    </w:p>
    <w:p w14:paraId="40328DC1">
      <w:pPr>
        <w:pageBreakBefore w:val="0"/>
        <w:widowControl w:val="0"/>
        <w:kinsoku/>
        <w:wordWrap/>
        <w:overflowPunct/>
        <w:bidi w:val="0"/>
        <w:ind w:firstLine="496" w:firstLineChars="200"/>
        <w:jc w:val="both"/>
        <w:rPr>
          <w:rFonts w:hint="default" w:ascii="Times New Roman" w:hAnsi="Times New Roman" w:eastAsia="宋体" w:cs="Times New Roman"/>
          <w:color w:val="auto"/>
          <w:kern w:val="24"/>
          <w:szCs w:val="24"/>
          <w:highlight w:val="none"/>
        </w:rPr>
      </w:pPr>
      <w:r>
        <w:rPr>
          <w:rFonts w:hint="eastAsia" w:cs="Times New Roman"/>
          <w:color w:val="auto"/>
          <w:spacing w:val="4"/>
          <w:szCs w:val="24"/>
          <w:highlight w:val="none"/>
          <w:lang w:val="en-US" w:eastAsia="zh-CN" w:bidi="ar"/>
        </w:rPr>
        <w:t>地下水环境质量执行《地下水质量标准》（GB/T14848-2017）中Ⅲ类标准，石油类参照《地表水环境质量标准》（GB3838-2002）Ⅲ类标准</w:t>
      </w:r>
      <w:r>
        <w:rPr>
          <w:rFonts w:hint="default" w:ascii="Times New Roman" w:hAnsi="Times New Roman" w:eastAsia="宋体" w:cs="Times New Roman"/>
          <w:color w:val="auto"/>
          <w:kern w:val="24"/>
          <w:szCs w:val="24"/>
          <w:highlight w:val="none"/>
          <w:lang w:bidi="ar"/>
        </w:rPr>
        <w:t>，具体标准值见表2.4-</w:t>
      </w:r>
      <w:r>
        <w:rPr>
          <w:rFonts w:hint="eastAsia" w:cs="Times New Roman"/>
          <w:color w:val="auto"/>
          <w:kern w:val="24"/>
          <w:szCs w:val="24"/>
          <w:highlight w:val="none"/>
          <w:lang w:val="en-US" w:eastAsia="zh-CN" w:bidi="ar"/>
        </w:rPr>
        <w:t>4</w:t>
      </w:r>
      <w:r>
        <w:rPr>
          <w:rFonts w:hint="default" w:ascii="Times New Roman" w:hAnsi="Times New Roman" w:eastAsia="宋体" w:cs="Times New Roman"/>
          <w:color w:val="auto"/>
          <w:kern w:val="24"/>
          <w:szCs w:val="24"/>
          <w:highlight w:val="none"/>
          <w:lang w:bidi="ar"/>
        </w:rPr>
        <w:t>。</w:t>
      </w:r>
    </w:p>
    <w:p w14:paraId="5C966270">
      <w:pPr>
        <w:pageBreakBefore w:val="0"/>
        <w:widowControl w:val="0"/>
        <w:kinsoku/>
        <w:wordWrap/>
        <w:overflowPunct/>
        <w:bidi w:val="0"/>
        <w:spacing w:before="156" w:beforeLines="50" w:after="156" w:afterLines="50" w:line="240" w:lineRule="auto"/>
        <w:ind w:left="0" w:leftChars="0" w:firstLine="0" w:firstLineChars="0"/>
        <w:jc w:val="center"/>
        <w:rPr>
          <w:rFonts w:hint="default" w:ascii="Times New Roman" w:hAnsi="Times New Roman" w:eastAsia="黑体" w:cs="Times New Roman"/>
          <w:color w:val="auto"/>
          <w:kern w:val="2"/>
          <w:sz w:val="21"/>
          <w:szCs w:val="18"/>
          <w:highlight w:val="none"/>
          <w:lang w:val="en-US" w:eastAsia="zh-CN" w:bidi="ar-SA"/>
        </w:rPr>
      </w:pPr>
      <w:r>
        <w:rPr>
          <w:rFonts w:hint="default" w:ascii="Times New Roman" w:hAnsi="Times New Roman" w:eastAsia="黑体" w:cs="Times New Roman"/>
          <w:color w:val="auto"/>
          <w:kern w:val="2"/>
          <w:sz w:val="21"/>
          <w:szCs w:val="18"/>
          <w:highlight w:val="none"/>
          <w:lang w:val="en-US" w:eastAsia="zh-CN" w:bidi="ar-SA"/>
        </w:rPr>
        <w:t>表2.4-</w:t>
      </w:r>
      <w:r>
        <w:rPr>
          <w:rFonts w:hint="eastAsia" w:eastAsia="黑体" w:cs="Times New Roman"/>
          <w:color w:val="auto"/>
          <w:kern w:val="2"/>
          <w:sz w:val="21"/>
          <w:szCs w:val="18"/>
          <w:highlight w:val="none"/>
          <w:lang w:val="en-US" w:eastAsia="zh-CN" w:bidi="ar-SA"/>
        </w:rPr>
        <w:t>4</w:t>
      </w:r>
      <w:r>
        <w:rPr>
          <w:rFonts w:hint="default" w:ascii="Times New Roman" w:hAnsi="Times New Roman" w:eastAsia="黑体" w:cs="Times New Roman"/>
          <w:color w:val="auto"/>
          <w:kern w:val="2"/>
          <w:sz w:val="21"/>
          <w:szCs w:val="18"/>
          <w:highlight w:val="none"/>
          <w:lang w:val="en-US" w:eastAsia="zh-CN" w:bidi="ar-SA"/>
        </w:rPr>
        <w:t xml:space="preserve">                地下水质量标准值             单位：mg/L，pH除外</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2602"/>
        <w:gridCol w:w="1175"/>
        <w:gridCol w:w="1094"/>
        <w:gridCol w:w="1434"/>
        <w:gridCol w:w="1269"/>
      </w:tblGrid>
      <w:tr w14:paraId="3CA3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948" w:type="dxa"/>
            <w:vAlign w:val="center"/>
          </w:tcPr>
          <w:p w14:paraId="1B421E52">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序号</w:t>
            </w:r>
          </w:p>
        </w:tc>
        <w:tc>
          <w:tcPr>
            <w:tcW w:w="2602" w:type="dxa"/>
            <w:vAlign w:val="center"/>
          </w:tcPr>
          <w:p w14:paraId="1074C407">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项目</w:t>
            </w:r>
          </w:p>
        </w:tc>
        <w:tc>
          <w:tcPr>
            <w:tcW w:w="1175" w:type="dxa"/>
            <w:vAlign w:val="center"/>
          </w:tcPr>
          <w:p w14:paraId="7888712C">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标准限值</w:t>
            </w:r>
          </w:p>
        </w:tc>
        <w:tc>
          <w:tcPr>
            <w:tcW w:w="1094" w:type="dxa"/>
            <w:vAlign w:val="center"/>
          </w:tcPr>
          <w:p w14:paraId="51ABE17C">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序号</w:t>
            </w:r>
          </w:p>
        </w:tc>
        <w:tc>
          <w:tcPr>
            <w:tcW w:w="1434" w:type="dxa"/>
            <w:vAlign w:val="center"/>
          </w:tcPr>
          <w:p w14:paraId="67BF8DE3">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项目</w:t>
            </w:r>
          </w:p>
        </w:tc>
        <w:tc>
          <w:tcPr>
            <w:tcW w:w="1269" w:type="dxa"/>
            <w:vAlign w:val="center"/>
          </w:tcPr>
          <w:p w14:paraId="69A8FCEB">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标准限值</w:t>
            </w:r>
          </w:p>
        </w:tc>
      </w:tr>
      <w:tr w14:paraId="0E4E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vAlign w:val="center"/>
          </w:tcPr>
          <w:p w14:paraId="7B99E9FA">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1</w:t>
            </w:r>
          </w:p>
        </w:tc>
        <w:tc>
          <w:tcPr>
            <w:tcW w:w="2602" w:type="dxa"/>
            <w:vAlign w:val="center"/>
          </w:tcPr>
          <w:p w14:paraId="73EF7F05">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pH（无量纲）</w:t>
            </w:r>
          </w:p>
        </w:tc>
        <w:tc>
          <w:tcPr>
            <w:tcW w:w="1175" w:type="dxa"/>
            <w:vAlign w:val="center"/>
          </w:tcPr>
          <w:p w14:paraId="2976F431">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6.5~8.5</w:t>
            </w:r>
          </w:p>
        </w:tc>
        <w:tc>
          <w:tcPr>
            <w:tcW w:w="1094" w:type="dxa"/>
            <w:vAlign w:val="center"/>
          </w:tcPr>
          <w:p w14:paraId="569525F4">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17</w:t>
            </w:r>
          </w:p>
        </w:tc>
        <w:tc>
          <w:tcPr>
            <w:tcW w:w="1434" w:type="dxa"/>
            <w:vAlign w:val="center"/>
          </w:tcPr>
          <w:p w14:paraId="534FCC9D">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硝酸盐（以N计）</w:t>
            </w:r>
          </w:p>
        </w:tc>
        <w:tc>
          <w:tcPr>
            <w:tcW w:w="1269" w:type="dxa"/>
            <w:vAlign w:val="center"/>
          </w:tcPr>
          <w:p w14:paraId="2A169A1E">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≤20</w:t>
            </w:r>
          </w:p>
        </w:tc>
      </w:tr>
      <w:tr w14:paraId="1E25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vAlign w:val="center"/>
          </w:tcPr>
          <w:p w14:paraId="4FD6BC70">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2</w:t>
            </w:r>
          </w:p>
        </w:tc>
        <w:tc>
          <w:tcPr>
            <w:tcW w:w="2602" w:type="dxa"/>
            <w:vAlign w:val="center"/>
          </w:tcPr>
          <w:p w14:paraId="7E6316C0">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总硬度（以CaCO</w:t>
            </w:r>
            <w:r>
              <w:rPr>
                <w:rFonts w:hint="default" w:ascii="Times New Roman" w:hAnsi="Times New Roman" w:eastAsia="宋体" w:cs="Times New Roman"/>
                <w:color w:val="auto"/>
                <w:sz w:val="21"/>
                <w:szCs w:val="21"/>
                <w:highlight w:val="none"/>
                <w:vertAlign w:val="subscript"/>
                <w:lang w:bidi="ar"/>
              </w:rPr>
              <w:t>3</w:t>
            </w:r>
            <w:r>
              <w:rPr>
                <w:rFonts w:hint="default" w:ascii="Times New Roman" w:hAnsi="Times New Roman" w:eastAsia="宋体" w:cs="Times New Roman"/>
                <w:color w:val="auto"/>
                <w:sz w:val="21"/>
                <w:szCs w:val="21"/>
                <w:highlight w:val="none"/>
                <w:lang w:bidi="ar"/>
              </w:rPr>
              <w:t>计）</w:t>
            </w:r>
          </w:p>
        </w:tc>
        <w:tc>
          <w:tcPr>
            <w:tcW w:w="1175" w:type="dxa"/>
            <w:vAlign w:val="center"/>
          </w:tcPr>
          <w:p w14:paraId="2597B1F2">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≤450</w:t>
            </w:r>
          </w:p>
        </w:tc>
        <w:tc>
          <w:tcPr>
            <w:tcW w:w="1094" w:type="dxa"/>
            <w:vAlign w:val="center"/>
          </w:tcPr>
          <w:p w14:paraId="67B698BD">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18</w:t>
            </w:r>
          </w:p>
        </w:tc>
        <w:tc>
          <w:tcPr>
            <w:tcW w:w="1434" w:type="dxa"/>
            <w:vAlign w:val="center"/>
          </w:tcPr>
          <w:p w14:paraId="2C807C5E">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氟化物</w:t>
            </w:r>
          </w:p>
        </w:tc>
        <w:tc>
          <w:tcPr>
            <w:tcW w:w="1269" w:type="dxa"/>
            <w:vAlign w:val="center"/>
          </w:tcPr>
          <w:p w14:paraId="03942A76">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≤1.0</w:t>
            </w:r>
          </w:p>
        </w:tc>
      </w:tr>
      <w:tr w14:paraId="2DE2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vAlign w:val="center"/>
          </w:tcPr>
          <w:p w14:paraId="46864769">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3</w:t>
            </w:r>
          </w:p>
        </w:tc>
        <w:tc>
          <w:tcPr>
            <w:tcW w:w="2602" w:type="dxa"/>
            <w:vAlign w:val="center"/>
          </w:tcPr>
          <w:p w14:paraId="2A5B9D14">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溶解性总固体</w:t>
            </w:r>
          </w:p>
        </w:tc>
        <w:tc>
          <w:tcPr>
            <w:tcW w:w="1175" w:type="dxa"/>
            <w:vAlign w:val="center"/>
          </w:tcPr>
          <w:p w14:paraId="412C2706">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≤1000</w:t>
            </w:r>
          </w:p>
        </w:tc>
        <w:tc>
          <w:tcPr>
            <w:tcW w:w="1094" w:type="dxa"/>
            <w:vAlign w:val="center"/>
          </w:tcPr>
          <w:p w14:paraId="6BDF156C">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19</w:t>
            </w:r>
          </w:p>
        </w:tc>
        <w:tc>
          <w:tcPr>
            <w:tcW w:w="1434" w:type="dxa"/>
            <w:vAlign w:val="center"/>
          </w:tcPr>
          <w:p w14:paraId="2FA50496">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pacing w:val="4"/>
                <w:szCs w:val="21"/>
                <w:highlight w:val="none"/>
              </w:rPr>
            </w:pPr>
            <w:r>
              <w:rPr>
                <w:rFonts w:hint="default" w:ascii="Times New Roman" w:hAnsi="Times New Roman" w:eastAsia="宋体" w:cs="Times New Roman"/>
                <w:color w:val="auto"/>
                <w:sz w:val="21"/>
                <w:szCs w:val="21"/>
                <w:highlight w:val="none"/>
                <w:lang w:bidi="ar"/>
              </w:rPr>
              <w:t>汞</w:t>
            </w:r>
          </w:p>
        </w:tc>
        <w:tc>
          <w:tcPr>
            <w:tcW w:w="1269" w:type="dxa"/>
            <w:vAlign w:val="center"/>
          </w:tcPr>
          <w:p w14:paraId="72609BA8">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≤0.001</w:t>
            </w:r>
          </w:p>
        </w:tc>
      </w:tr>
      <w:tr w14:paraId="43874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vAlign w:val="center"/>
          </w:tcPr>
          <w:p w14:paraId="373D31DA">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4</w:t>
            </w:r>
          </w:p>
        </w:tc>
        <w:tc>
          <w:tcPr>
            <w:tcW w:w="2602" w:type="dxa"/>
            <w:vAlign w:val="center"/>
          </w:tcPr>
          <w:p w14:paraId="6CB026AB">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硫酸盐</w:t>
            </w:r>
          </w:p>
        </w:tc>
        <w:tc>
          <w:tcPr>
            <w:tcW w:w="1175" w:type="dxa"/>
            <w:vAlign w:val="center"/>
          </w:tcPr>
          <w:p w14:paraId="669CA540">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≤250</w:t>
            </w:r>
          </w:p>
        </w:tc>
        <w:tc>
          <w:tcPr>
            <w:tcW w:w="1094" w:type="dxa"/>
            <w:vAlign w:val="center"/>
          </w:tcPr>
          <w:p w14:paraId="3C12DBE3">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20</w:t>
            </w:r>
          </w:p>
        </w:tc>
        <w:tc>
          <w:tcPr>
            <w:tcW w:w="1434" w:type="dxa"/>
            <w:vAlign w:val="center"/>
          </w:tcPr>
          <w:p w14:paraId="5FF97F89">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砷</w:t>
            </w:r>
          </w:p>
        </w:tc>
        <w:tc>
          <w:tcPr>
            <w:tcW w:w="1269" w:type="dxa"/>
            <w:vAlign w:val="center"/>
          </w:tcPr>
          <w:p w14:paraId="465E040B">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≤0.01</w:t>
            </w:r>
          </w:p>
        </w:tc>
      </w:tr>
      <w:tr w14:paraId="3B7E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vAlign w:val="center"/>
          </w:tcPr>
          <w:p w14:paraId="41756CDE">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5</w:t>
            </w:r>
          </w:p>
        </w:tc>
        <w:tc>
          <w:tcPr>
            <w:tcW w:w="2602" w:type="dxa"/>
            <w:vAlign w:val="center"/>
          </w:tcPr>
          <w:p w14:paraId="63B254F7">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氯化物</w:t>
            </w:r>
          </w:p>
        </w:tc>
        <w:tc>
          <w:tcPr>
            <w:tcW w:w="1175" w:type="dxa"/>
            <w:vAlign w:val="center"/>
          </w:tcPr>
          <w:p w14:paraId="71CBCBB4">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≤250</w:t>
            </w:r>
          </w:p>
        </w:tc>
        <w:tc>
          <w:tcPr>
            <w:tcW w:w="1094" w:type="dxa"/>
            <w:vAlign w:val="center"/>
          </w:tcPr>
          <w:p w14:paraId="368278B4">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21</w:t>
            </w:r>
          </w:p>
        </w:tc>
        <w:tc>
          <w:tcPr>
            <w:tcW w:w="1434" w:type="dxa"/>
            <w:vAlign w:val="center"/>
          </w:tcPr>
          <w:p w14:paraId="6F95301D">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镉</w:t>
            </w:r>
          </w:p>
        </w:tc>
        <w:tc>
          <w:tcPr>
            <w:tcW w:w="1269" w:type="dxa"/>
            <w:vAlign w:val="center"/>
          </w:tcPr>
          <w:p w14:paraId="3D4430C4">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≤0.005</w:t>
            </w:r>
          </w:p>
        </w:tc>
      </w:tr>
      <w:tr w14:paraId="245A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vAlign w:val="center"/>
          </w:tcPr>
          <w:p w14:paraId="3D96D6C1">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6</w:t>
            </w:r>
          </w:p>
        </w:tc>
        <w:tc>
          <w:tcPr>
            <w:tcW w:w="2602" w:type="dxa"/>
            <w:vAlign w:val="center"/>
          </w:tcPr>
          <w:p w14:paraId="57B14C03">
            <w:pPr>
              <w:keepNext w:val="0"/>
              <w:keepLines w:val="0"/>
              <w:pageBreakBefore w:val="0"/>
              <w:widowControl w:val="0"/>
              <w:suppressLineNumbers w:val="0"/>
              <w:kinsoku/>
              <w:wordWrap/>
              <w:overflowPunct/>
              <w:bidi w:val="0"/>
              <w:snapToGrid w:val="0"/>
              <w:spacing w:before="0" w:beforeAutospacing="0" w:after="0" w:afterAutospacing="0" w:line="240" w:lineRule="auto"/>
              <w:ind w:left="72"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铁</w:t>
            </w:r>
          </w:p>
        </w:tc>
        <w:tc>
          <w:tcPr>
            <w:tcW w:w="1175" w:type="dxa"/>
            <w:vAlign w:val="center"/>
          </w:tcPr>
          <w:p w14:paraId="6227470B">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≤0.3</w:t>
            </w:r>
          </w:p>
        </w:tc>
        <w:tc>
          <w:tcPr>
            <w:tcW w:w="1094" w:type="dxa"/>
            <w:vAlign w:val="center"/>
          </w:tcPr>
          <w:p w14:paraId="2ECCAB60">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22</w:t>
            </w:r>
          </w:p>
        </w:tc>
        <w:tc>
          <w:tcPr>
            <w:tcW w:w="1434" w:type="dxa"/>
            <w:vAlign w:val="center"/>
          </w:tcPr>
          <w:p w14:paraId="0C1C6C15">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pacing w:val="4"/>
                <w:szCs w:val="21"/>
                <w:highlight w:val="none"/>
              </w:rPr>
            </w:pPr>
            <w:r>
              <w:rPr>
                <w:rFonts w:hint="default" w:ascii="Times New Roman" w:hAnsi="Times New Roman" w:eastAsia="宋体" w:cs="Times New Roman"/>
                <w:color w:val="auto"/>
                <w:sz w:val="21"/>
                <w:szCs w:val="21"/>
                <w:highlight w:val="none"/>
                <w:lang w:bidi="ar"/>
              </w:rPr>
              <w:t>六价铬</w:t>
            </w:r>
          </w:p>
        </w:tc>
        <w:tc>
          <w:tcPr>
            <w:tcW w:w="1269" w:type="dxa"/>
            <w:vAlign w:val="center"/>
          </w:tcPr>
          <w:p w14:paraId="27BF91FB">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pacing w:val="4"/>
                <w:szCs w:val="21"/>
                <w:highlight w:val="none"/>
              </w:rPr>
            </w:pPr>
            <w:r>
              <w:rPr>
                <w:rFonts w:hint="default" w:ascii="Times New Roman" w:hAnsi="Times New Roman" w:eastAsia="宋体" w:cs="Times New Roman"/>
                <w:color w:val="auto"/>
                <w:sz w:val="21"/>
                <w:szCs w:val="21"/>
                <w:highlight w:val="none"/>
                <w:lang w:bidi="ar"/>
              </w:rPr>
              <w:t>≤0.05</w:t>
            </w:r>
          </w:p>
        </w:tc>
      </w:tr>
      <w:tr w14:paraId="04BD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vAlign w:val="center"/>
          </w:tcPr>
          <w:p w14:paraId="70ABA48C">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7</w:t>
            </w:r>
          </w:p>
        </w:tc>
        <w:tc>
          <w:tcPr>
            <w:tcW w:w="2602" w:type="dxa"/>
            <w:vAlign w:val="center"/>
          </w:tcPr>
          <w:p w14:paraId="35A47B51">
            <w:pPr>
              <w:keepNext w:val="0"/>
              <w:keepLines w:val="0"/>
              <w:pageBreakBefore w:val="0"/>
              <w:widowControl w:val="0"/>
              <w:suppressLineNumbers w:val="0"/>
              <w:kinsoku/>
              <w:wordWrap/>
              <w:overflowPunct/>
              <w:bidi w:val="0"/>
              <w:snapToGrid w:val="0"/>
              <w:spacing w:before="0" w:beforeAutospacing="0" w:after="0" w:afterAutospacing="0" w:line="240" w:lineRule="auto"/>
              <w:ind w:left="72"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锰</w:t>
            </w:r>
          </w:p>
        </w:tc>
        <w:tc>
          <w:tcPr>
            <w:tcW w:w="1175" w:type="dxa"/>
            <w:vAlign w:val="center"/>
          </w:tcPr>
          <w:p w14:paraId="1A41A27E">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≤0.10</w:t>
            </w:r>
          </w:p>
        </w:tc>
        <w:tc>
          <w:tcPr>
            <w:tcW w:w="1094" w:type="dxa"/>
            <w:vAlign w:val="center"/>
          </w:tcPr>
          <w:p w14:paraId="1DDC1EBD">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23</w:t>
            </w:r>
          </w:p>
        </w:tc>
        <w:tc>
          <w:tcPr>
            <w:tcW w:w="1434" w:type="dxa"/>
            <w:vAlign w:val="center"/>
          </w:tcPr>
          <w:p w14:paraId="4BAB4343">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pacing w:val="4"/>
                <w:szCs w:val="21"/>
                <w:highlight w:val="none"/>
              </w:rPr>
            </w:pPr>
            <w:r>
              <w:rPr>
                <w:rFonts w:hint="default" w:ascii="Times New Roman" w:hAnsi="Times New Roman" w:eastAsia="宋体" w:cs="Times New Roman"/>
                <w:color w:val="auto"/>
                <w:sz w:val="21"/>
                <w:szCs w:val="21"/>
                <w:highlight w:val="none"/>
                <w:lang w:bidi="ar"/>
              </w:rPr>
              <w:t>铅</w:t>
            </w:r>
          </w:p>
        </w:tc>
        <w:tc>
          <w:tcPr>
            <w:tcW w:w="1269" w:type="dxa"/>
            <w:vAlign w:val="center"/>
          </w:tcPr>
          <w:p w14:paraId="644F546F">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pacing w:val="4"/>
                <w:szCs w:val="21"/>
                <w:highlight w:val="none"/>
              </w:rPr>
            </w:pPr>
            <w:r>
              <w:rPr>
                <w:rFonts w:hint="default" w:ascii="Times New Roman" w:hAnsi="Times New Roman" w:eastAsia="宋体" w:cs="Times New Roman"/>
                <w:color w:val="auto"/>
                <w:sz w:val="21"/>
                <w:szCs w:val="21"/>
                <w:highlight w:val="none"/>
                <w:lang w:bidi="ar"/>
              </w:rPr>
              <w:t>≤0.01</w:t>
            </w:r>
          </w:p>
        </w:tc>
      </w:tr>
      <w:tr w14:paraId="1D99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vAlign w:val="center"/>
          </w:tcPr>
          <w:p w14:paraId="0E826516">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8</w:t>
            </w:r>
          </w:p>
        </w:tc>
        <w:tc>
          <w:tcPr>
            <w:tcW w:w="2602" w:type="dxa"/>
            <w:vAlign w:val="center"/>
          </w:tcPr>
          <w:p w14:paraId="12A4308A">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挥发酚（以苯酚计）</w:t>
            </w:r>
          </w:p>
        </w:tc>
        <w:tc>
          <w:tcPr>
            <w:tcW w:w="1175" w:type="dxa"/>
            <w:vAlign w:val="center"/>
          </w:tcPr>
          <w:p w14:paraId="3ED9E92C">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≤0.002</w:t>
            </w:r>
          </w:p>
        </w:tc>
        <w:tc>
          <w:tcPr>
            <w:tcW w:w="1094" w:type="dxa"/>
            <w:vAlign w:val="center"/>
          </w:tcPr>
          <w:p w14:paraId="3E537BA3">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24</w:t>
            </w:r>
          </w:p>
        </w:tc>
        <w:tc>
          <w:tcPr>
            <w:tcW w:w="1434" w:type="dxa"/>
            <w:vAlign w:val="center"/>
          </w:tcPr>
          <w:p w14:paraId="369A86E3">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pacing w:val="4"/>
                <w:szCs w:val="21"/>
                <w:highlight w:val="none"/>
              </w:rPr>
            </w:pPr>
            <w:r>
              <w:rPr>
                <w:rFonts w:hint="default" w:ascii="Times New Roman" w:hAnsi="Times New Roman" w:eastAsia="宋体" w:cs="Times New Roman"/>
                <w:color w:val="auto"/>
                <w:sz w:val="21"/>
                <w:szCs w:val="21"/>
                <w:highlight w:val="none"/>
                <w:lang w:bidi="ar"/>
              </w:rPr>
              <w:t>钾</w:t>
            </w:r>
          </w:p>
        </w:tc>
        <w:tc>
          <w:tcPr>
            <w:tcW w:w="1269" w:type="dxa"/>
            <w:vAlign w:val="center"/>
          </w:tcPr>
          <w:p w14:paraId="4D288308">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pacing w:val="4"/>
                <w:szCs w:val="21"/>
                <w:highlight w:val="none"/>
              </w:rPr>
            </w:pPr>
            <w:r>
              <w:rPr>
                <w:rFonts w:hint="default" w:ascii="Times New Roman" w:hAnsi="Times New Roman" w:eastAsia="宋体" w:cs="Times New Roman"/>
                <w:color w:val="auto"/>
                <w:spacing w:val="4"/>
                <w:sz w:val="21"/>
                <w:szCs w:val="21"/>
                <w:highlight w:val="none"/>
                <w:lang w:bidi="ar"/>
              </w:rPr>
              <w:t>/</w:t>
            </w:r>
          </w:p>
        </w:tc>
      </w:tr>
      <w:tr w14:paraId="7952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vAlign w:val="center"/>
          </w:tcPr>
          <w:p w14:paraId="7E17D2CA">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9</w:t>
            </w:r>
          </w:p>
        </w:tc>
        <w:tc>
          <w:tcPr>
            <w:tcW w:w="2602" w:type="dxa"/>
            <w:vAlign w:val="center"/>
          </w:tcPr>
          <w:p w14:paraId="4AD4D342">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耗氧量</w:t>
            </w:r>
          </w:p>
        </w:tc>
        <w:tc>
          <w:tcPr>
            <w:tcW w:w="1175" w:type="dxa"/>
            <w:vAlign w:val="center"/>
          </w:tcPr>
          <w:p w14:paraId="6135B972">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≤3.0</w:t>
            </w:r>
          </w:p>
        </w:tc>
        <w:tc>
          <w:tcPr>
            <w:tcW w:w="1094" w:type="dxa"/>
            <w:vAlign w:val="center"/>
          </w:tcPr>
          <w:p w14:paraId="1C735648">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25</w:t>
            </w:r>
          </w:p>
        </w:tc>
        <w:tc>
          <w:tcPr>
            <w:tcW w:w="1434" w:type="dxa"/>
            <w:vAlign w:val="center"/>
          </w:tcPr>
          <w:p w14:paraId="01A55ADC">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pacing w:val="4"/>
                <w:szCs w:val="21"/>
                <w:highlight w:val="none"/>
              </w:rPr>
            </w:pPr>
            <w:r>
              <w:rPr>
                <w:rFonts w:hint="default" w:ascii="Times New Roman" w:hAnsi="Times New Roman" w:eastAsia="宋体" w:cs="Times New Roman"/>
                <w:color w:val="auto"/>
                <w:sz w:val="21"/>
                <w:szCs w:val="21"/>
                <w:highlight w:val="none"/>
                <w:lang w:bidi="ar"/>
              </w:rPr>
              <w:t>钙</w:t>
            </w:r>
          </w:p>
        </w:tc>
        <w:tc>
          <w:tcPr>
            <w:tcW w:w="1269" w:type="dxa"/>
            <w:vAlign w:val="center"/>
          </w:tcPr>
          <w:p w14:paraId="1346946F">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pacing w:val="4"/>
                <w:szCs w:val="21"/>
                <w:highlight w:val="none"/>
              </w:rPr>
            </w:pPr>
            <w:r>
              <w:rPr>
                <w:rFonts w:hint="default" w:ascii="Times New Roman" w:hAnsi="Times New Roman" w:eastAsia="宋体" w:cs="Times New Roman"/>
                <w:color w:val="auto"/>
                <w:spacing w:val="4"/>
                <w:sz w:val="21"/>
                <w:szCs w:val="21"/>
                <w:highlight w:val="none"/>
                <w:lang w:bidi="ar"/>
              </w:rPr>
              <w:t>/</w:t>
            </w:r>
          </w:p>
        </w:tc>
      </w:tr>
      <w:tr w14:paraId="013E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vAlign w:val="center"/>
          </w:tcPr>
          <w:p w14:paraId="4C2CBCEA">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10</w:t>
            </w:r>
          </w:p>
        </w:tc>
        <w:tc>
          <w:tcPr>
            <w:tcW w:w="2602" w:type="dxa"/>
            <w:vAlign w:val="center"/>
          </w:tcPr>
          <w:p w14:paraId="6377B377">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氨氮（以N计）</w:t>
            </w:r>
          </w:p>
        </w:tc>
        <w:tc>
          <w:tcPr>
            <w:tcW w:w="1175" w:type="dxa"/>
            <w:vAlign w:val="center"/>
          </w:tcPr>
          <w:p w14:paraId="190FD01A">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≤0.50</w:t>
            </w:r>
          </w:p>
        </w:tc>
        <w:tc>
          <w:tcPr>
            <w:tcW w:w="1094" w:type="dxa"/>
            <w:vAlign w:val="center"/>
          </w:tcPr>
          <w:p w14:paraId="2B1A588A">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26</w:t>
            </w:r>
          </w:p>
        </w:tc>
        <w:tc>
          <w:tcPr>
            <w:tcW w:w="1434" w:type="dxa"/>
            <w:vAlign w:val="center"/>
          </w:tcPr>
          <w:p w14:paraId="1415F937">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镁</w:t>
            </w:r>
          </w:p>
        </w:tc>
        <w:tc>
          <w:tcPr>
            <w:tcW w:w="1269" w:type="dxa"/>
            <w:vAlign w:val="center"/>
          </w:tcPr>
          <w:p w14:paraId="41AC299C">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w:t>
            </w:r>
          </w:p>
        </w:tc>
      </w:tr>
      <w:tr w14:paraId="700D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vAlign w:val="center"/>
          </w:tcPr>
          <w:p w14:paraId="06FDB150">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11</w:t>
            </w:r>
          </w:p>
        </w:tc>
        <w:tc>
          <w:tcPr>
            <w:tcW w:w="2602" w:type="dxa"/>
            <w:vAlign w:val="center"/>
          </w:tcPr>
          <w:p w14:paraId="0D15485D">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硫化物</w:t>
            </w:r>
          </w:p>
        </w:tc>
        <w:tc>
          <w:tcPr>
            <w:tcW w:w="1175" w:type="dxa"/>
            <w:vAlign w:val="center"/>
          </w:tcPr>
          <w:p w14:paraId="6D88F2E4">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≤0.2</w:t>
            </w:r>
          </w:p>
        </w:tc>
        <w:tc>
          <w:tcPr>
            <w:tcW w:w="1094" w:type="dxa"/>
            <w:vAlign w:val="center"/>
          </w:tcPr>
          <w:p w14:paraId="0B5AF8AC">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27</w:t>
            </w:r>
          </w:p>
        </w:tc>
        <w:tc>
          <w:tcPr>
            <w:tcW w:w="1434" w:type="dxa"/>
            <w:vAlign w:val="center"/>
          </w:tcPr>
          <w:p w14:paraId="647D569A">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pacing w:val="4"/>
                <w:szCs w:val="21"/>
                <w:highlight w:val="none"/>
              </w:rPr>
            </w:pPr>
            <w:r>
              <w:rPr>
                <w:rFonts w:hint="default" w:ascii="Times New Roman" w:hAnsi="Times New Roman" w:eastAsia="宋体" w:cs="Times New Roman"/>
                <w:color w:val="auto"/>
                <w:spacing w:val="4"/>
                <w:sz w:val="21"/>
                <w:szCs w:val="21"/>
                <w:highlight w:val="none"/>
                <w:lang w:bidi="ar"/>
              </w:rPr>
              <w:t>铜</w:t>
            </w:r>
          </w:p>
        </w:tc>
        <w:tc>
          <w:tcPr>
            <w:tcW w:w="1269" w:type="dxa"/>
            <w:vAlign w:val="center"/>
          </w:tcPr>
          <w:p w14:paraId="67517986">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pacing w:val="4"/>
                <w:szCs w:val="21"/>
                <w:highlight w:val="none"/>
              </w:rPr>
            </w:pPr>
            <w:r>
              <w:rPr>
                <w:rFonts w:hint="default" w:ascii="Times New Roman" w:hAnsi="Times New Roman" w:eastAsia="宋体" w:cs="Times New Roman"/>
                <w:color w:val="auto"/>
                <w:sz w:val="21"/>
                <w:szCs w:val="21"/>
                <w:highlight w:val="none"/>
                <w:lang w:bidi="ar"/>
              </w:rPr>
              <w:t>≤1.00</w:t>
            </w:r>
          </w:p>
        </w:tc>
      </w:tr>
      <w:tr w14:paraId="4B5E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vAlign w:val="center"/>
          </w:tcPr>
          <w:p w14:paraId="6D384FC0">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12</w:t>
            </w:r>
          </w:p>
        </w:tc>
        <w:tc>
          <w:tcPr>
            <w:tcW w:w="2602" w:type="dxa"/>
            <w:vAlign w:val="center"/>
          </w:tcPr>
          <w:p w14:paraId="315ECE89">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钠</w:t>
            </w:r>
          </w:p>
        </w:tc>
        <w:tc>
          <w:tcPr>
            <w:tcW w:w="1175" w:type="dxa"/>
            <w:vAlign w:val="center"/>
          </w:tcPr>
          <w:p w14:paraId="1D43A72A">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≤200</w:t>
            </w:r>
          </w:p>
        </w:tc>
        <w:tc>
          <w:tcPr>
            <w:tcW w:w="1094" w:type="dxa"/>
            <w:vAlign w:val="center"/>
          </w:tcPr>
          <w:p w14:paraId="7782591C">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28</w:t>
            </w:r>
          </w:p>
        </w:tc>
        <w:tc>
          <w:tcPr>
            <w:tcW w:w="1434" w:type="dxa"/>
            <w:vAlign w:val="center"/>
          </w:tcPr>
          <w:p w14:paraId="65D579F6">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pacing w:val="4"/>
                <w:szCs w:val="21"/>
                <w:highlight w:val="none"/>
              </w:rPr>
            </w:pPr>
            <w:r>
              <w:rPr>
                <w:rFonts w:hint="default" w:ascii="Times New Roman" w:hAnsi="Times New Roman" w:eastAsia="宋体" w:cs="Times New Roman"/>
                <w:color w:val="auto"/>
                <w:spacing w:val="4"/>
                <w:sz w:val="21"/>
                <w:szCs w:val="21"/>
                <w:highlight w:val="none"/>
                <w:lang w:bidi="ar"/>
              </w:rPr>
              <w:t>锌</w:t>
            </w:r>
          </w:p>
        </w:tc>
        <w:tc>
          <w:tcPr>
            <w:tcW w:w="1269" w:type="dxa"/>
            <w:vAlign w:val="center"/>
          </w:tcPr>
          <w:p w14:paraId="7532ED24">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pacing w:val="4"/>
                <w:szCs w:val="21"/>
                <w:highlight w:val="none"/>
              </w:rPr>
            </w:pPr>
            <w:r>
              <w:rPr>
                <w:rFonts w:hint="default" w:ascii="Times New Roman" w:hAnsi="Times New Roman" w:eastAsia="宋体" w:cs="Times New Roman"/>
                <w:color w:val="auto"/>
                <w:sz w:val="21"/>
                <w:szCs w:val="21"/>
                <w:highlight w:val="none"/>
                <w:lang w:bidi="ar"/>
              </w:rPr>
              <w:t>≤1.00</w:t>
            </w:r>
          </w:p>
        </w:tc>
      </w:tr>
      <w:tr w14:paraId="5373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vAlign w:val="center"/>
          </w:tcPr>
          <w:p w14:paraId="6767BEEF">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13</w:t>
            </w:r>
          </w:p>
        </w:tc>
        <w:tc>
          <w:tcPr>
            <w:tcW w:w="2602" w:type="dxa"/>
            <w:vAlign w:val="center"/>
          </w:tcPr>
          <w:p w14:paraId="624E0199">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总大肠菌群（CFU/100mL）</w:t>
            </w:r>
          </w:p>
        </w:tc>
        <w:tc>
          <w:tcPr>
            <w:tcW w:w="1175" w:type="dxa"/>
            <w:vAlign w:val="center"/>
          </w:tcPr>
          <w:p w14:paraId="09AA9296">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≤3.0</w:t>
            </w:r>
          </w:p>
        </w:tc>
        <w:tc>
          <w:tcPr>
            <w:tcW w:w="1094" w:type="dxa"/>
            <w:vAlign w:val="center"/>
          </w:tcPr>
          <w:p w14:paraId="158FB5CC">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29</w:t>
            </w:r>
          </w:p>
        </w:tc>
        <w:tc>
          <w:tcPr>
            <w:tcW w:w="1434" w:type="dxa"/>
            <w:vAlign w:val="center"/>
          </w:tcPr>
          <w:p w14:paraId="3CC29AC8">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pacing w:val="4"/>
                <w:szCs w:val="21"/>
                <w:highlight w:val="none"/>
              </w:rPr>
            </w:pPr>
            <w:r>
              <w:rPr>
                <w:rFonts w:hint="default" w:ascii="Times New Roman" w:hAnsi="Times New Roman" w:eastAsia="宋体" w:cs="Times New Roman"/>
                <w:color w:val="auto"/>
                <w:spacing w:val="4"/>
                <w:sz w:val="21"/>
                <w:szCs w:val="21"/>
                <w:highlight w:val="none"/>
                <w:lang w:bidi="ar"/>
              </w:rPr>
              <w:t>镍</w:t>
            </w:r>
          </w:p>
        </w:tc>
        <w:tc>
          <w:tcPr>
            <w:tcW w:w="1269" w:type="dxa"/>
            <w:vAlign w:val="center"/>
          </w:tcPr>
          <w:p w14:paraId="00228816">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≤0.02</w:t>
            </w:r>
          </w:p>
        </w:tc>
      </w:tr>
      <w:tr w14:paraId="15CF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vAlign w:val="center"/>
          </w:tcPr>
          <w:p w14:paraId="78DF9CB8">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14</w:t>
            </w:r>
          </w:p>
        </w:tc>
        <w:tc>
          <w:tcPr>
            <w:tcW w:w="2602" w:type="dxa"/>
            <w:vAlign w:val="center"/>
          </w:tcPr>
          <w:p w14:paraId="3CF80737">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细菌总数（CFU/mL）</w:t>
            </w:r>
          </w:p>
        </w:tc>
        <w:tc>
          <w:tcPr>
            <w:tcW w:w="1175" w:type="dxa"/>
            <w:vAlign w:val="center"/>
          </w:tcPr>
          <w:p w14:paraId="472B2272">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≤100</w:t>
            </w:r>
          </w:p>
        </w:tc>
        <w:tc>
          <w:tcPr>
            <w:tcW w:w="1094" w:type="dxa"/>
            <w:vAlign w:val="center"/>
          </w:tcPr>
          <w:p w14:paraId="65E43189">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30</w:t>
            </w:r>
          </w:p>
        </w:tc>
        <w:tc>
          <w:tcPr>
            <w:tcW w:w="1434" w:type="dxa"/>
            <w:vAlign w:val="center"/>
          </w:tcPr>
          <w:p w14:paraId="16E104B2">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pacing w:val="4"/>
                <w:szCs w:val="21"/>
                <w:highlight w:val="none"/>
              </w:rPr>
            </w:pPr>
            <w:r>
              <w:rPr>
                <w:rFonts w:hint="default" w:ascii="Times New Roman" w:hAnsi="Times New Roman" w:eastAsia="宋体" w:cs="Times New Roman"/>
                <w:color w:val="auto"/>
                <w:sz w:val="21"/>
                <w:szCs w:val="21"/>
                <w:highlight w:val="none"/>
                <w:lang w:bidi="ar"/>
              </w:rPr>
              <w:t>碳酸盐</w:t>
            </w:r>
          </w:p>
        </w:tc>
        <w:tc>
          <w:tcPr>
            <w:tcW w:w="1269" w:type="dxa"/>
            <w:vAlign w:val="center"/>
          </w:tcPr>
          <w:p w14:paraId="2EBB196A">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pacing w:val="4"/>
                <w:sz w:val="21"/>
                <w:szCs w:val="21"/>
                <w:highlight w:val="none"/>
                <w:lang w:bidi="ar"/>
              </w:rPr>
              <w:t>/</w:t>
            </w:r>
          </w:p>
        </w:tc>
      </w:tr>
      <w:tr w14:paraId="2799F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vAlign w:val="center"/>
          </w:tcPr>
          <w:p w14:paraId="6B97CE49">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15</w:t>
            </w:r>
          </w:p>
        </w:tc>
        <w:tc>
          <w:tcPr>
            <w:tcW w:w="2602" w:type="dxa"/>
            <w:vAlign w:val="center"/>
          </w:tcPr>
          <w:p w14:paraId="38885066">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氰化物</w:t>
            </w:r>
          </w:p>
        </w:tc>
        <w:tc>
          <w:tcPr>
            <w:tcW w:w="1175" w:type="dxa"/>
            <w:vAlign w:val="center"/>
          </w:tcPr>
          <w:p w14:paraId="22E90C9A">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≤0.05</w:t>
            </w:r>
          </w:p>
        </w:tc>
        <w:tc>
          <w:tcPr>
            <w:tcW w:w="1094" w:type="dxa"/>
            <w:vAlign w:val="center"/>
          </w:tcPr>
          <w:p w14:paraId="4726B7ED">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31</w:t>
            </w:r>
          </w:p>
        </w:tc>
        <w:tc>
          <w:tcPr>
            <w:tcW w:w="1434" w:type="dxa"/>
            <w:vAlign w:val="center"/>
          </w:tcPr>
          <w:p w14:paraId="48E7D538">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重碳酸盐</w:t>
            </w:r>
          </w:p>
        </w:tc>
        <w:tc>
          <w:tcPr>
            <w:tcW w:w="1269" w:type="dxa"/>
            <w:vAlign w:val="center"/>
          </w:tcPr>
          <w:p w14:paraId="2484C0B2">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pacing w:val="4"/>
                <w:sz w:val="21"/>
                <w:szCs w:val="21"/>
                <w:highlight w:val="none"/>
                <w:lang w:bidi="ar"/>
              </w:rPr>
              <w:t>/</w:t>
            </w:r>
          </w:p>
        </w:tc>
      </w:tr>
      <w:tr w14:paraId="4630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vAlign w:val="center"/>
          </w:tcPr>
          <w:p w14:paraId="6BC8F67B">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lang w:bidi="ar"/>
              </w:rPr>
              <w:t>16</w:t>
            </w:r>
          </w:p>
        </w:tc>
        <w:tc>
          <w:tcPr>
            <w:tcW w:w="2602" w:type="dxa"/>
            <w:vAlign w:val="center"/>
          </w:tcPr>
          <w:p w14:paraId="4E375349">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亚硝酸盐氮（以N计）</w:t>
            </w:r>
          </w:p>
        </w:tc>
        <w:tc>
          <w:tcPr>
            <w:tcW w:w="1175" w:type="dxa"/>
            <w:vAlign w:val="center"/>
          </w:tcPr>
          <w:p w14:paraId="5B4BC3BC">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≤1.0</w:t>
            </w:r>
          </w:p>
        </w:tc>
        <w:tc>
          <w:tcPr>
            <w:tcW w:w="1094" w:type="dxa"/>
            <w:vAlign w:val="center"/>
          </w:tcPr>
          <w:p w14:paraId="232D988F">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32</w:t>
            </w:r>
          </w:p>
        </w:tc>
        <w:tc>
          <w:tcPr>
            <w:tcW w:w="1434" w:type="dxa"/>
            <w:vAlign w:val="center"/>
          </w:tcPr>
          <w:p w14:paraId="5618D547">
            <w:pPr>
              <w:keepNext w:val="0"/>
              <w:keepLines w:val="0"/>
              <w:pageBreakBefore w:val="0"/>
              <w:widowControl/>
              <w:suppressLineNumbers w:val="0"/>
              <w:kinsoku/>
              <w:wordWrap/>
              <w:overflowPunct/>
              <w:bidi w:val="0"/>
              <w:spacing w:before="0" w:beforeAutospacing="0" w:after="0" w:afterAutospacing="0" w:line="240" w:lineRule="auto"/>
              <w:ind w:left="0" w:right="0" w:firstLine="0"/>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石油类</w:t>
            </w:r>
          </w:p>
        </w:tc>
        <w:tc>
          <w:tcPr>
            <w:tcW w:w="1269" w:type="dxa"/>
            <w:vAlign w:val="center"/>
          </w:tcPr>
          <w:p w14:paraId="002F4CE5">
            <w:pPr>
              <w:keepNext w:val="0"/>
              <w:keepLines w:val="0"/>
              <w:pageBreakBefore w:val="0"/>
              <w:widowControl w:val="0"/>
              <w:suppressLineNumbers w:val="0"/>
              <w:kinsoku/>
              <w:wordWrap/>
              <w:overflowPunct/>
              <w:bidi w:val="0"/>
              <w:spacing w:before="0" w:beforeAutospacing="0" w:after="0" w:afterAutospacing="0" w:line="240" w:lineRule="auto"/>
              <w:ind w:left="0" w:right="0" w:firstLine="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bidi="ar"/>
              </w:rPr>
              <w:t>≤0.05</w:t>
            </w:r>
          </w:p>
        </w:tc>
      </w:tr>
    </w:tbl>
    <w:p w14:paraId="0630B0D7">
      <w:pPr>
        <w:pageBreakBefore w:val="0"/>
        <w:widowControl w:val="0"/>
        <w:kinsoku/>
        <w:wordWrap/>
        <w:overflowPunct/>
        <w:bidi w:val="0"/>
        <w:ind w:firstLine="0"/>
        <w:jc w:val="both"/>
        <w:rPr>
          <w:rFonts w:hint="default" w:ascii="Times New Roman" w:hAnsi="Times New Roman" w:eastAsia="宋体" w:cs="Times New Roman"/>
          <w:color w:val="auto"/>
          <w:szCs w:val="21"/>
          <w:highlight w:val="none"/>
        </w:rPr>
      </w:pPr>
      <w:r>
        <w:rPr>
          <w:rFonts w:hint="default" w:ascii="Times New Roman" w:hAnsi="Times New Roman" w:eastAsia="宋体" w:cs="Times New Roman"/>
          <w:b w:val="0"/>
          <w:bCs/>
          <w:color w:val="auto"/>
          <w:sz w:val="21"/>
          <w:szCs w:val="21"/>
          <w:highlight w:val="none"/>
          <w:lang w:bidi="ar"/>
        </w:rPr>
        <w:t>注：石油类标准参照《地表水环境质量标准》（GB3838-2002）中的</w:t>
      </w:r>
      <w:r>
        <w:rPr>
          <w:rFonts w:hint="eastAsia" w:cs="Times New Roman"/>
          <w:b w:val="0"/>
          <w:bCs/>
          <w:color w:val="auto"/>
          <w:sz w:val="21"/>
          <w:szCs w:val="21"/>
          <w:highlight w:val="none"/>
          <w:lang w:eastAsia="zh-CN" w:bidi="ar"/>
        </w:rPr>
        <w:t>Ⅲ类</w:t>
      </w:r>
      <w:r>
        <w:rPr>
          <w:rFonts w:hint="default" w:ascii="Times New Roman" w:hAnsi="Times New Roman" w:eastAsia="宋体" w:cs="Times New Roman"/>
          <w:b w:val="0"/>
          <w:bCs/>
          <w:color w:val="auto"/>
          <w:sz w:val="21"/>
          <w:szCs w:val="21"/>
          <w:highlight w:val="none"/>
          <w:lang w:bidi="ar"/>
        </w:rPr>
        <w:t>标准</w:t>
      </w:r>
    </w:p>
    <w:p w14:paraId="6A801CC3">
      <w:pPr>
        <w:pageBreakBefore w:val="0"/>
        <w:widowControl w:val="0"/>
        <w:numPr>
          <w:ilvl w:val="0"/>
          <w:numId w:val="0"/>
        </w:numPr>
        <w:kinsoku/>
        <w:wordWrap/>
        <w:overflowPunct/>
        <w:bidi w:val="0"/>
        <w:spacing w:line="360" w:lineRule="auto"/>
        <w:ind w:leftChars="200"/>
        <w:jc w:val="both"/>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（4）土壤环境</w:t>
      </w:r>
    </w:p>
    <w:p w14:paraId="6F57CA3E">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机场占地范围外土壤执行《土壤环境质量  农用地土壤污染风险管控标准（试行）》（</w:t>
      </w:r>
      <w:r>
        <w:rPr>
          <w:rFonts w:ascii="Times New Roman" w:hAnsi="Times New Roman" w:eastAsia="Times New Roman" w:cs="Times New Roman"/>
          <w:color w:val="auto"/>
          <w:szCs w:val="21"/>
          <w:highlight w:val="none"/>
        </w:rPr>
        <w:t>GB15618-2018</w:t>
      </w:r>
      <w:r>
        <w:rPr>
          <w:rFonts w:ascii="Times New Roman" w:hAnsi="Times New Roman" w:eastAsia="宋体" w:cs="Times New Roman"/>
          <w:color w:val="auto"/>
          <w:szCs w:val="21"/>
          <w:highlight w:val="none"/>
        </w:rPr>
        <w:t>）中农用地土壤污染风险筛选值要求，机场占地范围内土壤执行《土壤环境质量  建设用地土壤污染风险管控标准（试行）》（</w:t>
      </w:r>
      <w:r>
        <w:rPr>
          <w:rFonts w:ascii="Times New Roman" w:hAnsi="Times New Roman" w:eastAsia="Times New Roman" w:cs="Times New Roman"/>
          <w:color w:val="auto"/>
          <w:szCs w:val="21"/>
          <w:highlight w:val="none"/>
        </w:rPr>
        <w:t>GB36600-2018</w:t>
      </w:r>
      <w:r>
        <w:rPr>
          <w:rFonts w:ascii="Times New Roman" w:hAnsi="Times New Roman" w:eastAsia="宋体" w:cs="Times New Roman"/>
          <w:color w:val="auto"/>
          <w:szCs w:val="21"/>
          <w:highlight w:val="none"/>
        </w:rPr>
        <w:t>）第二类建设用地筛选值，详见表</w:t>
      </w:r>
      <w:r>
        <w:rPr>
          <w:rFonts w:ascii="Times New Roman" w:hAnsi="Times New Roman" w:eastAsia="Times New Roman" w:cs="Times New Roman"/>
          <w:color w:val="auto"/>
          <w:szCs w:val="21"/>
          <w:highlight w:val="none"/>
        </w:rPr>
        <w:t>2.4</w:t>
      </w:r>
      <w:r>
        <w:rPr>
          <w:rFonts w:hint="eastAsia" w:ascii="Times New Roman" w:hAnsi="Times New Roman" w:eastAsia="宋体" w:cs="Times New Roman"/>
          <w:color w:val="auto"/>
          <w:szCs w:val="21"/>
          <w:highlight w:val="none"/>
        </w:rPr>
        <w:t>-</w:t>
      </w:r>
      <w:r>
        <w:rPr>
          <w:rFonts w:hint="eastAsia" w:cs="Times New Roman"/>
          <w:color w:val="auto"/>
          <w:szCs w:val="21"/>
          <w:highlight w:val="none"/>
          <w:lang w:val="en-US" w:eastAsia="zh-CN"/>
        </w:rPr>
        <w:t>5</w:t>
      </w:r>
      <w:r>
        <w:rPr>
          <w:rFonts w:ascii="Times New Roman" w:hAnsi="Times New Roman" w:eastAsia="宋体" w:cs="Times New Roman"/>
          <w:color w:val="auto"/>
          <w:szCs w:val="21"/>
          <w:highlight w:val="none"/>
        </w:rPr>
        <w:t>、表</w:t>
      </w:r>
      <w:r>
        <w:rPr>
          <w:rFonts w:ascii="Times New Roman" w:hAnsi="Times New Roman" w:eastAsia="Times New Roman" w:cs="Times New Roman"/>
          <w:color w:val="auto"/>
          <w:szCs w:val="21"/>
          <w:highlight w:val="none"/>
        </w:rPr>
        <w:t>2.4-</w:t>
      </w:r>
      <w:r>
        <w:rPr>
          <w:rFonts w:hint="eastAsia" w:cs="Times New Roman"/>
          <w:color w:val="auto"/>
          <w:szCs w:val="21"/>
          <w:highlight w:val="none"/>
          <w:lang w:val="en-US" w:eastAsia="zh-CN"/>
        </w:rPr>
        <w:t>6</w:t>
      </w:r>
      <w:r>
        <w:rPr>
          <w:rFonts w:ascii="Times New Roman" w:hAnsi="Times New Roman" w:eastAsia="宋体" w:cs="Times New Roman"/>
          <w:color w:val="auto"/>
          <w:szCs w:val="21"/>
          <w:highlight w:val="none"/>
        </w:rPr>
        <w:t>。</w:t>
      </w:r>
    </w:p>
    <w:p w14:paraId="6EDDF55D">
      <w:pPr>
        <w:pageBreakBefore w:val="0"/>
        <w:widowControl w:val="0"/>
        <w:kinsoku/>
        <w:wordWrap/>
        <w:overflowPunct/>
        <w:bidi w:val="0"/>
        <w:spacing w:beforeLines="0" w:afterLines="0" w:line="240" w:lineRule="auto"/>
        <w:ind w:left="0" w:leftChars="0" w:firstLine="0" w:firstLineChars="0"/>
        <w:jc w:val="center"/>
        <w:rPr>
          <w:rFonts w:ascii="Times New Roman" w:hAnsi="Times New Roman" w:eastAsia="黑体" w:cs="Times New Roman"/>
          <w:color w:val="auto"/>
          <w:kern w:val="2"/>
          <w:sz w:val="21"/>
          <w:szCs w:val="18"/>
          <w:highlight w:val="none"/>
          <w:lang w:val="en-US" w:eastAsia="zh-CN" w:bidi="ar-SA"/>
        </w:rPr>
      </w:pPr>
      <w:r>
        <w:rPr>
          <w:rFonts w:ascii="Times New Roman" w:hAnsi="Times New Roman" w:eastAsia="黑体" w:cs="Times New Roman"/>
          <w:color w:val="auto"/>
          <w:kern w:val="2"/>
          <w:sz w:val="21"/>
          <w:szCs w:val="18"/>
          <w:highlight w:val="none"/>
          <w:lang w:val="en-US" w:eastAsia="zh-CN" w:bidi="ar-SA"/>
        </w:rPr>
        <w:t>表</w:t>
      </w:r>
      <w:r>
        <w:rPr>
          <w:rFonts w:ascii="Times New Roman" w:hAnsi="Times New Roman" w:eastAsia="Times New Roman" w:cs="Times New Roman"/>
          <w:b/>
          <w:color w:val="auto"/>
          <w:kern w:val="2"/>
          <w:sz w:val="21"/>
          <w:szCs w:val="18"/>
          <w:highlight w:val="none"/>
          <w:lang w:val="en-US" w:eastAsia="zh-CN" w:bidi="ar-SA"/>
        </w:rPr>
        <w:t>2.4-</w:t>
      </w:r>
      <w:r>
        <w:rPr>
          <w:rFonts w:hint="eastAsia" w:cs="Times New Roman"/>
          <w:b/>
          <w:color w:val="auto"/>
          <w:kern w:val="2"/>
          <w:sz w:val="21"/>
          <w:szCs w:val="18"/>
          <w:highlight w:val="none"/>
          <w:lang w:val="en-US" w:eastAsia="zh-CN" w:bidi="ar-SA"/>
        </w:rPr>
        <w:t xml:space="preserve">5  </w:t>
      </w:r>
      <w:r>
        <w:rPr>
          <w:rFonts w:ascii="Times New Roman" w:hAnsi="Times New Roman" w:eastAsia="黑体" w:cs="Times New Roman"/>
          <w:color w:val="auto"/>
          <w:kern w:val="2"/>
          <w:sz w:val="21"/>
          <w:szCs w:val="18"/>
          <w:highlight w:val="none"/>
          <w:lang w:val="en-US" w:eastAsia="zh-CN" w:bidi="ar-SA"/>
        </w:rPr>
        <w:t>农用地土壤污染风险筛选值（基</w:t>
      </w:r>
      <w:r>
        <w:rPr>
          <w:rFonts w:hint="eastAsia" w:eastAsia="黑体" w:cs="Times New Roman"/>
          <w:color w:val="auto"/>
          <w:kern w:val="2"/>
          <w:sz w:val="21"/>
          <w:szCs w:val="18"/>
          <w:highlight w:val="none"/>
          <w:lang w:val="en-US" w:eastAsia="zh-CN" w:bidi="ar-SA"/>
        </w:rPr>
        <w:t>本项目</w:t>
      </w:r>
      <w:r>
        <w:rPr>
          <w:rFonts w:ascii="Times New Roman" w:hAnsi="Times New Roman" w:eastAsia="黑体" w:cs="Times New Roman"/>
          <w:color w:val="auto"/>
          <w:kern w:val="2"/>
          <w:sz w:val="21"/>
          <w:szCs w:val="18"/>
          <w:highlight w:val="none"/>
          <w:lang w:val="en-US" w:eastAsia="zh-CN" w:bidi="ar-SA"/>
        </w:rPr>
        <w:t>）单位：</w:t>
      </w:r>
      <w:r>
        <w:rPr>
          <w:rFonts w:ascii="Times New Roman" w:hAnsi="Times New Roman" w:eastAsia="Times New Roman" w:cs="Times New Roman"/>
          <w:b/>
          <w:color w:val="auto"/>
          <w:kern w:val="2"/>
          <w:sz w:val="21"/>
          <w:szCs w:val="18"/>
          <w:highlight w:val="none"/>
          <w:lang w:val="en-US" w:eastAsia="zh-CN" w:bidi="ar-SA"/>
        </w:rPr>
        <w:t>mg/kg</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1046"/>
        <w:gridCol w:w="1193"/>
        <w:gridCol w:w="1343"/>
        <w:gridCol w:w="1491"/>
        <w:gridCol w:w="1490"/>
        <w:gridCol w:w="1140"/>
      </w:tblGrid>
      <w:tr w14:paraId="7420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9" w:type="pct"/>
            <w:vMerge w:val="restart"/>
            <w:tcMar>
              <w:left w:w="57" w:type="dxa"/>
              <w:right w:w="57" w:type="dxa"/>
            </w:tcMar>
            <w:vAlign w:val="center"/>
          </w:tcPr>
          <w:p w14:paraId="4C028C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序号</w:t>
            </w:r>
          </w:p>
        </w:tc>
        <w:tc>
          <w:tcPr>
            <w:tcW w:w="1282" w:type="pct"/>
            <w:gridSpan w:val="2"/>
            <w:vMerge w:val="restart"/>
            <w:tcMar>
              <w:left w:w="57" w:type="dxa"/>
              <w:right w:w="57" w:type="dxa"/>
            </w:tcMar>
            <w:vAlign w:val="center"/>
          </w:tcPr>
          <w:p w14:paraId="34E8F6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污染物项目</w:t>
            </w:r>
          </w:p>
        </w:tc>
        <w:tc>
          <w:tcPr>
            <w:tcW w:w="3129" w:type="pct"/>
            <w:gridSpan w:val="4"/>
            <w:tcMar>
              <w:left w:w="57" w:type="dxa"/>
              <w:right w:w="57" w:type="dxa"/>
            </w:tcMar>
            <w:vAlign w:val="center"/>
          </w:tcPr>
          <w:p w14:paraId="0650D7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风险筛选值</w:t>
            </w:r>
          </w:p>
        </w:tc>
      </w:tr>
      <w:tr w14:paraId="2A37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9" w:type="pct"/>
            <w:vMerge w:val="continue"/>
            <w:tcMar>
              <w:left w:w="57" w:type="dxa"/>
              <w:right w:w="57" w:type="dxa"/>
            </w:tcMar>
            <w:vAlign w:val="center"/>
          </w:tcPr>
          <w:p w14:paraId="22127C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1"/>
                <w:highlight w:val="none"/>
                <w:lang w:val="en-US" w:eastAsia="zh-CN" w:bidi="ar-SA"/>
              </w:rPr>
            </w:pPr>
          </w:p>
        </w:tc>
        <w:tc>
          <w:tcPr>
            <w:tcW w:w="1282" w:type="pct"/>
            <w:gridSpan w:val="2"/>
            <w:vMerge w:val="continue"/>
            <w:tcMar>
              <w:left w:w="57" w:type="dxa"/>
              <w:right w:w="57" w:type="dxa"/>
            </w:tcMar>
            <w:vAlign w:val="center"/>
          </w:tcPr>
          <w:p w14:paraId="596963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1"/>
                <w:highlight w:val="none"/>
                <w:lang w:val="en-US" w:eastAsia="zh-CN" w:bidi="ar-SA"/>
              </w:rPr>
            </w:pPr>
          </w:p>
        </w:tc>
        <w:tc>
          <w:tcPr>
            <w:tcW w:w="769" w:type="pct"/>
            <w:tcMar>
              <w:left w:w="57" w:type="dxa"/>
              <w:right w:w="57" w:type="dxa"/>
            </w:tcMar>
            <w:vAlign w:val="center"/>
          </w:tcPr>
          <w:p w14:paraId="0B29D4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pH≤5.5</w:t>
            </w:r>
          </w:p>
        </w:tc>
        <w:tc>
          <w:tcPr>
            <w:tcW w:w="854" w:type="pct"/>
            <w:tcMar>
              <w:left w:w="57" w:type="dxa"/>
              <w:right w:w="57" w:type="dxa"/>
            </w:tcMar>
            <w:vAlign w:val="center"/>
          </w:tcPr>
          <w:p w14:paraId="5A2FAD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5.5</w:t>
            </w:r>
            <w:r>
              <w:rPr>
                <w:rFonts w:hint="eastAsia" w:cs="Times New Roman"/>
                <w:b/>
                <w:color w:val="auto"/>
                <w:kern w:val="2"/>
                <w:sz w:val="21"/>
                <w:szCs w:val="21"/>
                <w:highlight w:val="none"/>
                <w:lang w:val="en-US" w:eastAsia="zh-CN" w:bidi="ar-SA"/>
              </w:rPr>
              <w:t>&lt;</w:t>
            </w:r>
            <w:r>
              <w:rPr>
                <w:rFonts w:hint="default" w:ascii="Times New Roman" w:hAnsi="Times New Roman" w:eastAsia="宋体" w:cs="Times New Roman"/>
                <w:b/>
                <w:color w:val="auto"/>
                <w:kern w:val="2"/>
                <w:sz w:val="21"/>
                <w:szCs w:val="21"/>
                <w:highlight w:val="none"/>
                <w:lang w:val="en-US" w:eastAsia="zh-CN" w:bidi="ar-SA"/>
              </w:rPr>
              <w:t>pH≤6.5</w:t>
            </w:r>
          </w:p>
        </w:tc>
        <w:tc>
          <w:tcPr>
            <w:tcW w:w="853" w:type="pct"/>
            <w:tcMar>
              <w:left w:w="57" w:type="dxa"/>
              <w:right w:w="57" w:type="dxa"/>
            </w:tcMar>
            <w:vAlign w:val="center"/>
          </w:tcPr>
          <w:p w14:paraId="617CEF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6.5</w:t>
            </w:r>
            <w:r>
              <w:rPr>
                <w:rFonts w:hint="eastAsia" w:cs="Times New Roman"/>
                <w:b/>
                <w:color w:val="auto"/>
                <w:kern w:val="2"/>
                <w:sz w:val="21"/>
                <w:szCs w:val="21"/>
                <w:highlight w:val="none"/>
                <w:lang w:val="en-US" w:eastAsia="zh-CN" w:bidi="ar-SA"/>
              </w:rPr>
              <w:t>&lt;</w:t>
            </w:r>
            <w:r>
              <w:rPr>
                <w:rFonts w:hint="default" w:ascii="Times New Roman" w:hAnsi="Times New Roman" w:eastAsia="宋体" w:cs="Times New Roman"/>
                <w:b/>
                <w:color w:val="auto"/>
                <w:kern w:val="2"/>
                <w:sz w:val="21"/>
                <w:szCs w:val="21"/>
                <w:highlight w:val="none"/>
                <w:lang w:val="en-US" w:eastAsia="zh-CN" w:bidi="ar-SA"/>
              </w:rPr>
              <w:t>pH≤7.5</w:t>
            </w:r>
          </w:p>
        </w:tc>
        <w:tc>
          <w:tcPr>
            <w:tcW w:w="653" w:type="pct"/>
            <w:tcMar>
              <w:left w:w="57" w:type="dxa"/>
              <w:right w:w="57" w:type="dxa"/>
            </w:tcMar>
            <w:vAlign w:val="center"/>
          </w:tcPr>
          <w:p w14:paraId="7F98EB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pH</w:t>
            </w:r>
            <w:r>
              <w:rPr>
                <w:rFonts w:hint="eastAsia" w:cs="Times New Roman"/>
                <w:b/>
                <w:color w:val="auto"/>
                <w:kern w:val="2"/>
                <w:sz w:val="21"/>
                <w:szCs w:val="21"/>
                <w:highlight w:val="none"/>
                <w:lang w:val="en-US" w:eastAsia="zh-CN" w:bidi="ar-SA"/>
              </w:rPr>
              <w:t>&gt;</w:t>
            </w:r>
            <w:r>
              <w:rPr>
                <w:rFonts w:hint="default" w:ascii="Times New Roman" w:hAnsi="Times New Roman" w:eastAsia="宋体" w:cs="Times New Roman"/>
                <w:b/>
                <w:color w:val="auto"/>
                <w:kern w:val="2"/>
                <w:sz w:val="21"/>
                <w:szCs w:val="21"/>
                <w:highlight w:val="none"/>
                <w:lang w:val="en-US" w:eastAsia="zh-CN" w:bidi="ar-SA"/>
              </w:rPr>
              <w:t>7.5</w:t>
            </w:r>
          </w:p>
        </w:tc>
      </w:tr>
      <w:tr w14:paraId="7B1A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9" w:type="pct"/>
            <w:tcMar>
              <w:left w:w="57" w:type="dxa"/>
              <w:right w:w="57" w:type="dxa"/>
            </w:tcMar>
            <w:vAlign w:val="center"/>
          </w:tcPr>
          <w:p w14:paraId="577EDE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c>
          <w:tcPr>
            <w:tcW w:w="599" w:type="pct"/>
            <w:tcMar>
              <w:left w:w="57" w:type="dxa"/>
              <w:right w:w="57" w:type="dxa"/>
            </w:tcMar>
            <w:vAlign w:val="center"/>
          </w:tcPr>
          <w:p w14:paraId="3E1753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镉</w:t>
            </w:r>
          </w:p>
        </w:tc>
        <w:tc>
          <w:tcPr>
            <w:tcW w:w="683" w:type="pct"/>
            <w:tcMar>
              <w:left w:w="57" w:type="dxa"/>
              <w:right w:w="57" w:type="dxa"/>
            </w:tcMar>
            <w:vAlign w:val="center"/>
          </w:tcPr>
          <w:p w14:paraId="030FE7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其他</w:t>
            </w:r>
          </w:p>
        </w:tc>
        <w:tc>
          <w:tcPr>
            <w:tcW w:w="769" w:type="pct"/>
            <w:tcMar>
              <w:left w:w="57" w:type="dxa"/>
              <w:right w:w="57" w:type="dxa"/>
            </w:tcMar>
            <w:vAlign w:val="center"/>
          </w:tcPr>
          <w:p w14:paraId="3A73CC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0.3</w:t>
            </w:r>
          </w:p>
        </w:tc>
        <w:tc>
          <w:tcPr>
            <w:tcW w:w="854" w:type="pct"/>
            <w:tcMar>
              <w:left w:w="57" w:type="dxa"/>
              <w:right w:w="57" w:type="dxa"/>
            </w:tcMar>
            <w:vAlign w:val="center"/>
          </w:tcPr>
          <w:p w14:paraId="2AB730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0.3</w:t>
            </w:r>
          </w:p>
        </w:tc>
        <w:tc>
          <w:tcPr>
            <w:tcW w:w="853" w:type="pct"/>
            <w:tcMar>
              <w:left w:w="57" w:type="dxa"/>
              <w:right w:w="57" w:type="dxa"/>
            </w:tcMar>
            <w:vAlign w:val="center"/>
          </w:tcPr>
          <w:p w14:paraId="304F12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0.3</w:t>
            </w:r>
          </w:p>
        </w:tc>
        <w:tc>
          <w:tcPr>
            <w:tcW w:w="653" w:type="pct"/>
            <w:tcMar>
              <w:left w:w="57" w:type="dxa"/>
              <w:right w:w="57" w:type="dxa"/>
            </w:tcMar>
            <w:vAlign w:val="center"/>
          </w:tcPr>
          <w:p w14:paraId="528F13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0.6</w:t>
            </w:r>
          </w:p>
        </w:tc>
      </w:tr>
      <w:tr w14:paraId="77EB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9" w:type="pct"/>
            <w:tcMar>
              <w:left w:w="57" w:type="dxa"/>
              <w:right w:w="57" w:type="dxa"/>
            </w:tcMar>
            <w:vAlign w:val="center"/>
          </w:tcPr>
          <w:p w14:paraId="0B0ED6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w:t>
            </w:r>
          </w:p>
        </w:tc>
        <w:tc>
          <w:tcPr>
            <w:tcW w:w="599" w:type="pct"/>
            <w:tcMar>
              <w:left w:w="57" w:type="dxa"/>
              <w:right w:w="57" w:type="dxa"/>
            </w:tcMar>
            <w:vAlign w:val="center"/>
          </w:tcPr>
          <w:p w14:paraId="4C6462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汞</w:t>
            </w:r>
          </w:p>
        </w:tc>
        <w:tc>
          <w:tcPr>
            <w:tcW w:w="683" w:type="pct"/>
            <w:tcMar>
              <w:left w:w="57" w:type="dxa"/>
              <w:right w:w="57" w:type="dxa"/>
            </w:tcMar>
            <w:vAlign w:val="center"/>
          </w:tcPr>
          <w:p w14:paraId="526B74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其他</w:t>
            </w:r>
          </w:p>
        </w:tc>
        <w:tc>
          <w:tcPr>
            <w:tcW w:w="769" w:type="pct"/>
            <w:tcMar>
              <w:left w:w="57" w:type="dxa"/>
              <w:right w:w="57" w:type="dxa"/>
            </w:tcMar>
            <w:vAlign w:val="center"/>
          </w:tcPr>
          <w:p w14:paraId="6C4C62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1.3</w:t>
            </w:r>
          </w:p>
        </w:tc>
        <w:tc>
          <w:tcPr>
            <w:tcW w:w="854" w:type="pct"/>
            <w:tcMar>
              <w:left w:w="57" w:type="dxa"/>
              <w:right w:w="57" w:type="dxa"/>
            </w:tcMar>
            <w:vAlign w:val="center"/>
          </w:tcPr>
          <w:p w14:paraId="20A0D7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1.8</w:t>
            </w:r>
          </w:p>
        </w:tc>
        <w:tc>
          <w:tcPr>
            <w:tcW w:w="853" w:type="pct"/>
            <w:tcMar>
              <w:left w:w="57" w:type="dxa"/>
              <w:right w:w="57" w:type="dxa"/>
            </w:tcMar>
            <w:vAlign w:val="center"/>
          </w:tcPr>
          <w:p w14:paraId="66B1FB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2.4</w:t>
            </w:r>
          </w:p>
        </w:tc>
        <w:tc>
          <w:tcPr>
            <w:tcW w:w="653" w:type="pct"/>
            <w:tcMar>
              <w:left w:w="57" w:type="dxa"/>
              <w:right w:w="57" w:type="dxa"/>
            </w:tcMar>
            <w:vAlign w:val="center"/>
          </w:tcPr>
          <w:p w14:paraId="27F8BC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3.4</w:t>
            </w:r>
          </w:p>
        </w:tc>
      </w:tr>
      <w:tr w14:paraId="1532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9" w:type="pct"/>
            <w:tcMar>
              <w:left w:w="57" w:type="dxa"/>
              <w:right w:w="57" w:type="dxa"/>
            </w:tcMar>
            <w:vAlign w:val="center"/>
          </w:tcPr>
          <w:p w14:paraId="34F540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w:t>
            </w:r>
          </w:p>
        </w:tc>
        <w:tc>
          <w:tcPr>
            <w:tcW w:w="599" w:type="pct"/>
            <w:tcMar>
              <w:left w:w="57" w:type="dxa"/>
              <w:right w:w="57" w:type="dxa"/>
            </w:tcMar>
            <w:vAlign w:val="center"/>
          </w:tcPr>
          <w:p w14:paraId="1FCC33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砷</w:t>
            </w:r>
          </w:p>
        </w:tc>
        <w:tc>
          <w:tcPr>
            <w:tcW w:w="683" w:type="pct"/>
            <w:tcMar>
              <w:left w:w="57" w:type="dxa"/>
              <w:right w:w="57" w:type="dxa"/>
            </w:tcMar>
            <w:vAlign w:val="center"/>
          </w:tcPr>
          <w:p w14:paraId="2F79F3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其他</w:t>
            </w:r>
          </w:p>
        </w:tc>
        <w:tc>
          <w:tcPr>
            <w:tcW w:w="769" w:type="pct"/>
            <w:tcMar>
              <w:left w:w="57" w:type="dxa"/>
              <w:right w:w="57" w:type="dxa"/>
            </w:tcMar>
            <w:vAlign w:val="center"/>
          </w:tcPr>
          <w:p w14:paraId="4D1283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40</w:t>
            </w:r>
          </w:p>
        </w:tc>
        <w:tc>
          <w:tcPr>
            <w:tcW w:w="854" w:type="pct"/>
            <w:tcMar>
              <w:left w:w="57" w:type="dxa"/>
              <w:right w:w="57" w:type="dxa"/>
            </w:tcMar>
            <w:vAlign w:val="center"/>
          </w:tcPr>
          <w:p w14:paraId="2A8968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40</w:t>
            </w:r>
          </w:p>
        </w:tc>
        <w:tc>
          <w:tcPr>
            <w:tcW w:w="853" w:type="pct"/>
            <w:tcMar>
              <w:left w:w="57" w:type="dxa"/>
              <w:right w:w="57" w:type="dxa"/>
            </w:tcMar>
            <w:vAlign w:val="center"/>
          </w:tcPr>
          <w:p w14:paraId="19C32E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30</w:t>
            </w:r>
          </w:p>
        </w:tc>
        <w:tc>
          <w:tcPr>
            <w:tcW w:w="653" w:type="pct"/>
            <w:tcMar>
              <w:left w:w="57" w:type="dxa"/>
              <w:right w:w="57" w:type="dxa"/>
            </w:tcMar>
            <w:vAlign w:val="center"/>
          </w:tcPr>
          <w:p w14:paraId="1CBA1F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25</w:t>
            </w:r>
          </w:p>
        </w:tc>
      </w:tr>
      <w:tr w14:paraId="74488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9" w:type="pct"/>
            <w:tcMar>
              <w:left w:w="57" w:type="dxa"/>
              <w:right w:w="57" w:type="dxa"/>
            </w:tcMar>
            <w:vAlign w:val="center"/>
          </w:tcPr>
          <w:p w14:paraId="2D8765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w:t>
            </w:r>
          </w:p>
        </w:tc>
        <w:tc>
          <w:tcPr>
            <w:tcW w:w="599" w:type="pct"/>
            <w:tcMar>
              <w:left w:w="57" w:type="dxa"/>
              <w:right w:w="57" w:type="dxa"/>
            </w:tcMar>
            <w:vAlign w:val="center"/>
          </w:tcPr>
          <w:p w14:paraId="7CE928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铅</w:t>
            </w:r>
          </w:p>
        </w:tc>
        <w:tc>
          <w:tcPr>
            <w:tcW w:w="683" w:type="pct"/>
            <w:tcMar>
              <w:left w:w="57" w:type="dxa"/>
              <w:right w:w="57" w:type="dxa"/>
            </w:tcMar>
            <w:vAlign w:val="center"/>
          </w:tcPr>
          <w:p w14:paraId="03B6CB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其他</w:t>
            </w:r>
          </w:p>
        </w:tc>
        <w:tc>
          <w:tcPr>
            <w:tcW w:w="769" w:type="pct"/>
            <w:tcMar>
              <w:left w:w="57" w:type="dxa"/>
              <w:right w:w="57" w:type="dxa"/>
            </w:tcMar>
            <w:vAlign w:val="center"/>
          </w:tcPr>
          <w:p w14:paraId="2CF698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70</w:t>
            </w:r>
          </w:p>
        </w:tc>
        <w:tc>
          <w:tcPr>
            <w:tcW w:w="854" w:type="pct"/>
            <w:tcMar>
              <w:left w:w="57" w:type="dxa"/>
              <w:right w:w="57" w:type="dxa"/>
            </w:tcMar>
            <w:vAlign w:val="center"/>
          </w:tcPr>
          <w:p w14:paraId="3B0D2B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90</w:t>
            </w:r>
          </w:p>
        </w:tc>
        <w:tc>
          <w:tcPr>
            <w:tcW w:w="853" w:type="pct"/>
            <w:tcMar>
              <w:left w:w="57" w:type="dxa"/>
              <w:right w:w="57" w:type="dxa"/>
            </w:tcMar>
            <w:vAlign w:val="center"/>
          </w:tcPr>
          <w:p w14:paraId="3DC2E9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120</w:t>
            </w:r>
          </w:p>
        </w:tc>
        <w:tc>
          <w:tcPr>
            <w:tcW w:w="653" w:type="pct"/>
            <w:tcMar>
              <w:left w:w="57" w:type="dxa"/>
              <w:right w:w="57" w:type="dxa"/>
            </w:tcMar>
            <w:vAlign w:val="center"/>
          </w:tcPr>
          <w:p w14:paraId="72C2F3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170</w:t>
            </w:r>
          </w:p>
        </w:tc>
      </w:tr>
      <w:tr w14:paraId="1BD9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9" w:type="pct"/>
            <w:tcMar>
              <w:left w:w="57" w:type="dxa"/>
              <w:right w:w="57" w:type="dxa"/>
            </w:tcMar>
            <w:vAlign w:val="center"/>
          </w:tcPr>
          <w:p w14:paraId="3688E0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w:t>
            </w:r>
          </w:p>
        </w:tc>
        <w:tc>
          <w:tcPr>
            <w:tcW w:w="599" w:type="pct"/>
            <w:tcMar>
              <w:left w:w="57" w:type="dxa"/>
              <w:right w:w="57" w:type="dxa"/>
            </w:tcMar>
            <w:vAlign w:val="center"/>
          </w:tcPr>
          <w:p w14:paraId="3A996B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铬</w:t>
            </w:r>
          </w:p>
        </w:tc>
        <w:tc>
          <w:tcPr>
            <w:tcW w:w="683" w:type="pct"/>
            <w:tcMar>
              <w:left w:w="57" w:type="dxa"/>
              <w:right w:w="57" w:type="dxa"/>
            </w:tcMar>
            <w:vAlign w:val="center"/>
          </w:tcPr>
          <w:p w14:paraId="46547B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其他</w:t>
            </w:r>
          </w:p>
        </w:tc>
        <w:tc>
          <w:tcPr>
            <w:tcW w:w="769" w:type="pct"/>
            <w:tcMar>
              <w:left w:w="57" w:type="dxa"/>
              <w:right w:w="57" w:type="dxa"/>
            </w:tcMar>
            <w:vAlign w:val="center"/>
          </w:tcPr>
          <w:p w14:paraId="74CF53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150</w:t>
            </w:r>
          </w:p>
        </w:tc>
        <w:tc>
          <w:tcPr>
            <w:tcW w:w="854" w:type="pct"/>
            <w:tcMar>
              <w:left w:w="57" w:type="dxa"/>
              <w:right w:w="57" w:type="dxa"/>
            </w:tcMar>
            <w:vAlign w:val="center"/>
          </w:tcPr>
          <w:p w14:paraId="4F9FFF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150</w:t>
            </w:r>
          </w:p>
        </w:tc>
        <w:tc>
          <w:tcPr>
            <w:tcW w:w="853" w:type="pct"/>
            <w:tcMar>
              <w:left w:w="57" w:type="dxa"/>
              <w:right w:w="57" w:type="dxa"/>
            </w:tcMar>
            <w:vAlign w:val="center"/>
          </w:tcPr>
          <w:p w14:paraId="0F00EC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200</w:t>
            </w:r>
          </w:p>
        </w:tc>
        <w:tc>
          <w:tcPr>
            <w:tcW w:w="653" w:type="pct"/>
            <w:tcMar>
              <w:left w:w="57" w:type="dxa"/>
              <w:right w:w="57" w:type="dxa"/>
            </w:tcMar>
            <w:vAlign w:val="center"/>
          </w:tcPr>
          <w:p w14:paraId="1DC0FB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250</w:t>
            </w:r>
          </w:p>
        </w:tc>
      </w:tr>
      <w:tr w14:paraId="410AD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9" w:type="pct"/>
            <w:tcMar>
              <w:left w:w="57" w:type="dxa"/>
              <w:right w:w="57" w:type="dxa"/>
            </w:tcMar>
            <w:vAlign w:val="center"/>
          </w:tcPr>
          <w:p w14:paraId="3BC042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6</w:t>
            </w:r>
          </w:p>
        </w:tc>
        <w:tc>
          <w:tcPr>
            <w:tcW w:w="599" w:type="pct"/>
            <w:tcMar>
              <w:left w:w="57" w:type="dxa"/>
              <w:right w:w="57" w:type="dxa"/>
            </w:tcMar>
            <w:vAlign w:val="center"/>
          </w:tcPr>
          <w:p w14:paraId="737FD2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铜</w:t>
            </w:r>
          </w:p>
        </w:tc>
        <w:tc>
          <w:tcPr>
            <w:tcW w:w="683" w:type="pct"/>
            <w:tcMar>
              <w:left w:w="57" w:type="dxa"/>
              <w:right w:w="57" w:type="dxa"/>
            </w:tcMar>
            <w:vAlign w:val="center"/>
          </w:tcPr>
          <w:p w14:paraId="63493B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其他</w:t>
            </w:r>
          </w:p>
        </w:tc>
        <w:tc>
          <w:tcPr>
            <w:tcW w:w="769" w:type="pct"/>
            <w:tcMar>
              <w:left w:w="57" w:type="dxa"/>
              <w:right w:w="57" w:type="dxa"/>
            </w:tcMar>
            <w:vAlign w:val="center"/>
          </w:tcPr>
          <w:p w14:paraId="4D0049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50</w:t>
            </w:r>
          </w:p>
        </w:tc>
        <w:tc>
          <w:tcPr>
            <w:tcW w:w="854" w:type="pct"/>
            <w:tcMar>
              <w:left w:w="57" w:type="dxa"/>
              <w:right w:w="57" w:type="dxa"/>
            </w:tcMar>
            <w:vAlign w:val="center"/>
          </w:tcPr>
          <w:p w14:paraId="4BC023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50</w:t>
            </w:r>
          </w:p>
        </w:tc>
        <w:tc>
          <w:tcPr>
            <w:tcW w:w="853" w:type="pct"/>
            <w:tcMar>
              <w:left w:w="57" w:type="dxa"/>
              <w:right w:w="57" w:type="dxa"/>
            </w:tcMar>
            <w:vAlign w:val="center"/>
          </w:tcPr>
          <w:p w14:paraId="33585D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100</w:t>
            </w:r>
          </w:p>
        </w:tc>
        <w:tc>
          <w:tcPr>
            <w:tcW w:w="653" w:type="pct"/>
            <w:tcMar>
              <w:left w:w="57" w:type="dxa"/>
              <w:right w:w="57" w:type="dxa"/>
            </w:tcMar>
            <w:vAlign w:val="center"/>
          </w:tcPr>
          <w:p w14:paraId="61F30D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100</w:t>
            </w:r>
          </w:p>
        </w:tc>
      </w:tr>
      <w:tr w14:paraId="2DCA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9" w:type="pct"/>
            <w:tcMar>
              <w:left w:w="57" w:type="dxa"/>
              <w:right w:w="57" w:type="dxa"/>
            </w:tcMar>
            <w:vAlign w:val="center"/>
          </w:tcPr>
          <w:p w14:paraId="0B7393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w:t>
            </w:r>
          </w:p>
        </w:tc>
        <w:tc>
          <w:tcPr>
            <w:tcW w:w="1282" w:type="pct"/>
            <w:gridSpan w:val="2"/>
            <w:tcMar>
              <w:left w:w="57" w:type="dxa"/>
              <w:right w:w="57" w:type="dxa"/>
            </w:tcMar>
            <w:vAlign w:val="center"/>
          </w:tcPr>
          <w:p w14:paraId="267136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镍</w:t>
            </w:r>
          </w:p>
        </w:tc>
        <w:tc>
          <w:tcPr>
            <w:tcW w:w="769" w:type="pct"/>
            <w:tcMar>
              <w:left w:w="57" w:type="dxa"/>
              <w:right w:w="57" w:type="dxa"/>
            </w:tcMar>
            <w:vAlign w:val="center"/>
          </w:tcPr>
          <w:p w14:paraId="7DC52E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60</w:t>
            </w:r>
          </w:p>
        </w:tc>
        <w:tc>
          <w:tcPr>
            <w:tcW w:w="854" w:type="pct"/>
            <w:tcMar>
              <w:left w:w="57" w:type="dxa"/>
              <w:right w:w="57" w:type="dxa"/>
            </w:tcMar>
            <w:vAlign w:val="center"/>
          </w:tcPr>
          <w:p w14:paraId="32CE80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70</w:t>
            </w:r>
          </w:p>
        </w:tc>
        <w:tc>
          <w:tcPr>
            <w:tcW w:w="853" w:type="pct"/>
            <w:tcMar>
              <w:left w:w="57" w:type="dxa"/>
              <w:right w:w="57" w:type="dxa"/>
            </w:tcMar>
            <w:vAlign w:val="center"/>
          </w:tcPr>
          <w:p w14:paraId="0A3A1E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100</w:t>
            </w:r>
          </w:p>
        </w:tc>
        <w:tc>
          <w:tcPr>
            <w:tcW w:w="653" w:type="pct"/>
            <w:tcMar>
              <w:left w:w="57" w:type="dxa"/>
              <w:right w:w="57" w:type="dxa"/>
            </w:tcMar>
            <w:vAlign w:val="center"/>
          </w:tcPr>
          <w:p w14:paraId="7420DF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190</w:t>
            </w:r>
          </w:p>
        </w:tc>
      </w:tr>
      <w:tr w14:paraId="65C6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9" w:type="pct"/>
            <w:tcMar>
              <w:left w:w="57" w:type="dxa"/>
              <w:right w:w="57" w:type="dxa"/>
            </w:tcMar>
            <w:vAlign w:val="center"/>
          </w:tcPr>
          <w:p w14:paraId="3ECF85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8</w:t>
            </w:r>
          </w:p>
        </w:tc>
        <w:tc>
          <w:tcPr>
            <w:tcW w:w="1282" w:type="pct"/>
            <w:gridSpan w:val="2"/>
            <w:tcMar>
              <w:left w:w="57" w:type="dxa"/>
              <w:right w:w="57" w:type="dxa"/>
            </w:tcMar>
            <w:vAlign w:val="center"/>
          </w:tcPr>
          <w:p w14:paraId="30BE12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锌</w:t>
            </w:r>
          </w:p>
        </w:tc>
        <w:tc>
          <w:tcPr>
            <w:tcW w:w="769" w:type="pct"/>
            <w:tcMar>
              <w:left w:w="57" w:type="dxa"/>
              <w:right w:w="57" w:type="dxa"/>
            </w:tcMar>
            <w:vAlign w:val="center"/>
          </w:tcPr>
          <w:p w14:paraId="6400E9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200</w:t>
            </w:r>
          </w:p>
        </w:tc>
        <w:tc>
          <w:tcPr>
            <w:tcW w:w="854" w:type="pct"/>
            <w:tcMar>
              <w:left w:w="57" w:type="dxa"/>
              <w:right w:w="57" w:type="dxa"/>
            </w:tcMar>
            <w:vAlign w:val="center"/>
          </w:tcPr>
          <w:p w14:paraId="545F7D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200</w:t>
            </w:r>
          </w:p>
        </w:tc>
        <w:tc>
          <w:tcPr>
            <w:tcW w:w="853" w:type="pct"/>
            <w:tcMar>
              <w:left w:w="57" w:type="dxa"/>
              <w:right w:w="57" w:type="dxa"/>
            </w:tcMar>
            <w:vAlign w:val="center"/>
          </w:tcPr>
          <w:p w14:paraId="17EE8D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250</w:t>
            </w:r>
          </w:p>
        </w:tc>
        <w:tc>
          <w:tcPr>
            <w:tcW w:w="653" w:type="pct"/>
            <w:tcMar>
              <w:left w:w="57" w:type="dxa"/>
              <w:right w:w="57" w:type="dxa"/>
            </w:tcMar>
            <w:vAlign w:val="center"/>
          </w:tcPr>
          <w:p w14:paraId="4710F5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300</w:t>
            </w:r>
          </w:p>
        </w:tc>
      </w:tr>
    </w:tbl>
    <w:p w14:paraId="33822E34">
      <w:pPr>
        <w:pageBreakBefore w:val="0"/>
        <w:widowControl w:val="0"/>
        <w:kinsoku/>
        <w:wordWrap/>
        <w:overflowPunct/>
        <w:bidi w:val="0"/>
        <w:spacing w:beforeLines="0" w:afterLines="0" w:line="240" w:lineRule="auto"/>
        <w:ind w:left="0" w:leftChars="0" w:firstLine="0" w:firstLineChars="0"/>
        <w:jc w:val="center"/>
        <w:rPr>
          <w:rFonts w:ascii="Times New Roman" w:hAnsi="Times New Roman" w:eastAsia="黑体" w:cs="Times New Roman"/>
          <w:color w:val="auto"/>
          <w:kern w:val="2"/>
          <w:sz w:val="21"/>
          <w:szCs w:val="18"/>
          <w:highlight w:val="none"/>
          <w:lang w:val="en-US" w:eastAsia="zh-CN" w:bidi="ar-SA"/>
        </w:rPr>
      </w:pPr>
    </w:p>
    <w:p w14:paraId="20C9897D">
      <w:pPr>
        <w:pageBreakBefore w:val="0"/>
        <w:widowControl w:val="0"/>
        <w:kinsoku/>
        <w:wordWrap/>
        <w:overflowPunct/>
        <w:bidi w:val="0"/>
        <w:spacing w:beforeLines="0" w:afterLines="0" w:line="240" w:lineRule="auto"/>
        <w:ind w:left="0" w:leftChars="0" w:firstLine="0" w:firstLineChars="0"/>
        <w:jc w:val="center"/>
        <w:rPr>
          <w:rFonts w:ascii="Times New Roman" w:hAnsi="Times New Roman" w:eastAsia="黑体" w:cs="Times New Roman"/>
          <w:color w:val="auto"/>
          <w:kern w:val="2"/>
          <w:sz w:val="21"/>
          <w:szCs w:val="18"/>
          <w:highlight w:val="none"/>
          <w:lang w:val="en-US" w:eastAsia="zh-CN" w:bidi="ar-SA"/>
        </w:rPr>
      </w:pPr>
      <w:r>
        <w:rPr>
          <w:rFonts w:ascii="Times New Roman" w:hAnsi="Times New Roman" w:eastAsia="黑体" w:cs="Times New Roman"/>
          <w:color w:val="auto"/>
          <w:kern w:val="2"/>
          <w:sz w:val="21"/>
          <w:szCs w:val="18"/>
          <w:highlight w:val="none"/>
          <w:lang w:val="en-US" w:eastAsia="zh-CN" w:bidi="ar-SA"/>
        </w:rPr>
        <w:t>表</w:t>
      </w:r>
      <w:r>
        <w:rPr>
          <w:rFonts w:ascii="Times New Roman" w:hAnsi="Times New Roman" w:eastAsia="Times New Roman" w:cs="Times New Roman"/>
          <w:b/>
          <w:color w:val="auto"/>
          <w:kern w:val="2"/>
          <w:sz w:val="21"/>
          <w:szCs w:val="18"/>
          <w:highlight w:val="none"/>
          <w:lang w:val="en-US" w:eastAsia="zh-CN" w:bidi="ar-SA"/>
        </w:rPr>
        <w:t>2.4-</w:t>
      </w:r>
      <w:r>
        <w:rPr>
          <w:rFonts w:hint="eastAsia" w:cs="Times New Roman"/>
          <w:b/>
          <w:color w:val="auto"/>
          <w:kern w:val="2"/>
          <w:sz w:val="21"/>
          <w:szCs w:val="18"/>
          <w:highlight w:val="none"/>
          <w:lang w:val="en-US" w:eastAsia="zh-CN" w:bidi="ar-SA"/>
        </w:rPr>
        <w:t xml:space="preserve">6 </w:t>
      </w:r>
      <w:r>
        <w:rPr>
          <w:rFonts w:ascii="Times New Roman" w:hAnsi="Times New Roman" w:eastAsia="Times New Roman" w:cs="Times New Roman"/>
          <w:b/>
          <w:color w:val="auto"/>
          <w:kern w:val="2"/>
          <w:sz w:val="21"/>
          <w:szCs w:val="18"/>
          <w:highlight w:val="none"/>
          <w:lang w:val="en-US" w:eastAsia="zh-CN" w:bidi="ar-SA"/>
        </w:rPr>
        <w:t xml:space="preserve"> </w:t>
      </w:r>
      <w:r>
        <w:rPr>
          <w:rFonts w:ascii="Times New Roman" w:hAnsi="Times New Roman" w:eastAsia="黑体" w:cs="Times New Roman"/>
          <w:color w:val="auto"/>
          <w:kern w:val="2"/>
          <w:sz w:val="21"/>
          <w:szCs w:val="18"/>
          <w:highlight w:val="none"/>
          <w:lang w:val="en-US" w:eastAsia="zh-CN" w:bidi="ar-SA"/>
        </w:rPr>
        <w:t>建设用地土壤污染风险筛选值（基</w:t>
      </w:r>
      <w:r>
        <w:rPr>
          <w:rFonts w:hint="eastAsia" w:eastAsia="黑体" w:cs="Times New Roman"/>
          <w:color w:val="auto"/>
          <w:kern w:val="2"/>
          <w:sz w:val="21"/>
          <w:szCs w:val="18"/>
          <w:highlight w:val="none"/>
          <w:lang w:val="en-US" w:eastAsia="zh-CN" w:bidi="ar-SA"/>
        </w:rPr>
        <w:t>本项目</w:t>
      </w:r>
      <w:r>
        <w:rPr>
          <w:rFonts w:ascii="Times New Roman" w:hAnsi="Times New Roman" w:eastAsia="黑体" w:cs="Times New Roman"/>
          <w:color w:val="auto"/>
          <w:kern w:val="2"/>
          <w:sz w:val="21"/>
          <w:szCs w:val="18"/>
          <w:highlight w:val="none"/>
          <w:lang w:val="en-US" w:eastAsia="zh-CN" w:bidi="ar-SA"/>
        </w:rPr>
        <w:t>）单位：</w:t>
      </w:r>
      <w:r>
        <w:rPr>
          <w:rFonts w:ascii="Times New Roman" w:hAnsi="Times New Roman" w:eastAsia="Times New Roman" w:cs="Times New Roman"/>
          <w:b/>
          <w:color w:val="auto"/>
          <w:kern w:val="2"/>
          <w:sz w:val="21"/>
          <w:szCs w:val="18"/>
          <w:highlight w:val="none"/>
          <w:lang w:val="en-US" w:eastAsia="zh-CN" w:bidi="ar-SA"/>
        </w:rPr>
        <w:t>mg/kg</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2543"/>
        <w:gridCol w:w="1200"/>
        <w:gridCol w:w="744"/>
        <w:gridCol w:w="2244"/>
        <w:gridCol w:w="1270"/>
      </w:tblGrid>
      <w:tr w14:paraId="49D3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19" w:type="pct"/>
            <w:tcMar>
              <w:left w:w="57" w:type="dxa"/>
              <w:right w:w="57" w:type="dxa"/>
            </w:tcMar>
            <w:vAlign w:val="center"/>
          </w:tcPr>
          <w:p w14:paraId="49BDBE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4"/>
                <w:highlight w:val="none"/>
                <w:lang w:val="en-US" w:eastAsia="zh-CN" w:bidi="ar-SA"/>
              </w:rPr>
            </w:pPr>
            <w:r>
              <w:rPr>
                <w:rFonts w:hint="default" w:ascii="Times New Roman" w:hAnsi="Times New Roman" w:eastAsia="宋体" w:cs="Times New Roman"/>
                <w:b/>
                <w:color w:val="auto"/>
                <w:kern w:val="2"/>
                <w:sz w:val="21"/>
                <w:szCs w:val="24"/>
                <w:highlight w:val="none"/>
                <w:lang w:val="en-US" w:eastAsia="zh-CN" w:bidi="ar-SA"/>
              </w:rPr>
              <w:t>序号</w:t>
            </w:r>
          </w:p>
        </w:tc>
        <w:tc>
          <w:tcPr>
            <w:tcW w:w="1456" w:type="pct"/>
            <w:tcMar>
              <w:left w:w="57" w:type="dxa"/>
              <w:right w:w="57" w:type="dxa"/>
            </w:tcMar>
            <w:vAlign w:val="center"/>
          </w:tcPr>
          <w:p w14:paraId="37CDEB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4"/>
                <w:highlight w:val="none"/>
                <w:lang w:val="en-US" w:eastAsia="zh-CN" w:bidi="ar-SA"/>
              </w:rPr>
            </w:pPr>
            <w:r>
              <w:rPr>
                <w:rFonts w:hint="default" w:ascii="Times New Roman" w:hAnsi="Times New Roman" w:eastAsia="宋体" w:cs="Times New Roman"/>
                <w:b/>
                <w:color w:val="auto"/>
                <w:kern w:val="2"/>
                <w:sz w:val="21"/>
                <w:szCs w:val="24"/>
                <w:highlight w:val="none"/>
                <w:lang w:val="en-US" w:eastAsia="zh-CN" w:bidi="ar-SA"/>
              </w:rPr>
              <w:t>污染物项目</w:t>
            </w:r>
          </w:p>
        </w:tc>
        <w:tc>
          <w:tcPr>
            <w:tcW w:w="687" w:type="pct"/>
            <w:tcMar>
              <w:left w:w="57" w:type="dxa"/>
              <w:right w:w="57" w:type="dxa"/>
            </w:tcMar>
            <w:vAlign w:val="center"/>
          </w:tcPr>
          <w:p w14:paraId="431B06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4"/>
                <w:highlight w:val="none"/>
                <w:lang w:val="en-US" w:eastAsia="zh-CN" w:bidi="ar-SA"/>
              </w:rPr>
            </w:pPr>
            <w:r>
              <w:rPr>
                <w:rFonts w:hint="default" w:ascii="Times New Roman" w:hAnsi="Times New Roman" w:eastAsia="宋体" w:cs="Times New Roman"/>
                <w:b/>
                <w:color w:val="auto"/>
                <w:kern w:val="2"/>
                <w:sz w:val="21"/>
                <w:szCs w:val="24"/>
                <w:highlight w:val="none"/>
                <w:lang w:val="en-US" w:eastAsia="zh-CN" w:bidi="ar-SA"/>
              </w:rPr>
              <w:t>风险筛选值（第二类用地）</w:t>
            </w:r>
          </w:p>
        </w:tc>
        <w:tc>
          <w:tcPr>
            <w:tcW w:w="426" w:type="pct"/>
            <w:tcMar>
              <w:left w:w="57" w:type="dxa"/>
              <w:right w:w="57" w:type="dxa"/>
            </w:tcMar>
            <w:vAlign w:val="center"/>
          </w:tcPr>
          <w:p w14:paraId="5EE982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4"/>
                <w:highlight w:val="none"/>
                <w:lang w:val="en-US" w:eastAsia="zh-CN" w:bidi="ar-SA"/>
              </w:rPr>
            </w:pPr>
            <w:r>
              <w:rPr>
                <w:rFonts w:hint="default" w:ascii="Times New Roman" w:hAnsi="Times New Roman" w:eastAsia="宋体" w:cs="Times New Roman"/>
                <w:b/>
                <w:color w:val="auto"/>
                <w:kern w:val="2"/>
                <w:sz w:val="21"/>
                <w:szCs w:val="24"/>
                <w:highlight w:val="none"/>
                <w:lang w:val="en-US" w:eastAsia="zh-CN" w:bidi="ar-SA"/>
              </w:rPr>
              <w:t>序号</w:t>
            </w:r>
          </w:p>
        </w:tc>
        <w:tc>
          <w:tcPr>
            <w:tcW w:w="1285" w:type="pct"/>
            <w:tcMar>
              <w:left w:w="57" w:type="dxa"/>
              <w:right w:w="57" w:type="dxa"/>
            </w:tcMar>
            <w:vAlign w:val="center"/>
          </w:tcPr>
          <w:p w14:paraId="2B84ED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4"/>
                <w:highlight w:val="none"/>
                <w:lang w:val="en-US" w:eastAsia="zh-CN" w:bidi="ar-SA"/>
              </w:rPr>
            </w:pPr>
            <w:r>
              <w:rPr>
                <w:rFonts w:hint="default" w:ascii="Times New Roman" w:hAnsi="Times New Roman" w:eastAsia="宋体" w:cs="Times New Roman"/>
                <w:b/>
                <w:color w:val="auto"/>
                <w:kern w:val="2"/>
                <w:sz w:val="21"/>
                <w:szCs w:val="24"/>
                <w:highlight w:val="none"/>
                <w:lang w:val="en-US" w:eastAsia="zh-CN" w:bidi="ar-SA"/>
              </w:rPr>
              <w:t>污染物项目</w:t>
            </w:r>
          </w:p>
        </w:tc>
        <w:tc>
          <w:tcPr>
            <w:tcW w:w="727" w:type="pct"/>
            <w:tcMar>
              <w:left w:w="57" w:type="dxa"/>
              <w:right w:w="57" w:type="dxa"/>
            </w:tcMar>
            <w:vAlign w:val="center"/>
          </w:tcPr>
          <w:p w14:paraId="7BD64E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4"/>
                <w:highlight w:val="none"/>
                <w:lang w:val="en-US" w:eastAsia="zh-CN" w:bidi="ar-SA"/>
              </w:rPr>
            </w:pPr>
            <w:r>
              <w:rPr>
                <w:rFonts w:hint="default" w:ascii="Times New Roman" w:hAnsi="Times New Roman" w:eastAsia="宋体" w:cs="Times New Roman"/>
                <w:b/>
                <w:color w:val="auto"/>
                <w:kern w:val="2"/>
                <w:sz w:val="21"/>
                <w:szCs w:val="24"/>
                <w:highlight w:val="none"/>
                <w:lang w:val="en-US" w:eastAsia="zh-CN" w:bidi="ar-SA"/>
              </w:rPr>
              <w:t>风险筛选值（第二类用地）</w:t>
            </w:r>
          </w:p>
        </w:tc>
      </w:tr>
      <w:tr w14:paraId="2DAE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37C2EC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w:t>
            </w:r>
          </w:p>
        </w:tc>
        <w:tc>
          <w:tcPr>
            <w:tcW w:w="1456" w:type="pct"/>
            <w:tcMar>
              <w:left w:w="57" w:type="dxa"/>
              <w:right w:w="57" w:type="dxa"/>
            </w:tcMar>
            <w:vAlign w:val="center"/>
          </w:tcPr>
          <w:p w14:paraId="1356CC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砷</w:t>
            </w:r>
          </w:p>
        </w:tc>
        <w:tc>
          <w:tcPr>
            <w:tcW w:w="687" w:type="pct"/>
            <w:tcMar>
              <w:left w:w="57" w:type="dxa"/>
              <w:right w:w="57" w:type="dxa"/>
            </w:tcMar>
            <w:vAlign w:val="center"/>
          </w:tcPr>
          <w:p w14:paraId="75D872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60</w:t>
            </w:r>
          </w:p>
        </w:tc>
        <w:tc>
          <w:tcPr>
            <w:tcW w:w="426" w:type="pct"/>
            <w:tcMar>
              <w:left w:w="57" w:type="dxa"/>
              <w:right w:w="57" w:type="dxa"/>
            </w:tcMar>
            <w:vAlign w:val="center"/>
          </w:tcPr>
          <w:p w14:paraId="7DED63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24</w:t>
            </w:r>
          </w:p>
        </w:tc>
        <w:tc>
          <w:tcPr>
            <w:tcW w:w="1285" w:type="pct"/>
            <w:tcMar>
              <w:left w:w="57" w:type="dxa"/>
              <w:right w:w="57" w:type="dxa"/>
            </w:tcMar>
            <w:vAlign w:val="center"/>
          </w:tcPr>
          <w:p w14:paraId="0CC2BD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1，2，3-三氯丙烷</w:t>
            </w:r>
          </w:p>
        </w:tc>
        <w:tc>
          <w:tcPr>
            <w:tcW w:w="727" w:type="pct"/>
            <w:tcMar>
              <w:left w:w="57" w:type="dxa"/>
              <w:right w:w="57" w:type="dxa"/>
            </w:tcMar>
            <w:vAlign w:val="center"/>
          </w:tcPr>
          <w:p w14:paraId="5553C6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0.5</w:t>
            </w:r>
          </w:p>
        </w:tc>
      </w:tr>
      <w:tr w14:paraId="3AAF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3703EE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w:t>
            </w:r>
          </w:p>
        </w:tc>
        <w:tc>
          <w:tcPr>
            <w:tcW w:w="1456" w:type="pct"/>
            <w:tcMar>
              <w:left w:w="57" w:type="dxa"/>
              <w:right w:w="57" w:type="dxa"/>
            </w:tcMar>
            <w:vAlign w:val="center"/>
          </w:tcPr>
          <w:p w14:paraId="34D1C8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镉</w:t>
            </w:r>
          </w:p>
        </w:tc>
        <w:tc>
          <w:tcPr>
            <w:tcW w:w="687" w:type="pct"/>
            <w:tcMar>
              <w:left w:w="57" w:type="dxa"/>
              <w:right w:w="57" w:type="dxa"/>
            </w:tcMar>
            <w:vAlign w:val="center"/>
          </w:tcPr>
          <w:p w14:paraId="39AE53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65</w:t>
            </w:r>
          </w:p>
        </w:tc>
        <w:tc>
          <w:tcPr>
            <w:tcW w:w="426" w:type="pct"/>
            <w:tcMar>
              <w:left w:w="57" w:type="dxa"/>
              <w:right w:w="57" w:type="dxa"/>
            </w:tcMar>
            <w:vAlign w:val="center"/>
          </w:tcPr>
          <w:p w14:paraId="50EFE8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25</w:t>
            </w:r>
          </w:p>
        </w:tc>
        <w:tc>
          <w:tcPr>
            <w:tcW w:w="1285" w:type="pct"/>
            <w:tcMar>
              <w:left w:w="57" w:type="dxa"/>
              <w:right w:w="57" w:type="dxa"/>
            </w:tcMar>
            <w:vAlign w:val="center"/>
          </w:tcPr>
          <w:p w14:paraId="62B677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氯乙烯</w:t>
            </w:r>
          </w:p>
        </w:tc>
        <w:tc>
          <w:tcPr>
            <w:tcW w:w="727" w:type="pct"/>
            <w:tcMar>
              <w:left w:w="57" w:type="dxa"/>
              <w:right w:w="57" w:type="dxa"/>
            </w:tcMar>
            <w:vAlign w:val="center"/>
          </w:tcPr>
          <w:p w14:paraId="592A0C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0.43</w:t>
            </w:r>
          </w:p>
        </w:tc>
      </w:tr>
      <w:tr w14:paraId="5707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1DBD99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3</w:t>
            </w:r>
          </w:p>
        </w:tc>
        <w:tc>
          <w:tcPr>
            <w:tcW w:w="1456" w:type="pct"/>
            <w:tcMar>
              <w:left w:w="57" w:type="dxa"/>
              <w:right w:w="57" w:type="dxa"/>
            </w:tcMar>
            <w:vAlign w:val="center"/>
          </w:tcPr>
          <w:p w14:paraId="38AAB0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铬（六价）</w:t>
            </w:r>
          </w:p>
        </w:tc>
        <w:tc>
          <w:tcPr>
            <w:tcW w:w="687" w:type="pct"/>
            <w:tcMar>
              <w:left w:w="57" w:type="dxa"/>
              <w:right w:w="57" w:type="dxa"/>
            </w:tcMar>
            <w:vAlign w:val="center"/>
          </w:tcPr>
          <w:p w14:paraId="6DE80F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5.7</w:t>
            </w:r>
          </w:p>
        </w:tc>
        <w:tc>
          <w:tcPr>
            <w:tcW w:w="426" w:type="pct"/>
            <w:tcMar>
              <w:left w:w="57" w:type="dxa"/>
              <w:right w:w="57" w:type="dxa"/>
            </w:tcMar>
            <w:vAlign w:val="center"/>
          </w:tcPr>
          <w:p w14:paraId="58D8C3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26</w:t>
            </w:r>
          </w:p>
        </w:tc>
        <w:tc>
          <w:tcPr>
            <w:tcW w:w="1285" w:type="pct"/>
            <w:tcMar>
              <w:left w:w="57" w:type="dxa"/>
              <w:right w:w="57" w:type="dxa"/>
            </w:tcMar>
            <w:vAlign w:val="center"/>
          </w:tcPr>
          <w:p w14:paraId="0E6FEF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苯</w:t>
            </w:r>
          </w:p>
        </w:tc>
        <w:tc>
          <w:tcPr>
            <w:tcW w:w="727" w:type="pct"/>
            <w:tcMar>
              <w:left w:w="57" w:type="dxa"/>
              <w:right w:w="57" w:type="dxa"/>
            </w:tcMar>
            <w:vAlign w:val="center"/>
          </w:tcPr>
          <w:p w14:paraId="29BC31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4</w:t>
            </w:r>
          </w:p>
        </w:tc>
      </w:tr>
      <w:tr w14:paraId="0DA9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778162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4</w:t>
            </w:r>
          </w:p>
        </w:tc>
        <w:tc>
          <w:tcPr>
            <w:tcW w:w="1456" w:type="pct"/>
            <w:tcMar>
              <w:left w:w="57" w:type="dxa"/>
              <w:right w:w="57" w:type="dxa"/>
            </w:tcMar>
            <w:vAlign w:val="center"/>
          </w:tcPr>
          <w:p w14:paraId="5CC0AB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铜</w:t>
            </w:r>
          </w:p>
        </w:tc>
        <w:tc>
          <w:tcPr>
            <w:tcW w:w="687" w:type="pct"/>
            <w:tcMar>
              <w:left w:w="57" w:type="dxa"/>
              <w:right w:w="57" w:type="dxa"/>
            </w:tcMar>
            <w:vAlign w:val="center"/>
          </w:tcPr>
          <w:p w14:paraId="2B7409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18000</w:t>
            </w:r>
          </w:p>
        </w:tc>
        <w:tc>
          <w:tcPr>
            <w:tcW w:w="426" w:type="pct"/>
            <w:tcMar>
              <w:left w:w="57" w:type="dxa"/>
              <w:right w:w="57" w:type="dxa"/>
            </w:tcMar>
            <w:vAlign w:val="center"/>
          </w:tcPr>
          <w:p w14:paraId="219B8F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27</w:t>
            </w:r>
          </w:p>
        </w:tc>
        <w:tc>
          <w:tcPr>
            <w:tcW w:w="1285" w:type="pct"/>
            <w:tcMar>
              <w:left w:w="57" w:type="dxa"/>
              <w:right w:w="57" w:type="dxa"/>
            </w:tcMar>
            <w:vAlign w:val="center"/>
          </w:tcPr>
          <w:p w14:paraId="1DBE1F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氯苯</w:t>
            </w:r>
          </w:p>
        </w:tc>
        <w:tc>
          <w:tcPr>
            <w:tcW w:w="727" w:type="pct"/>
            <w:tcMar>
              <w:left w:w="57" w:type="dxa"/>
              <w:right w:w="57" w:type="dxa"/>
            </w:tcMar>
            <w:vAlign w:val="center"/>
          </w:tcPr>
          <w:p w14:paraId="586361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270</w:t>
            </w:r>
          </w:p>
        </w:tc>
      </w:tr>
      <w:tr w14:paraId="6539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4B0C38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5</w:t>
            </w:r>
          </w:p>
        </w:tc>
        <w:tc>
          <w:tcPr>
            <w:tcW w:w="1456" w:type="pct"/>
            <w:tcMar>
              <w:left w:w="57" w:type="dxa"/>
              <w:right w:w="57" w:type="dxa"/>
            </w:tcMar>
            <w:vAlign w:val="center"/>
          </w:tcPr>
          <w:p w14:paraId="02CDF7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铅</w:t>
            </w:r>
          </w:p>
        </w:tc>
        <w:tc>
          <w:tcPr>
            <w:tcW w:w="687" w:type="pct"/>
            <w:tcMar>
              <w:left w:w="57" w:type="dxa"/>
              <w:right w:w="57" w:type="dxa"/>
            </w:tcMar>
            <w:vAlign w:val="center"/>
          </w:tcPr>
          <w:p w14:paraId="19402F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800</w:t>
            </w:r>
          </w:p>
        </w:tc>
        <w:tc>
          <w:tcPr>
            <w:tcW w:w="426" w:type="pct"/>
            <w:tcMar>
              <w:left w:w="57" w:type="dxa"/>
              <w:right w:w="57" w:type="dxa"/>
            </w:tcMar>
            <w:vAlign w:val="center"/>
          </w:tcPr>
          <w:p w14:paraId="08DAA1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28</w:t>
            </w:r>
          </w:p>
        </w:tc>
        <w:tc>
          <w:tcPr>
            <w:tcW w:w="1285" w:type="pct"/>
            <w:tcMar>
              <w:left w:w="57" w:type="dxa"/>
              <w:right w:w="57" w:type="dxa"/>
            </w:tcMar>
            <w:vAlign w:val="center"/>
          </w:tcPr>
          <w:p w14:paraId="01FA25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1，2-二氯苯</w:t>
            </w:r>
          </w:p>
        </w:tc>
        <w:tc>
          <w:tcPr>
            <w:tcW w:w="727" w:type="pct"/>
            <w:tcMar>
              <w:left w:w="57" w:type="dxa"/>
              <w:right w:w="57" w:type="dxa"/>
            </w:tcMar>
            <w:vAlign w:val="center"/>
          </w:tcPr>
          <w:p w14:paraId="04931B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560</w:t>
            </w:r>
          </w:p>
        </w:tc>
      </w:tr>
      <w:tr w14:paraId="57CF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4CDCB3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6</w:t>
            </w:r>
          </w:p>
        </w:tc>
        <w:tc>
          <w:tcPr>
            <w:tcW w:w="1456" w:type="pct"/>
            <w:tcMar>
              <w:left w:w="57" w:type="dxa"/>
              <w:right w:w="57" w:type="dxa"/>
            </w:tcMar>
            <w:vAlign w:val="center"/>
          </w:tcPr>
          <w:p w14:paraId="43A582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汞</w:t>
            </w:r>
          </w:p>
        </w:tc>
        <w:tc>
          <w:tcPr>
            <w:tcW w:w="687" w:type="pct"/>
            <w:tcMar>
              <w:left w:w="57" w:type="dxa"/>
              <w:right w:w="57" w:type="dxa"/>
            </w:tcMar>
            <w:vAlign w:val="center"/>
          </w:tcPr>
          <w:p w14:paraId="3FACC4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38</w:t>
            </w:r>
          </w:p>
        </w:tc>
        <w:tc>
          <w:tcPr>
            <w:tcW w:w="426" w:type="pct"/>
            <w:tcMar>
              <w:left w:w="57" w:type="dxa"/>
              <w:right w:w="57" w:type="dxa"/>
            </w:tcMar>
            <w:vAlign w:val="center"/>
          </w:tcPr>
          <w:p w14:paraId="19ABC6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29</w:t>
            </w:r>
          </w:p>
        </w:tc>
        <w:tc>
          <w:tcPr>
            <w:tcW w:w="1285" w:type="pct"/>
            <w:tcMar>
              <w:left w:w="57" w:type="dxa"/>
              <w:right w:w="57" w:type="dxa"/>
            </w:tcMar>
            <w:vAlign w:val="center"/>
          </w:tcPr>
          <w:p w14:paraId="24F090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1，4-二氯苯</w:t>
            </w:r>
          </w:p>
        </w:tc>
        <w:tc>
          <w:tcPr>
            <w:tcW w:w="727" w:type="pct"/>
            <w:tcMar>
              <w:left w:w="57" w:type="dxa"/>
              <w:right w:w="57" w:type="dxa"/>
            </w:tcMar>
            <w:vAlign w:val="center"/>
          </w:tcPr>
          <w:p w14:paraId="421C44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20</w:t>
            </w:r>
          </w:p>
        </w:tc>
      </w:tr>
      <w:tr w14:paraId="41E0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4B5504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7</w:t>
            </w:r>
          </w:p>
        </w:tc>
        <w:tc>
          <w:tcPr>
            <w:tcW w:w="1456" w:type="pct"/>
            <w:tcMar>
              <w:left w:w="57" w:type="dxa"/>
              <w:right w:w="57" w:type="dxa"/>
            </w:tcMar>
            <w:vAlign w:val="center"/>
          </w:tcPr>
          <w:p w14:paraId="2ADE92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镍</w:t>
            </w:r>
          </w:p>
        </w:tc>
        <w:tc>
          <w:tcPr>
            <w:tcW w:w="687" w:type="pct"/>
            <w:tcMar>
              <w:left w:w="57" w:type="dxa"/>
              <w:right w:w="57" w:type="dxa"/>
            </w:tcMar>
            <w:vAlign w:val="center"/>
          </w:tcPr>
          <w:p w14:paraId="20994B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900</w:t>
            </w:r>
          </w:p>
        </w:tc>
        <w:tc>
          <w:tcPr>
            <w:tcW w:w="426" w:type="pct"/>
            <w:tcMar>
              <w:left w:w="57" w:type="dxa"/>
              <w:right w:w="57" w:type="dxa"/>
            </w:tcMar>
            <w:vAlign w:val="center"/>
          </w:tcPr>
          <w:p w14:paraId="732FF7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30</w:t>
            </w:r>
          </w:p>
        </w:tc>
        <w:tc>
          <w:tcPr>
            <w:tcW w:w="1285" w:type="pct"/>
            <w:tcMar>
              <w:left w:w="57" w:type="dxa"/>
              <w:right w:w="57" w:type="dxa"/>
            </w:tcMar>
            <w:vAlign w:val="center"/>
          </w:tcPr>
          <w:p w14:paraId="19DBD1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乙苯</w:t>
            </w:r>
          </w:p>
        </w:tc>
        <w:tc>
          <w:tcPr>
            <w:tcW w:w="727" w:type="pct"/>
            <w:tcMar>
              <w:left w:w="57" w:type="dxa"/>
              <w:right w:w="57" w:type="dxa"/>
            </w:tcMar>
            <w:vAlign w:val="center"/>
          </w:tcPr>
          <w:p w14:paraId="4E4503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28</w:t>
            </w:r>
          </w:p>
        </w:tc>
      </w:tr>
      <w:tr w14:paraId="41F6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3D746A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8</w:t>
            </w:r>
          </w:p>
        </w:tc>
        <w:tc>
          <w:tcPr>
            <w:tcW w:w="1456" w:type="pct"/>
            <w:tcMar>
              <w:left w:w="57" w:type="dxa"/>
              <w:right w:w="57" w:type="dxa"/>
            </w:tcMar>
            <w:vAlign w:val="center"/>
          </w:tcPr>
          <w:p w14:paraId="1E849B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四氯化碳</w:t>
            </w:r>
          </w:p>
        </w:tc>
        <w:tc>
          <w:tcPr>
            <w:tcW w:w="687" w:type="pct"/>
            <w:tcMar>
              <w:left w:w="57" w:type="dxa"/>
              <w:right w:w="57" w:type="dxa"/>
            </w:tcMar>
            <w:vAlign w:val="center"/>
          </w:tcPr>
          <w:p w14:paraId="537FE5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2.8</w:t>
            </w:r>
          </w:p>
        </w:tc>
        <w:tc>
          <w:tcPr>
            <w:tcW w:w="426" w:type="pct"/>
            <w:tcMar>
              <w:left w:w="57" w:type="dxa"/>
              <w:right w:w="57" w:type="dxa"/>
            </w:tcMar>
            <w:vAlign w:val="center"/>
          </w:tcPr>
          <w:p w14:paraId="48ABD2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31</w:t>
            </w:r>
          </w:p>
        </w:tc>
        <w:tc>
          <w:tcPr>
            <w:tcW w:w="1285" w:type="pct"/>
            <w:tcMar>
              <w:left w:w="57" w:type="dxa"/>
              <w:right w:w="57" w:type="dxa"/>
            </w:tcMar>
            <w:vAlign w:val="center"/>
          </w:tcPr>
          <w:p w14:paraId="355AA9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苯乙烯</w:t>
            </w:r>
          </w:p>
        </w:tc>
        <w:tc>
          <w:tcPr>
            <w:tcW w:w="727" w:type="pct"/>
            <w:tcMar>
              <w:left w:w="57" w:type="dxa"/>
              <w:right w:w="57" w:type="dxa"/>
            </w:tcMar>
            <w:vAlign w:val="center"/>
          </w:tcPr>
          <w:p w14:paraId="0ED6BF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1290</w:t>
            </w:r>
          </w:p>
        </w:tc>
      </w:tr>
      <w:tr w14:paraId="5F02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7D8BC2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9</w:t>
            </w:r>
          </w:p>
        </w:tc>
        <w:tc>
          <w:tcPr>
            <w:tcW w:w="1456" w:type="pct"/>
            <w:tcMar>
              <w:left w:w="57" w:type="dxa"/>
              <w:right w:w="57" w:type="dxa"/>
            </w:tcMar>
            <w:vAlign w:val="center"/>
          </w:tcPr>
          <w:p w14:paraId="12B999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氯仿</w:t>
            </w:r>
          </w:p>
        </w:tc>
        <w:tc>
          <w:tcPr>
            <w:tcW w:w="687" w:type="pct"/>
            <w:tcMar>
              <w:left w:w="57" w:type="dxa"/>
              <w:right w:w="57" w:type="dxa"/>
            </w:tcMar>
            <w:vAlign w:val="center"/>
          </w:tcPr>
          <w:p w14:paraId="48D0E9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0.9</w:t>
            </w:r>
          </w:p>
        </w:tc>
        <w:tc>
          <w:tcPr>
            <w:tcW w:w="426" w:type="pct"/>
            <w:tcMar>
              <w:left w:w="57" w:type="dxa"/>
              <w:right w:w="57" w:type="dxa"/>
            </w:tcMar>
            <w:vAlign w:val="center"/>
          </w:tcPr>
          <w:p w14:paraId="17939B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32</w:t>
            </w:r>
          </w:p>
        </w:tc>
        <w:tc>
          <w:tcPr>
            <w:tcW w:w="1285" w:type="pct"/>
            <w:tcMar>
              <w:left w:w="57" w:type="dxa"/>
              <w:right w:w="57" w:type="dxa"/>
            </w:tcMar>
            <w:vAlign w:val="center"/>
          </w:tcPr>
          <w:p w14:paraId="5C0A44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甲苯</w:t>
            </w:r>
          </w:p>
        </w:tc>
        <w:tc>
          <w:tcPr>
            <w:tcW w:w="727" w:type="pct"/>
            <w:tcMar>
              <w:left w:w="57" w:type="dxa"/>
              <w:right w:w="57" w:type="dxa"/>
            </w:tcMar>
            <w:vAlign w:val="center"/>
          </w:tcPr>
          <w:p w14:paraId="39EEFE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1200</w:t>
            </w:r>
          </w:p>
        </w:tc>
      </w:tr>
      <w:tr w14:paraId="623C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47D06F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10</w:t>
            </w:r>
          </w:p>
        </w:tc>
        <w:tc>
          <w:tcPr>
            <w:tcW w:w="1456" w:type="pct"/>
            <w:tcMar>
              <w:left w:w="57" w:type="dxa"/>
              <w:right w:w="57" w:type="dxa"/>
            </w:tcMar>
            <w:vAlign w:val="center"/>
          </w:tcPr>
          <w:p w14:paraId="412720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氯甲烷</w:t>
            </w:r>
          </w:p>
        </w:tc>
        <w:tc>
          <w:tcPr>
            <w:tcW w:w="687" w:type="pct"/>
            <w:tcMar>
              <w:left w:w="57" w:type="dxa"/>
              <w:right w:w="57" w:type="dxa"/>
            </w:tcMar>
            <w:vAlign w:val="center"/>
          </w:tcPr>
          <w:p w14:paraId="06B167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37</w:t>
            </w:r>
          </w:p>
        </w:tc>
        <w:tc>
          <w:tcPr>
            <w:tcW w:w="426" w:type="pct"/>
            <w:tcMar>
              <w:left w:w="57" w:type="dxa"/>
              <w:right w:w="57" w:type="dxa"/>
            </w:tcMar>
            <w:vAlign w:val="center"/>
          </w:tcPr>
          <w:p w14:paraId="27D683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33</w:t>
            </w:r>
          </w:p>
        </w:tc>
        <w:tc>
          <w:tcPr>
            <w:tcW w:w="1285" w:type="pct"/>
            <w:tcMar>
              <w:left w:w="57" w:type="dxa"/>
              <w:right w:w="57" w:type="dxa"/>
            </w:tcMar>
            <w:vAlign w:val="center"/>
          </w:tcPr>
          <w:p w14:paraId="336967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间二甲苯+对二甲苯</w:t>
            </w:r>
          </w:p>
        </w:tc>
        <w:tc>
          <w:tcPr>
            <w:tcW w:w="727" w:type="pct"/>
            <w:tcMar>
              <w:left w:w="57" w:type="dxa"/>
              <w:right w:w="57" w:type="dxa"/>
            </w:tcMar>
            <w:vAlign w:val="center"/>
          </w:tcPr>
          <w:p w14:paraId="418FF1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570</w:t>
            </w:r>
          </w:p>
        </w:tc>
      </w:tr>
      <w:tr w14:paraId="6BFA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7102FF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11</w:t>
            </w:r>
          </w:p>
        </w:tc>
        <w:tc>
          <w:tcPr>
            <w:tcW w:w="1456" w:type="pct"/>
            <w:tcMar>
              <w:left w:w="57" w:type="dxa"/>
              <w:right w:w="57" w:type="dxa"/>
            </w:tcMar>
            <w:vAlign w:val="center"/>
          </w:tcPr>
          <w:p w14:paraId="57C494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1，1-二氯乙烷</w:t>
            </w:r>
          </w:p>
        </w:tc>
        <w:tc>
          <w:tcPr>
            <w:tcW w:w="687" w:type="pct"/>
            <w:tcMar>
              <w:left w:w="57" w:type="dxa"/>
              <w:right w:w="57" w:type="dxa"/>
            </w:tcMar>
            <w:vAlign w:val="center"/>
          </w:tcPr>
          <w:p w14:paraId="30EB1A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9</w:t>
            </w:r>
          </w:p>
        </w:tc>
        <w:tc>
          <w:tcPr>
            <w:tcW w:w="426" w:type="pct"/>
            <w:tcMar>
              <w:left w:w="57" w:type="dxa"/>
              <w:right w:w="57" w:type="dxa"/>
            </w:tcMar>
            <w:vAlign w:val="center"/>
          </w:tcPr>
          <w:p w14:paraId="0516CF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34</w:t>
            </w:r>
          </w:p>
        </w:tc>
        <w:tc>
          <w:tcPr>
            <w:tcW w:w="1285" w:type="pct"/>
            <w:tcMar>
              <w:left w:w="57" w:type="dxa"/>
              <w:right w:w="57" w:type="dxa"/>
            </w:tcMar>
            <w:vAlign w:val="center"/>
          </w:tcPr>
          <w:p w14:paraId="5137A5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邻二甲苯</w:t>
            </w:r>
          </w:p>
        </w:tc>
        <w:tc>
          <w:tcPr>
            <w:tcW w:w="727" w:type="pct"/>
            <w:tcMar>
              <w:left w:w="57" w:type="dxa"/>
              <w:right w:w="57" w:type="dxa"/>
            </w:tcMar>
            <w:vAlign w:val="center"/>
          </w:tcPr>
          <w:p w14:paraId="36306A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640</w:t>
            </w:r>
          </w:p>
        </w:tc>
      </w:tr>
      <w:tr w14:paraId="17D0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34F0C8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12</w:t>
            </w:r>
          </w:p>
        </w:tc>
        <w:tc>
          <w:tcPr>
            <w:tcW w:w="1456" w:type="pct"/>
            <w:tcMar>
              <w:left w:w="57" w:type="dxa"/>
              <w:right w:w="57" w:type="dxa"/>
            </w:tcMar>
            <w:vAlign w:val="center"/>
          </w:tcPr>
          <w:p w14:paraId="68FCDB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1，2-二氯乙烷</w:t>
            </w:r>
          </w:p>
        </w:tc>
        <w:tc>
          <w:tcPr>
            <w:tcW w:w="687" w:type="pct"/>
            <w:tcMar>
              <w:left w:w="57" w:type="dxa"/>
              <w:right w:w="57" w:type="dxa"/>
            </w:tcMar>
            <w:vAlign w:val="center"/>
          </w:tcPr>
          <w:p w14:paraId="2BCCFF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5</w:t>
            </w:r>
          </w:p>
        </w:tc>
        <w:tc>
          <w:tcPr>
            <w:tcW w:w="426" w:type="pct"/>
            <w:tcMar>
              <w:left w:w="57" w:type="dxa"/>
              <w:right w:w="57" w:type="dxa"/>
            </w:tcMar>
            <w:vAlign w:val="center"/>
          </w:tcPr>
          <w:p w14:paraId="4CDC62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35</w:t>
            </w:r>
          </w:p>
        </w:tc>
        <w:tc>
          <w:tcPr>
            <w:tcW w:w="1285" w:type="pct"/>
            <w:tcMar>
              <w:left w:w="57" w:type="dxa"/>
              <w:right w:w="57" w:type="dxa"/>
            </w:tcMar>
            <w:vAlign w:val="center"/>
          </w:tcPr>
          <w:p w14:paraId="3E2FE5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硝基苯</w:t>
            </w:r>
          </w:p>
        </w:tc>
        <w:tc>
          <w:tcPr>
            <w:tcW w:w="727" w:type="pct"/>
            <w:tcMar>
              <w:left w:w="57" w:type="dxa"/>
              <w:right w:w="57" w:type="dxa"/>
            </w:tcMar>
            <w:vAlign w:val="center"/>
          </w:tcPr>
          <w:p w14:paraId="2BA55A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76</w:t>
            </w:r>
          </w:p>
        </w:tc>
      </w:tr>
      <w:tr w14:paraId="336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6F0102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13</w:t>
            </w:r>
          </w:p>
        </w:tc>
        <w:tc>
          <w:tcPr>
            <w:tcW w:w="1456" w:type="pct"/>
            <w:tcMar>
              <w:left w:w="57" w:type="dxa"/>
              <w:right w:w="57" w:type="dxa"/>
            </w:tcMar>
            <w:vAlign w:val="center"/>
          </w:tcPr>
          <w:p w14:paraId="4029F8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1，1-二氯乙烯</w:t>
            </w:r>
          </w:p>
        </w:tc>
        <w:tc>
          <w:tcPr>
            <w:tcW w:w="687" w:type="pct"/>
            <w:tcMar>
              <w:left w:w="57" w:type="dxa"/>
              <w:right w:w="57" w:type="dxa"/>
            </w:tcMar>
            <w:vAlign w:val="center"/>
          </w:tcPr>
          <w:p w14:paraId="2B4FAC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66</w:t>
            </w:r>
          </w:p>
        </w:tc>
        <w:tc>
          <w:tcPr>
            <w:tcW w:w="426" w:type="pct"/>
            <w:tcMar>
              <w:left w:w="57" w:type="dxa"/>
              <w:right w:w="57" w:type="dxa"/>
            </w:tcMar>
            <w:vAlign w:val="center"/>
          </w:tcPr>
          <w:p w14:paraId="36A8D2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36</w:t>
            </w:r>
          </w:p>
        </w:tc>
        <w:tc>
          <w:tcPr>
            <w:tcW w:w="1285" w:type="pct"/>
            <w:tcMar>
              <w:left w:w="57" w:type="dxa"/>
              <w:right w:w="57" w:type="dxa"/>
            </w:tcMar>
            <w:vAlign w:val="center"/>
          </w:tcPr>
          <w:p w14:paraId="741A33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苯胺</w:t>
            </w:r>
          </w:p>
        </w:tc>
        <w:tc>
          <w:tcPr>
            <w:tcW w:w="727" w:type="pct"/>
            <w:tcMar>
              <w:left w:w="57" w:type="dxa"/>
              <w:right w:w="57" w:type="dxa"/>
            </w:tcMar>
            <w:vAlign w:val="center"/>
          </w:tcPr>
          <w:p w14:paraId="7B1402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260</w:t>
            </w:r>
          </w:p>
        </w:tc>
      </w:tr>
      <w:tr w14:paraId="617E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6BF9AF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14</w:t>
            </w:r>
          </w:p>
        </w:tc>
        <w:tc>
          <w:tcPr>
            <w:tcW w:w="1456" w:type="pct"/>
            <w:tcMar>
              <w:left w:w="57" w:type="dxa"/>
              <w:right w:w="57" w:type="dxa"/>
            </w:tcMar>
            <w:vAlign w:val="center"/>
          </w:tcPr>
          <w:p w14:paraId="6800F3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顺-1，2-二氯乙烯</w:t>
            </w:r>
          </w:p>
        </w:tc>
        <w:tc>
          <w:tcPr>
            <w:tcW w:w="687" w:type="pct"/>
            <w:tcMar>
              <w:left w:w="57" w:type="dxa"/>
              <w:right w:w="57" w:type="dxa"/>
            </w:tcMar>
            <w:vAlign w:val="center"/>
          </w:tcPr>
          <w:p w14:paraId="0C4C93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596</w:t>
            </w:r>
          </w:p>
        </w:tc>
        <w:tc>
          <w:tcPr>
            <w:tcW w:w="426" w:type="pct"/>
            <w:tcMar>
              <w:left w:w="57" w:type="dxa"/>
              <w:right w:w="57" w:type="dxa"/>
            </w:tcMar>
            <w:vAlign w:val="center"/>
          </w:tcPr>
          <w:p w14:paraId="39BD13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37</w:t>
            </w:r>
          </w:p>
        </w:tc>
        <w:tc>
          <w:tcPr>
            <w:tcW w:w="1285" w:type="pct"/>
            <w:tcMar>
              <w:left w:w="57" w:type="dxa"/>
              <w:right w:w="57" w:type="dxa"/>
            </w:tcMar>
            <w:vAlign w:val="center"/>
          </w:tcPr>
          <w:p w14:paraId="166BE4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2-氯酚</w:t>
            </w:r>
          </w:p>
        </w:tc>
        <w:tc>
          <w:tcPr>
            <w:tcW w:w="727" w:type="pct"/>
            <w:tcMar>
              <w:left w:w="57" w:type="dxa"/>
              <w:right w:w="57" w:type="dxa"/>
            </w:tcMar>
            <w:vAlign w:val="center"/>
          </w:tcPr>
          <w:p w14:paraId="27CE28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2256</w:t>
            </w:r>
          </w:p>
        </w:tc>
      </w:tr>
      <w:tr w14:paraId="1F6D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4AD1E5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15</w:t>
            </w:r>
          </w:p>
        </w:tc>
        <w:tc>
          <w:tcPr>
            <w:tcW w:w="1456" w:type="pct"/>
            <w:tcMar>
              <w:left w:w="57" w:type="dxa"/>
              <w:right w:w="57" w:type="dxa"/>
            </w:tcMar>
            <w:vAlign w:val="center"/>
          </w:tcPr>
          <w:p w14:paraId="446097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反-1，2-二氯乙烯</w:t>
            </w:r>
          </w:p>
        </w:tc>
        <w:tc>
          <w:tcPr>
            <w:tcW w:w="687" w:type="pct"/>
            <w:tcMar>
              <w:left w:w="57" w:type="dxa"/>
              <w:right w:w="57" w:type="dxa"/>
            </w:tcMar>
            <w:vAlign w:val="center"/>
          </w:tcPr>
          <w:p w14:paraId="5FF54C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54</w:t>
            </w:r>
          </w:p>
        </w:tc>
        <w:tc>
          <w:tcPr>
            <w:tcW w:w="426" w:type="pct"/>
            <w:tcMar>
              <w:left w:w="57" w:type="dxa"/>
              <w:right w:w="57" w:type="dxa"/>
            </w:tcMar>
            <w:vAlign w:val="center"/>
          </w:tcPr>
          <w:p w14:paraId="02D377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38</w:t>
            </w:r>
          </w:p>
        </w:tc>
        <w:tc>
          <w:tcPr>
            <w:tcW w:w="1285" w:type="pct"/>
            <w:tcMar>
              <w:left w:w="57" w:type="dxa"/>
              <w:right w:w="57" w:type="dxa"/>
            </w:tcMar>
            <w:vAlign w:val="center"/>
          </w:tcPr>
          <w:p w14:paraId="39E8C7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苯并[a]蒽</w:t>
            </w:r>
          </w:p>
        </w:tc>
        <w:tc>
          <w:tcPr>
            <w:tcW w:w="727" w:type="pct"/>
            <w:tcMar>
              <w:left w:w="57" w:type="dxa"/>
              <w:right w:w="57" w:type="dxa"/>
            </w:tcMar>
            <w:vAlign w:val="center"/>
          </w:tcPr>
          <w:p w14:paraId="21BFC9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15</w:t>
            </w:r>
          </w:p>
        </w:tc>
      </w:tr>
      <w:tr w14:paraId="070A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301027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16</w:t>
            </w:r>
          </w:p>
        </w:tc>
        <w:tc>
          <w:tcPr>
            <w:tcW w:w="1456" w:type="pct"/>
            <w:tcMar>
              <w:left w:w="57" w:type="dxa"/>
              <w:right w:w="57" w:type="dxa"/>
            </w:tcMar>
            <w:vAlign w:val="center"/>
          </w:tcPr>
          <w:p w14:paraId="1145AD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二氯甲烷</w:t>
            </w:r>
          </w:p>
        </w:tc>
        <w:tc>
          <w:tcPr>
            <w:tcW w:w="687" w:type="pct"/>
            <w:tcMar>
              <w:left w:w="57" w:type="dxa"/>
              <w:right w:w="57" w:type="dxa"/>
            </w:tcMar>
            <w:vAlign w:val="center"/>
          </w:tcPr>
          <w:p w14:paraId="28681D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616</w:t>
            </w:r>
          </w:p>
        </w:tc>
        <w:tc>
          <w:tcPr>
            <w:tcW w:w="426" w:type="pct"/>
            <w:tcMar>
              <w:left w:w="57" w:type="dxa"/>
              <w:right w:w="57" w:type="dxa"/>
            </w:tcMar>
            <w:vAlign w:val="center"/>
          </w:tcPr>
          <w:p w14:paraId="197A06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39</w:t>
            </w:r>
          </w:p>
        </w:tc>
        <w:tc>
          <w:tcPr>
            <w:tcW w:w="1285" w:type="pct"/>
            <w:tcMar>
              <w:left w:w="57" w:type="dxa"/>
              <w:right w:w="57" w:type="dxa"/>
            </w:tcMar>
            <w:vAlign w:val="center"/>
          </w:tcPr>
          <w:p w14:paraId="42FDE5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苯并[a]芘</w:t>
            </w:r>
          </w:p>
        </w:tc>
        <w:tc>
          <w:tcPr>
            <w:tcW w:w="727" w:type="pct"/>
            <w:tcMar>
              <w:left w:w="57" w:type="dxa"/>
              <w:right w:w="57" w:type="dxa"/>
            </w:tcMar>
            <w:vAlign w:val="center"/>
          </w:tcPr>
          <w:p w14:paraId="54A4DE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1.5</w:t>
            </w:r>
          </w:p>
        </w:tc>
      </w:tr>
      <w:tr w14:paraId="50E5A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590BD9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17</w:t>
            </w:r>
          </w:p>
        </w:tc>
        <w:tc>
          <w:tcPr>
            <w:tcW w:w="1456" w:type="pct"/>
            <w:tcMar>
              <w:left w:w="57" w:type="dxa"/>
              <w:right w:w="57" w:type="dxa"/>
            </w:tcMar>
            <w:vAlign w:val="center"/>
          </w:tcPr>
          <w:p w14:paraId="537400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1，2-二氯丙烷</w:t>
            </w:r>
          </w:p>
        </w:tc>
        <w:tc>
          <w:tcPr>
            <w:tcW w:w="687" w:type="pct"/>
            <w:tcMar>
              <w:left w:w="57" w:type="dxa"/>
              <w:right w:w="57" w:type="dxa"/>
            </w:tcMar>
            <w:vAlign w:val="center"/>
          </w:tcPr>
          <w:p w14:paraId="327CF0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5</w:t>
            </w:r>
          </w:p>
        </w:tc>
        <w:tc>
          <w:tcPr>
            <w:tcW w:w="426" w:type="pct"/>
            <w:tcMar>
              <w:left w:w="57" w:type="dxa"/>
              <w:right w:w="57" w:type="dxa"/>
            </w:tcMar>
            <w:vAlign w:val="center"/>
          </w:tcPr>
          <w:p w14:paraId="144354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40</w:t>
            </w:r>
          </w:p>
        </w:tc>
        <w:tc>
          <w:tcPr>
            <w:tcW w:w="1285" w:type="pct"/>
            <w:tcMar>
              <w:left w:w="57" w:type="dxa"/>
              <w:right w:w="57" w:type="dxa"/>
            </w:tcMar>
            <w:vAlign w:val="center"/>
          </w:tcPr>
          <w:p w14:paraId="42F44A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苯并[b]荧蒽</w:t>
            </w:r>
          </w:p>
        </w:tc>
        <w:tc>
          <w:tcPr>
            <w:tcW w:w="727" w:type="pct"/>
            <w:tcMar>
              <w:left w:w="57" w:type="dxa"/>
              <w:right w:w="57" w:type="dxa"/>
            </w:tcMar>
            <w:vAlign w:val="center"/>
          </w:tcPr>
          <w:p w14:paraId="49A584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15</w:t>
            </w:r>
          </w:p>
        </w:tc>
      </w:tr>
      <w:tr w14:paraId="561E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1FA7CC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18</w:t>
            </w:r>
          </w:p>
        </w:tc>
        <w:tc>
          <w:tcPr>
            <w:tcW w:w="1456" w:type="pct"/>
            <w:tcMar>
              <w:left w:w="57" w:type="dxa"/>
              <w:right w:w="57" w:type="dxa"/>
            </w:tcMar>
            <w:vAlign w:val="center"/>
          </w:tcPr>
          <w:p w14:paraId="1CB0D9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1，1，1，2-四氯乙烷</w:t>
            </w:r>
          </w:p>
        </w:tc>
        <w:tc>
          <w:tcPr>
            <w:tcW w:w="687" w:type="pct"/>
            <w:tcMar>
              <w:left w:w="57" w:type="dxa"/>
              <w:right w:w="57" w:type="dxa"/>
            </w:tcMar>
            <w:vAlign w:val="center"/>
          </w:tcPr>
          <w:p w14:paraId="19F3E0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10</w:t>
            </w:r>
          </w:p>
        </w:tc>
        <w:tc>
          <w:tcPr>
            <w:tcW w:w="426" w:type="pct"/>
            <w:tcMar>
              <w:left w:w="57" w:type="dxa"/>
              <w:right w:w="57" w:type="dxa"/>
            </w:tcMar>
            <w:vAlign w:val="center"/>
          </w:tcPr>
          <w:p w14:paraId="0113F7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41</w:t>
            </w:r>
          </w:p>
        </w:tc>
        <w:tc>
          <w:tcPr>
            <w:tcW w:w="1285" w:type="pct"/>
            <w:tcMar>
              <w:left w:w="57" w:type="dxa"/>
              <w:right w:w="57" w:type="dxa"/>
            </w:tcMar>
            <w:vAlign w:val="center"/>
          </w:tcPr>
          <w:p w14:paraId="0D166D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苯并[k]荧蒽</w:t>
            </w:r>
          </w:p>
        </w:tc>
        <w:tc>
          <w:tcPr>
            <w:tcW w:w="727" w:type="pct"/>
            <w:tcMar>
              <w:left w:w="57" w:type="dxa"/>
              <w:right w:w="57" w:type="dxa"/>
            </w:tcMar>
            <w:vAlign w:val="center"/>
          </w:tcPr>
          <w:p w14:paraId="0141CE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151</w:t>
            </w:r>
          </w:p>
        </w:tc>
      </w:tr>
      <w:tr w14:paraId="5743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02B75A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19</w:t>
            </w:r>
          </w:p>
        </w:tc>
        <w:tc>
          <w:tcPr>
            <w:tcW w:w="1456" w:type="pct"/>
            <w:tcMar>
              <w:left w:w="57" w:type="dxa"/>
              <w:right w:w="57" w:type="dxa"/>
            </w:tcMar>
            <w:vAlign w:val="center"/>
          </w:tcPr>
          <w:p w14:paraId="5AD0D6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1，1，2，2-四氯乙烷</w:t>
            </w:r>
          </w:p>
        </w:tc>
        <w:tc>
          <w:tcPr>
            <w:tcW w:w="687" w:type="pct"/>
            <w:tcMar>
              <w:left w:w="57" w:type="dxa"/>
              <w:right w:w="57" w:type="dxa"/>
            </w:tcMar>
            <w:vAlign w:val="center"/>
          </w:tcPr>
          <w:p w14:paraId="0128BD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6.8</w:t>
            </w:r>
          </w:p>
        </w:tc>
        <w:tc>
          <w:tcPr>
            <w:tcW w:w="426" w:type="pct"/>
            <w:tcMar>
              <w:left w:w="57" w:type="dxa"/>
              <w:right w:w="57" w:type="dxa"/>
            </w:tcMar>
            <w:vAlign w:val="center"/>
          </w:tcPr>
          <w:p w14:paraId="3E78FB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42</w:t>
            </w:r>
          </w:p>
        </w:tc>
        <w:tc>
          <w:tcPr>
            <w:tcW w:w="1285" w:type="pct"/>
            <w:tcMar>
              <w:left w:w="57" w:type="dxa"/>
              <w:right w:w="57" w:type="dxa"/>
            </w:tcMar>
            <w:vAlign w:val="center"/>
          </w:tcPr>
          <w:p w14:paraId="12E4B9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䓛</w:t>
            </w:r>
          </w:p>
        </w:tc>
        <w:tc>
          <w:tcPr>
            <w:tcW w:w="727" w:type="pct"/>
            <w:tcMar>
              <w:left w:w="57" w:type="dxa"/>
              <w:right w:w="57" w:type="dxa"/>
            </w:tcMar>
            <w:vAlign w:val="center"/>
          </w:tcPr>
          <w:p w14:paraId="19EE6C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1293</w:t>
            </w:r>
          </w:p>
        </w:tc>
      </w:tr>
      <w:tr w14:paraId="153A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76E3C3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20</w:t>
            </w:r>
          </w:p>
        </w:tc>
        <w:tc>
          <w:tcPr>
            <w:tcW w:w="1456" w:type="pct"/>
            <w:tcMar>
              <w:left w:w="57" w:type="dxa"/>
              <w:right w:w="57" w:type="dxa"/>
            </w:tcMar>
            <w:vAlign w:val="center"/>
          </w:tcPr>
          <w:p w14:paraId="314B22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四氯乙烯</w:t>
            </w:r>
          </w:p>
        </w:tc>
        <w:tc>
          <w:tcPr>
            <w:tcW w:w="687" w:type="pct"/>
            <w:tcMar>
              <w:left w:w="57" w:type="dxa"/>
              <w:right w:w="57" w:type="dxa"/>
            </w:tcMar>
            <w:vAlign w:val="center"/>
          </w:tcPr>
          <w:p w14:paraId="506588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53</w:t>
            </w:r>
          </w:p>
        </w:tc>
        <w:tc>
          <w:tcPr>
            <w:tcW w:w="426" w:type="pct"/>
            <w:tcMar>
              <w:left w:w="57" w:type="dxa"/>
              <w:right w:w="57" w:type="dxa"/>
            </w:tcMar>
            <w:vAlign w:val="center"/>
          </w:tcPr>
          <w:p w14:paraId="0ECCB1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43</w:t>
            </w:r>
          </w:p>
        </w:tc>
        <w:tc>
          <w:tcPr>
            <w:tcW w:w="1285" w:type="pct"/>
            <w:tcMar>
              <w:left w:w="57" w:type="dxa"/>
              <w:right w:w="57" w:type="dxa"/>
            </w:tcMar>
            <w:vAlign w:val="center"/>
          </w:tcPr>
          <w:p w14:paraId="7E7113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二苯并[a，h]蒽</w:t>
            </w:r>
          </w:p>
        </w:tc>
        <w:tc>
          <w:tcPr>
            <w:tcW w:w="727" w:type="pct"/>
            <w:tcMar>
              <w:left w:w="57" w:type="dxa"/>
              <w:right w:w="57" w:type="dxa"/>
            </w:tcMar>
            <w:vAlign w:val="center"/>
          </w:tcPr>
          <w:p w14:paraId="0BCB82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1.5</w:t>
            </w:r>
          </w:p>
        </w:tc>
      </w:tr>
      <w:tr w14:paraId="1960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364C9D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21</w:t>
            </w:r>
          </w:p>
        </w:tc>
        <w:tc>
          <w:tcPr>
            <w:tcW w:w="1456" w:type="pct"/>
            <w:tcMar>
              <w:left w:w="57" w:type="dxa"/>
              <w:right w:w="57" w:type="dxa"/>
            </w:tcMar>
            <w:vAlign w:val="center"/>
          </w:tcPr>
          <w:p w14:paraId="3C14FA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1，1，1-三氯乙烷</w:t>
            </w:r>
          </w:p>
        </w:tc>
        <w:tc>
          <w:tcPr>
            <w:tcW w:w="687" w:type="pct"/>
            <w:tcMar>
              <w:left w:w="57" w:type="dxa"/>
              <w:right w:w="57" w:type="dxa"/>
            </w:tcMar>
            <w:vAlign w:val="center"/>
          </w:tcPr>
          <w:p w14:paraId="5984AE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840</w:t>
            </w:r>
          </w:p>
        </w:tc>
        <w:tc>
          <w:tcPr>
            <w:tcW w:w="426" w:type="pct"/>
            <w:tcMar>
              <w:left w:w="57" w:type="dxa"/>
              <w:right w:w="57" w:type="dxa"/>
            </w:tcMar>
            <w:vAlign w:val="center"/>
          </w:tcPr>
          <w:p w14:paraId="0EF152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44</w:t>
            </w:r>
          </w:p>
        </w:tc>
        <w:tc>
          <w:tcPr>
            <w:tcW w:w="1285" w:type="pct"/>
            <w:tcMar>
              <w:left w:w="57" w:type="dxa"/>
              <w:right w:w="57" w:type="dxa"/>
            </w:tcMar>
            <w:vAlign w:val="center"/>
          </w:tcPr>
          <w:p w14:paraId="04A647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茚并[1，2，3-cd]芘</w:t>
            </w:r>
          </w:p>
        </w:tc>
        <w:tc>
          <w:tcPr>
            <w:tcW w:w="727" w:type="pct"/>
            <w:tcMar>
              <w:left w:w="57" w:type="dxa"/>
              <w:right w:w="57" w:type="dxa"/>
            </w:tcMar>
            <w:vAlign w:val="center"/>
          </w:tcPr>
          <w:p w14:paraId="0F08CE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15</w:t>
            </w:r>
          </w:p>
        </w:tc>
      </w:tr>
      <w:tr w14:paraId="053C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7BD280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22</w:t>
            </w:r>
          </w:p>
        </w:tc>
        <w:tc>
          <w:tcPr>
            <w:tcW w:w="1456" w:type="pct"/>
            <w:tcMar>
              <w:left w:w="57" w:type="dxa"/>
              <w:right w:w="57" w:type="dxa"/>
            </w:tcMar>
            <w:vAlign w:val="center"/>
          </w:tcPr>
          <w:p w14:paraId="634CC1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1，1，2-三氯乙烷</w:t>
            </w:r>
          </w:p>
        </w:tc>
        <w:tc>
          <w:tcPr>
            <w:tcW w:w="687" w:type="pct"/>
            <w:tcMar>
              <w:left w:w="57" w:type="dxa"/>
              <w:right w:w="57" w:type="dxa"/>
            </w:tcMar>
            <w:vAlign w:val="center"/>
          </w:tcPr>
          <w:p w14:paraId="051207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2.8</w:t>
            </w:r>
          </w:p>
        </w:tc>
        <w:tc>
          <w:tcPr>
            <w:tcW w:w="426" w:type="pct"/>
            <w:tcMar>
              <w:left w:w="57" w:type="dxa"/>
              <w:right w:w="57" w:type="dxa"/>
            </w:tcMar>
            <w:vAlign w:val="center"/>
          </w:tcPr>
          <w:p w14:paraId="7834CF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45</w:t>
            </w:r>
          </w:p>
        </w:tc>
        <w:tc>
          <w:tcPr>
            <w:tcW w:w="1285" w:type="pct"/>
            <w:tcMar>
              <w:left w:w="57" w:type="dxa"/>
              <w:right w:w="57" w:type="dxa"/>
            </w:tcMar>
            <w:vAlign w:val="center"/>
          </w:tcPr>
          <w:p w14:paraId="307A2E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萘</w:t>
            </w:r>
          </w:p>
        </w:tc>
        <w:tc>
          <w:tcPr>
            <w:tcW w:w="727" w:type="pct"/>
            <w:tcMar>
              <w:left w:w="57" w:type="dxa"/>
              <w:right w:w="57" w:type="dxa"/>
            </w:tcMar>
            <w:vAlign w:val="center"/>
          </w:tcPr>
          <w:p w14:paraId="241AE7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70</w:t>
            </w:r>
          </w:p>
        </w:tc>
      </w:tr>
      <w:tr w14:paraId="54A3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tcMar>
              <w:left w:w="57" w:type="dxa"/>
              <w:right w:w="57" w:type="dxa"/>
            </w:tcMar>
            <w:vAlign w:val="center"/>
          </w:tcPr>
          <w:p w14:paraId="52E524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23</w:t>
            </w:r>
          </w:p>
        </w:tc>
        <w:tc>
          <w:tcPr>
            <w:tcW w:w="1456" w:type="pct"/>
            <w:tcMar>
              <w:left w:w="57" w:type="dxa"/>
              <w:right w:w="57" w:type="dxa"/>
            </w:tcMar>
            <w:vAlign w:val="center"/>
          </w:tcPr>
          <w:p w14:paraId="390583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三氯乙烯</w:t>
            </w:r>
          </w:p>
        </w:tc>
        <w:tc>
          <w:tcPr>
            <w:tcW w:w="687" w:type="pct"/>
            <w:tcMar>
              <w:left w:w="57" w:type="dxa"/>
              <w:right w:w="57" w:type="dxa"/>
            </w:tcMar>
            <w:vAlign w:val="center"/>
          </w:tcPr>
          <w:p w14:paraId="306034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2.8</w:t>
            </w:r>
          </w:p>
        </w:tc>
        <w:tc>
          <w:tcPr>
            <w:tcW w:w="426" w:type="pct"/>
            <w:tcMar>
              <w:left w:w="57" w:type="dxa"/>
              <w:right w:w="57" w:type="dxa"/>
            </w:tcMar>
            <w:vAlign w:val="center"/>
          </w:tcPr>
          <w:p w14:paraId="10AD64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46</w:t>
            </w:r>
          </w:p>
        </w:tc>
        <w:tc>
          <w:tcPr>
            <w:tcW w:w="1285" w:type="pct"/>
            <w:tcMar>
              <w:left w:w="57" w:type="dxa"/>
              <w:right w:w="57" w:type="dxa"/>
            </w:tcMar>
            <w:vAlign w:val="center"/>
          </w:tcPr>
          <w:p w14:paraId="75060E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石油烃（C</w:t>
            </w:r>
            <w:r>
              <w:rPr>
                <w:rFonts w:hint="default" w:ascii="Times New Roman" w:hAnsi="Times New Roman" w:eastAsia="宋体" w:cs="Times New Roman"/>
                <w:color w:val="auto"/>
                <w:kern w:val="2"/>
                <w:sz w:val="21"/>
                <w:szCs w:val="24"/>
                <w:highlight w:val="none"/>
                <w:vertAlign w:val="subscript"/>
                <w:lang w:val="en-US" w:eastAsia="zh-CN" w:bidi="ar-SA"/>
              </w:rPr>
              <w:t>10</w:t>
            </w:r>
            <w:r>
              <w:rPr>
                <w:rFonts w:hint="default" w:ascii="Times New Roman" w:hAnsi="Times New Roman" w:eastAsia="宋体" w:cs="Times New Roman"/>
                <w:color w:val="auto"/>
                <w:kern w:val="2"/>
                <w:sz w:val="21"/>
                <w:szCs w:val="24"/>
                <w:highlight w:val="none"/>
                <w:lang w:val="en-US" w:eastAsia="zh-CN" w:bidi="ar-SA"/>
              </w:rPr>
              <w:t>-C</w:t>
            </w:r>
            <w:r>
              <w:rPr>
                <w:rFonts w:hint="default" w:ascii="Times New Roman" w:hAnsi="Times New Roman" w:eastAsia="宋体" w:cs="Times New Roman"/>
                <w:color w:val="auto"/>
                <w:kern w:val="2"/>
                <w:sz w:val="21"/>
                <w:szCs w:val="24"/>
                <w:highlight w:val="none"/>
                <w:vertAlign w:val="subscript"/>
                <w:lang w:val="en-US" w:eastAsia="zh-CN" w:bidi="ar-SA"/>
              </w:rPr>
              <w:t>40</w:t>
            </w:r>
            <w:r>
              <w:rPr>
                <w:rFonts w:hint="default" w:ascii="Times New Roman" w:hAnsi="Times New Roman" w:eastAsia="宋体" w:cs="Times New Roman"/>
                <w:color w:val="auto"/>
                <w:kern w:val="2"/>
                <w:sz w:val="21"/>
                <w:szCs w:val="24"/>
                <w:highlight w:val="none"/>
                <w:lang w:val="en-US" w:eastAsia="zh-CN" w:bidi="ar-SA"/>
              </w:rPr>
              <w:t>）</w:t>
            </w:r>
          </w:p>
        </w:tc>
        <w:tc>
          <w:tcPr>
            <w:tcW w:w="727" w:type="pct"/>
            <w:tcMar>
              <w:left w:w="57" w:type="dxa"/>
              <w:right w:w="57" w:type="dxa"/>
            </w:tcMar>
            <w:vAlign w:val="center"/>
          </w:tcPr>
          <w:p w14:paraId="67D09A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4500</w:t>
            </w:r>
          </w:p>
        </w:tc>
      </w:tr>
    </w:tbl>
    <w:p w14:paraId="266A2376">
      <w:pPr>
        <w:pageBreakBefore w:val="0"/>
        <w:widowControl/>
        <w:kinsoku/>
        <w:wordWrap/>
        <w:overflowPunct/>
        <w:bidi w:val="0"/>
        <w:ind w:firstLine="482" w:firstLineChars="200"/>
        <w:jc w:val="both"/>
        <w:rPr>
          <w:rFonts w:hint="eastAsia" w:ascii="Times New Roman" w:hAnsi="Times New Roman" w:eastAsia="宋体" w:cs="Times New Roman"/>
          <w:b/>
          <w:bCs/>
          <w:color w:val="auto"/>
          <w:szCs w:val="21"/>
          <w:highlight w:val="none"/>
        </w:rPr>
      </w:pPr>
      <w:r>
        <w:rPr>
          <w:rFonts w:hint="eastAsia" w:cs="Times New Roman"/>
          <w:b/>
          <w:bCs/>
          <w:color w:val="auto"/>
          <w:szCs w:val="21"/>
          <w:highlight w:val="none"/>
          <w:lang w:eastAsia="zh-CN"/>
        </w:rPr>
        <w:t>（</w:t>
      </w:r>
      <w:r>
        <w:rPr>
          <w:rFonts w:hint="eastAsia" w:cs="Times New Roman"/>
          <w:b/>
          <w:bCs/>
          <w:color w:val="auto"/>
          <w:szCs w:val="21"/>
          <w:highlight w:val="none"/>
          <w:lang w:val="en-US" w:eastAsia="zh-CN"/>
        </w:rPr>
        <w:t>5</w:t>
      </w:r>
      <w:r>
        <w:rPr>
          <w:rFonts w:hint="eastAsia" w:cs="Times New Roman"/>
          <w:b/>
          <w:bCs/>
          <w:color w:val="auto"/>
          <w:szCs w:val="21"/>
          <w:highlight w:val="none"/>
          <w:lang w:eastAsia="zh-CN"/>
        </w:rPr>
        <w:t>）</w:t>
      </w:r>
      <w:r>
        <w:rPr>
          <w:rFonts w:hint="eastAsia" w:ascii="Times New Roman" w:hAnsi="Times New Roman" w:eastAsia="宋体" w:cs="Times New Roman"/>
          <w:b/>
          <w:bCs/>
          <w:color w:val="auto"/>
          <w:szCs w:val="21"/>
          <w:highlight w:val="none"/>
        </w:rPr>
        <w:t>电磁辐射</w:t>
      </w:r>
    </w:p>
    <w:p w14:paraId="31996788">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电磁辐射评价标准执行《电磁环境控制限值》（GB8702-2014）、《辐射环境保护管理导则 电磁辐射环境影响评价方法与标准》（HJ/T10.3-1996）中相关规定。</w:t>
      </w:r>
    </w:p>
    <w:p w14:paraId="01F5DFE8">
      <w:pPr>
        <w:pageBreakBefore w:val="0"/>
        <w:kinsoku/>
        <w:wordWrap/>
        <w:overflowPunct/>
        <w:bidi w:val="0"/>
        <w:spacing w:line="360" w:lineRule="auto"/>
        <w:ind w:left="0" w:firstLine="0"/>
        <w:jc w:val="both"/>
        <w:outlineLvl w:val="3"/>
        <w:rPr>
          <w:rFonts w:ascii="Times New Roman" w:hAnsi="Times New Roman" w:eastAsia="黑体" w:cs="Times New Roman"/>
          <w:color w:val="auto"/>
          <w:kern w:val="2"/>
          <w:sz w:val="24"/>
          <w:szCs w:val="24"/>
          <w:highlight w:val="none"/>
          <w:lang w:val="en-US" w:eastAsia="zh-CN" w:bidi="ar-SA"/>
        </w:rPr>
      </w:pPr>
      <w:r>
        <w:rPr>
          <w:rFonts w:ascii="Times New Roman" w:hAnsi="Times New Roman" w:eastAsia="黑体" w:cs="Times New Roman"/>
          <w:color w:val="auto"/>
          <w:kern w:val="2"/>
          <w:sz w:val="24"/>
          <w:szCs w:val="24"/>
          <w:highlight w:val="none"/>
          <w:lang w:val="en-US" w:eastAsia="zh-CN" w:bidi="ar-SA"/>
        </w:rPr>
        <w:t>2.4</w:t>
      </w:r>
      <w:r>
        <w:rPr>
          <w:rFonts w:hint="eastAsia" w:ascii="Times New Roman" w:hAnsi="Times New Roman" w:eastAsia="黑体" w:cs="Times New Roman"/>
          <w:color w:val="auto"/>
          <w:kern w:val="2"/>
          <w:sz w:val="24"/>
          <w:szCs w:val="24"/>
          <w:highlight w:val="none"/>
          <w:lang w:val="en-US" w:eastAsia="zh-CN" w:bidi="ar-SA"/>
        </w:rPr>
        <w:t>.2</w:t>
      </w:r>
      <w:r>
        <w:rPr>
          <w:rFonts w:ascii="Times New Roman" w:hAnsi="Times New Roman" w:eastAsia="黑体" w:cs="Times New Roman"/>
          <w:color w:val="auto"/>
          <w:kern w:val="2"/>
          <w:sz w:val="24"/>
          <w:szCs w:val="24"/>
          <w:highlight w:val="none"/>
          <w:lang w:val="en-US" w:eastAsia="zh-CN" w:bidi="ar-SA"/>
        </w:rPr>
        <w:t>.2污染物排放标准</w:t>
      </w:r>
    </w:p>
    <w:p w14:paraId="77D0CC70">
      <w:pPr>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4"/>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（1）施工期</w:t>
      </w:r>
    </w:p>
    <w:p w14:paraId="12E722BC">
      <w:pPr>
        <w:pageBreakBefore w:val="0"/>
        <w:widowControl/>
        <w:kinsoku/>
        <w:wordWrap/>
        <w:overflowPunct/>
        <w:bidi w:val="0"/>
        <w:ind w:left="480" w:firstLine="0"/>
        <w:jc w:val="both"/>
        <w:rPr>
          <w:rFonts w:ascii="Times New Roman" w:hAnsi="Times New Roman" w:eastAsia="宋体" w:cs="Times New Roman"/>
          <w:b/>
          <w:bCs/>
          <w:color w:val="auto"/>
          <w:szCs w:val="21"/>
          <w:highlight w:val="none"/>
        </w:rPr>
      </w:pPr>
      <w:r>
        <w:rPr>
          <w:rFonts w:hint="eastAsia" w:ascii="宋体" w:hAnsi="宋体" w:eastAsia="宋体" w:cs="宋体"/>
          <w:b/>
          <w:bCs/>
          <w:color w:val="auto"/>
          <w:szCs w:val="21"/>
          <w:highlight w:val="none"/>
        </w:rPr>
        <w:t>①</w:t>
      </w:r>
      <w:r>
        <w:rPr>
          <w:rFonts w:ascii="Times New Roman" w:hAnsi="Times New Roman" w:eastAsia="宋体" w:cs="Times New Roman"/>
          <w:b/>
          <w:bCs/>
          <w:color w:val="auto"/>
          <w:szCs w:val="21"/>
          <w:highlight w:val="none"/>
        </w:rPr>
        <w:t>噪声</w:t>
      </w:r>
    </w:p>
    <w:p w14:paraId="443BA9CF">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施工期噪声执行《建筑施工场界环境噪声排放标准》（</w:t>
      </w:r>
      <w:r>
        <w:rPr>
          <w:rFonts w:ascii="Times New Roman" w:hAnsi="Times New Roman" w:eastAsia="Times New Roman" w:cs="Times New Roman"/>
          <w:color w:val="auto"/>
          <w:szCs w:val="21"/>
          <w:highlight w:val="none"/>
        </w:rPr>
        <w:t>GB12523-2011</w:t>
      </w:r>
      <w:r>
        <w:rPr>
          <w:rFonts w:ascii="Times New Roman" w:hAnsi="Times New Roman" w:eastAsia="宋体" w:cs="Times New Roman"/>
          <w:color w:val="auto"/>
          <w:szCs w:val="21"/>
          <w:highlight w:val="none"/>
        </w:rPr>
        <w:t>），标准限值见表</w:t>
      </w:r>
      <w:r>
        <w:rPr>
          <w:rFonts w:ascii="Times New Roman" w:hAnsi="Times New Roman" w:eastAsia="Times New Roman" w:cs="Times New Roman"/>
          <w:color w:val="auto"/>
          <w:szCs w:val="21"/>
          <w:highlight w:val="none"/>
        </w:rPr>
        <w:t>2.4-</w:t>
      </w:r>
      <w:r>
        <w:rPr>
          <w:rFonts w:hint="eastAsia" w:eastAsia="宋体" w:cs="Times New Roman"/>
          <w:color w:val="auto"/>
          <w:szCs w:val="21"/>
          <w:highlight w:val="none"/>
          <w:lang w:val="en-US" w:eastAsia="zh-CN"/>
        </w:rPr>
        <w:t>7</w:t>
      </w:r>
      <w:r>
        <w:rPr>
          <w:rFonts w:ascii="Times New Roman" w:hAnsi="Times New Roman" w:eastAsia="宋体" w:cs="Times New Roman"/>
          <w:color w:val="auto"/>
          <w:szCs w:val="21"/>
          <w:highlight w:val="none"/>
        </w:rPr>
        <w:t>。</w:t>
      </w:r>
    </w:p>
    <w:p w14:paraId="67EF5405">
      <w:pPr>
        <w:pageBreakBefore w:val="0"/>
        <w:widowControl w:val="0"/>
        <w:kinsoku/>
        <w:wordWrap/>
        <w:overflowPunct/>
        <w:bidi w:val="0"/>
        <w:spacing w:beforeLines="0" w:afterLines="0" w:line="240" w:lineRule="auto"/>
        <w:ind w:left="0" w:leftChars="0" w:firstLine="0" w:firstLineChars="0"/>
        <w:jc w:val="center"/>
        <w:rPr>
          <w:rFonts w:ascii="Times New Roman" w:hAnsi="Times New Roman" w:eastAsia="黑体" w:cs="Times New Roman"/>
          <w:color w:val="auto"/>
          <w:kern w:val="2"/>
          <w:sz w:val="21"/>
          <w:szCs w:val="18"/>
          <w:highlight w:val="none"/>
          <w:lang w:val="en-US" w:eastAsia="zh-CN" w:bidi="ar-SA"/>
        </w:rPr>
      </w:pPr>
      <w:r>
        <w:rPr>
          <w:rFonts w:ascii="Times New Roman" w:hAnsi="Times New Roman" w:eastAsia="黑体" w:cs="Times New Roman"/>
          <w:color w:val="auto"/>
          <w:kern w:val="2"/>
          <w:sz w:val="21"/>
          <w:szCs w:val="18"/>
          <w:highlight w:val="none"/>
          <w:lang w:val="en-US" w:eastAsia="zh-CN" w:bidi="ar-SA"/>
        </w:rPr>
        <w:t>表</w:t>
      </w:r>
      <w:r>
        <w:rPr>
          <w:rFonts w:ascii="Times New Roman" w:hAnsi="Times New Roman" w:eastAsia="Times New Roman" w:cs="Times New Roman"/>
          <w:b/>
          <w:color w:val="auto"/>
          <w:kern w:val="2"/>
          <w:sz w:val="21"/>
          <w:szCs w:val="18"/>
          <w:highlight w:val="none"/>
          <w:lang w:val="en-US" w:eastAsia="zh-CN" w:bidi="ar-SA"/>
        </w:rPr>
        <w:t>2.4-</w:t>
      </w:r>
      <w:r>
        <w:rPr>
          <w:rFonts w:hint="eastAsia" w:eastAsia="Times New Roman" w:cs="Times New Roman"/>
          <w:b/>
          <w:color w:val="auto"/>
          <w:kern w:val="2"/>
          <w:sz w:val="21"/>
          <w:szCs w:val="18"/>
          <w:highlight w:val="none"/>
          <w:lang w:val="en-US" w:eastAsia="zh-CN" w:bidi="ar-SA"/>
        </w:rPr>
        <w:t xml:space="preserve">7  </w:t>
      </w:r>
      <w:r>
        <w:rPr>
          <w:rFonts w:ascii="Times New Roman" w:hAnsi="Times New Roman" w:eastAsia="黑体" w:cs="Times New Roman"/>
          <w:color w:val="auto"/>
          <w:kern w:val="2"/>
          <w:sz w:val="21"/>
          <w:szCs w:val="18"/>
          <w:highlight w:val="none"/>
          <w:lang w:val="en-US" w:eastAsia="zh-CN" w:bidi="ar-SA"/>
        </w:rPr>
        <w:t>建筑施工场界环境噪声排放标准</w:t>
      </w:r>
    </w:p>
    <w:tbl>
      <w:tblPr>
        <w:tblStyle w:val="8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77"/>
        <w:gridCol w:w="2667"/>
        <w:gridCol w:w="2586"/>
      </w:tblGrid>
      <w:tr w14:paraId="5061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91" w:type="pct"/>
            <w:tcMar>
              <w:left w:w="57" w:type="dxa"/>
              <w:right w:w="57" w:type="dxa"/>
            </w:tcMar>
            <w:vAlign w:val="center"/>
          </w:tcPr>
          <w:p w14:paraId="27D3AB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4"/>
                <w:highlight w:val="none"/>
                <w:lang w:val="en-US" w:eastAsia="zh-CN" w:bidi="ar-SA"/>
              </w:rPr>
            </w:pPr>
            <w:r>
              <w:rPr>
                <w:rFonts w:hint="default" w:ascii="Times New Roman" w:hAnsi="Times New Roman" w:eastAsia="宋体" w:cs="Times New Roman"/>
                <w:b/>
                <w:color w:val="auto"/>
                <w:kern w:val="2"/>
                <w:sz w:val="21"/>
                <w:szCs w:val="24"/>
                <w:highlight w:val="none"/>
                <w:lang w:val="en-US" w:eastAsia="zh-CN" w:bidi="ar-SA"/>
              </w:rPr>
              <w:t>类别</w:t>
            </w:r>
          </w:p>
        </w:tc>
        <w:tc>
          <w:tcPr>
            <w:tcW w:w="1527" w:type="pct"/>
            <w:tcMar>
              <w:left w:w="57" w:type="dxa"/>
              <w:right w:w="57" w:type="dxa"/>
            </w:tcMar>
            <w:vAlign w:val="center"/>
          </w:tcPr>
          <w:p w14:paraId="6E4421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4"/>
                <w:highlight w:val="none"/>
                <w:lang w:val="en-US" w:eastAsia="zh-CN" w:bidi="ar-SA"/>
              </w:rPr>
            </w:pPr>
            <w:r>
              <w:rPr>
                <w:rFonts w:hint="default" w:ascii="Times New Roman" w:hAnsi="Times New Roman" w:eastAsia="宋体" w:cs="Times New Roman"/>
                <w:b/>
                <w:color w:val="auto"/>
                <w:kern w:val="2"/>
                <w:sz w:val="21"/>
                <w:szCs w:val="24"/>
                <w:highlight w:val="none"/>
                <w:lang w:val="en-US" w:eastAsia="zh-CN" w:bidi="ar-SA"/>
              </w:rPr>
              <w:t>昼间</w:t>
            </w:r>
          </w:p>
        </w:tc>
        <w:tc>
          <w:tcPr>
            <w:tcW w:w="1480" w:type="pct"/>
            <w:tcMar>
              <w:left w:w="57" w:type="dxa"/>
              <w:right w:w="57" w:type="dxa"/>
            </w:tcMar>
            <w:vAlign w:val="center"/>
          </w:tcPr>
          <w:p w14:paraId="4442A7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4"/>
                <w:highlight w:val="none"/>
                <w:lang w:val="en-US" w:eastAsia="zh-CN" w:bidi="ar-SA"/>
              </w:rPr>
            </w:pPr>
            <w:r>
              <w:rPr>
                <w:rFonts w:hint="default" w:ascii="Times New Roman" w:hAnsi="Times New Roman" w:eastAsia="宋体" w:cs="Times New Roman"/>
                <w:b/>
                <w:color w:val="auto"/>
                <w:kern w:val="2"/>
                <w:sz w:val="21"/>
                <w:szCs w:val="24"/>
                <w:highlight w:val="none"/>
                <w:lang w:val="en-US" w:eastAsia="zh-CN" w:bidi="ar-SA"/>
              </w:rPr>
              <w:t>夜间</w:t>
            </w:r>
          </w:p>
        </w:tc>
      </w:tr>
      <w:tr w14:paraId="3081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91" w:type="pct"/>
            <w:tcMar>
              <w:left w:w="57" w:type="dxa"/>
              <w:right w:w="57" w:type="dxa"/>
            </w:tcMar>
            <w:vAlign w:val="center"/>
          </w:tcPr>
          <w:p w14:paraId="7E2012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场界环境噪声（</w:t>
            </w:r>
            <w:r>
              <w:rPr>
                <w:rFonts w:hint="default" w:ascii="Times New Roman" w:hAnsi="Times New Roman" w:eastAsia="Times New Roman" w:cs="Times New Roman"/>
                <w:color w:val="auto"/>
                <w:kern w:val="2"/>
                <w:sz w:val="21"/>
                <w:szCs w:val="24"/>
                <w:highlight w:val="none"/>
                <w:lang w:val="en-US" w:eastAsia="zh-CN" w:bidi="ar-SA"/>
              </w:rPr>
              <w:t>dB</w:t>
            </w:r>
            <w:r>
              <w:rPr>
                <w:rFonts w:hint="eastAsia" w:eastAsia="Times New Roman" w:cs="Times New Roman"/>
                <w:color w:val="auto"/>
                <w:kern w:val="2"/>
                <w:sz w:val="21"/>
                <w:szCs w:val="24"/>
                <w:highlight w:val="none"/>
                <w:lang w:val="en-US" w:eastAsia="zh-CN" w:bidi="ar-SA"/>
              </w:rPr>
              <w:t>（</w:t>
            </w:r>
            <w:r>
              <w:rPr>
                <w:rFonts w:hint="default" w:ascii="Times New Roman" w:hAnsi="Times New Roman" w:eastAsia="Times New Roman" w:cs="Times New Roman"/>
                <w:color w:val="auto"/>
                <w:kern w:val="2"/>
                <w:sz w:val="21"/>
                <w:szCs w:val="24"/>
                <w:highlight w:val="none"/>
                <w:lang w:val="en-US" w:eastAsia="zh-CN" w:bidi="ar-SA"/>
              </w:rPr>
              <w:t>A</w:t>
            </w:r>
            <w:r>
              <w:rPr>
                <w:rFonts w:hint="eastAsia" w:eastAsia="Times New Roman" w:cs="Times New Roman"/>
                <w:color w:val="auto"/>
                <w:kern w:val="2"/>
                <w:sz w:val="21"/>
                <w:szCs w:val="24"/>
                <w:highlight w:val="none"/>
                <w:lang w:val="en-US" w:eastAsia="zh-CN" w:bidi="ar-SA"/>
              </w:rPr>
              <w:t>）</w:t>
            </w:r>
            <w:r>
              <w:rPr>
                <w:rFonts w:hint="default" w:ascii="Times New Roman" w:hAnsi="Times New Roman" w:eastAsia="宋体" w:cs="Times New Roman"/>
                <w:color w:val="auto"/>
                <w:kern w:val="2"/>
                <w:sz w:val="21"/>
                <w:szCs w:val="24"/>
                <w:highlight w:val="none"/>
                <w:lang w:val="en-US" w:eastAsia="zh-CN" w:bidi="ar-SA"/>
              </w:rPr>
              <w:t>）</w:t>
            </w:r>
          </w:p>
        </w:tc>
        <w:tc>
          <w:tcPr>
            <w:tcW w:w="1527" w:type="pct"/>
            <w:tcMar>
              <w:left w:w="57" w:type="dxa"/>
              <w:right w:w="57" w:type="dxa"/>
            </w:tcMar>
            <w:vAlign w:val="center"/>
          </w:tcPr>
          <w:p w14:paraId="2B3024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Times New Roman" w:cs="Times New Roman"/>
                <w:color w:val="auto"/>
                <w:kern w:val="2"/>
                <w:sz w:val="21"/>
                <w:szCs w:val="24"/>
                <w:highlight w:val="none"/>
                <w:lang w:val="en-US" w:eastAsia="zh-CN" w:bidi="ar-SA"/>
              </w:rPr>
              <w:t>70</w:t>
            </w:r>
          </w:p>
        </w:tc>
        <w:tc>
          <w:tcPr>
            <w:tcW w:w="1480" w:type="pct"/>
            <w:tcMar>
              <w:left w:w="57" w:type="dxa"/>
              <w:right w:w="57" w:type="dxa"/>
            </w:tcMar>
            <w:vAlign w:val="center"/>
          </w:tcPr>
          <w:p w14:paraId="082F86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Times New Roman" w:cs="Times New Roman"/>
                <w:color w:val="auto"/>
                <w:kern w:val="2"/>
                <w:sz w:val="21"/>
                <w:szCs w:val="24"/>
                <w:highlight w:val="none"/>
                <w:lang w:val="en-US" w:eastAsia="zh-CN" w:bidi="ar-SA"/>
              </w:rPr>
              <w:t>55</w:t>
            </w:r>
          </w:p>
        </w:tc>
      </w:tr>
    </w:tbl>
    <w:p w14:paraId="390941D9">
      <w:pPr>
        <w:pageBreakBefore w:val="0"/>
        <w:widowControl/>
        <w:kinsoku/>
        <w:wordWrap/>
        <w:overflowPunct/>
        <w:bidi w:val="0"/>
        <w:ind w:left="480" w:firstLine="0"/>
        <w:jc w:val="both"/>
        <w:rPr>
          <w:rFonts w:ascii="Times New Roman" w:hAnsi="Times New Roman" w:eastAsia="宋体" w:cs="Times New Roman"/>
          <w:b/>
          <w:bCs/>
          <w:color w:val="auto"/>
          <w:szCs w:val="21"/>
          <w:highlight w:val="none"/>
        </w:rPr>
      </w:pPr>
      <w:r>
        <w:rPr>
          <w:rFonts w:hint="eastAsia" w:ascii="宋体" w:hAnsi="宋体" w:eastAsia="宋体" w:cs="宋体"/>
          <w:b/>
          <w:bCs/>
          <w:color w:val="auto"/>
          <w:szCs w:val="21"/>
          <w:highlight w:val="none"/>
        </w:rPr>
        <w:t>②</w:t>
      </w:r>
      <w:r>
        <w:rPr>
          <w:rFonts w:ascii="Times New Roman" w:hAnsi="Times New Roman" w:eastAsia="宋体" w:cs="Times New Roman"/>
          <w:b/>
          <w:bCs/>
          <w:color w:val="auto"/>
          <w:szCs w:val="21"/>
          <w:highlight w:val="none"/>
        </w:rPr>
        <w:t>废气</w:t>
      </w:r>
    </w:p>
    <w:p w14:paraId="2C7ECB0B">
      <w:pPr>
        <w:pageBreakBefore w:val="0"/>
        <w:widowControl/>
        <w:kinsoku/>
        <w:wordWrap/>
        <w:overflowPunct/>
        <w:bidi w:val="0"/>
        <w:ind w:firstLine="48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施工中大气污染物执行《大气污染物综合排放标准》（GB16297-1996）中的二级标准，具体见表2.4-</w:t>
      </w:r>
      <w:r>
        <w:rPr>
          <w:rFonts w:hint="eastAsia" w:cs="Times New Roman"/>
          <w:color w:val="auto"/>
          <w:szCs w:val="21"/>
          <w:highlight w:val="none"/>
          <w:lang w:val="en-US" w:eastAsia="zh-CN"/>
        </w:rPr>
        <w:t>8</w:t>
      </w:r>
      <w:r>
        <w:rPr>
          <w:rFonts w:ascii="Times New Roman" w:hAnsi="Times New Roman" w:eastAsia="宋体" w:cs="Times New Roman"/>
          <w:color w:val="auto"/>
          <w:szCs w:val="21"/>
          <w:highlight w:val="none"/>
        </w:rPr>
        <w:t>。</w:t>
      </w:r>
    </w:p>
    <w:p w14:paraId="737F886A">
      <w:pPr>
        <w:pageBreakBefore w:val="0"/>
        <w:widowControl w:val="0"/>
        <w:kinsoku/>
        <w:wordWrap/>
        <w:overflowPunct/>
        <w:bidi w:val="0"/>
        <w:spacing w:beforeLines="0" w:afterLines="0" w:line="240" w:lineRule="auto"/>
        <w:ind w:left="0" w:leftChars="0" w:firstLine="0" w:firstLineChars="0"/>
        <w:jc w:val="center"/>
        <w:rPr>
          <w:rFonts w:ascii="Times New Roman" w:hAnsi="Times New Roman" w:eastAsia="黑体" w:cs="Times New Roman"/>
          <w:color w:val="auto"/>
          <w:kern w:val="2"/>
          <w:sz w:val="21"/>
          <w:szCs w:val="18"/>
          <w:highlight w:val="none"/>
          <w:lang w:val="en-US" w:eastAsia="zh-CN" w:bidi="ar-SA"/>
        </w:rPr>
      </w:pPr>
      <w:r>
        <w:rPr>
          <w:rFonts w:ascii="Times New Roman" w:hAnsi="Times New Roman" w:eastAsia="黑体" w:cs="Times New Roman"/>
          <w:color w:val="auto"/>
          <w:kern w:val="2"/>
          <w:sz w:val="21"/>
          <w:szCs w:val="18"/>
          <w:highlight w:val="none"/>
          <w:lang w:val="en-US" w:eastAsia="zh-CN" w:bidi="ar-SA"/>
        </w:rPr>
        <w:t>表2.4-</w:t>
      </w:r>
      <w:r>
        <w:rPr>
          <w:rFonts w:hint="eastAsia" w:eastAsia="黑体" w:cs="Times New Roman"/>
          <w:color w:val="auto"/>
          <w:kern w:val="2"/>
          <w:sz w:val="21"/>
          <w:szCs w:val="18"/>
          <w:highlight w:val="none"/>
          <w:lang w:val="en-US" w:eastAsia="zh-CN" w:bidi="ar-SA"/>
        </w:rPr>
        <w:t xml:space="preserve">8  </w:t>
      </w:r>
      <w:r>
        <w:rPr>
          <w:rFonts w:ascii="Times New Roman" w:hAnsi="Times New Roman" w:eastAsia="黑体" w:cs="Times New Roman"/>
          <w:color w:val="auto"/>
          <w:kern w:val="2"/>
          <w:sz w:val="21"/>
          <w:szCs w:val="18"/>
          <w:highlight w:val="none"/>
          <w:lang w:val="en-US" w:eastAsia="zh-CN" w:bidi="ar-SA"/>
        </w:rPr>
        <w:t>大气污染物综合排放标准</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2379"/>
        <w:gridCol w:w="4113"/>
      </w:tblGrid>
      <w:tr w14:paraId="76E5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3" w:type="pct"/>
            <w:tcMar>
              <w:left w:w="57" w:type="dxa"/>
              <w:right w:w="57" w:type="dxa"/>
            </w:tcMar>
            <w:vAlign w:val="center"/>
          </w:tcPr>
          <w:p w14:paraId="0DDEBF3C">
            <w:pPr>
              <w:keepNext w:val="0"/>
              <w:keepLines w:val="0"/>
              <w:pageBreakBefore w:val="0"/>
              <w:widowControl w:val="0"/>
              <w:suppressLineNumbers w:val="0"/>
              <w:kinsoku/>
              <w:wordWrap/>
              <w:overflowPunct/>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color w:val="auto"/>
                <w:kern w:val="2"/>
                <w:sz w:val="21"/>
                <w:szCs w:val="24"/>
                <w:highlight w:val="none"/>
                <w:lang w:val="en-US" w:eastAsia="zh-CN" w:bidi="ar-SA"/>
              </w:rPr>
            </w:pPr>
            <w:r>
              <w:rPr>
                <w:rFonts w:hint="default" w:ascii="Times New Roman" w:hAnsi="Times New Roman" w:eastAsia="宋体" w:cs="Times New Roman"/>
                <w:b/>
                <w:color w:val="auto"/>
                <w:kern w:val="2"/>
                <w:sz w:val="21"/>
                <w:szCs w:val="24"/>
                <w:highlight w:val="none"/>
                <w:lang w:val="en-US" w:eastAsia="zh-CN" w:bidi="ar-SA"/>
              </w:rPr>
              <w:t>执行区域</w:t>
            </w:r>
          </w:p>
        </w:tc>
        <w:tc>
          <w:tcPr>
            <w:tcW w:w="1362" w:type="pct"/>
            <w:tcMar>
              <w:left w:w="57" w:type="dxa"/>
              <w:right w:w="57" w:type="dxa"/>
            </w:tcMar>
            <w:vAlign w:val="center"/>
          </w:tcPr>
          <w:p w14:paraId="4A13BD11">
            <w:pPr>
              <w:keepNext w:val="0"/>
              <w:keepLines w:val="0"/>
              <w:pageBreakBefore w:val="0"/>
              <w:widowControl w:val="0"/>
              <w:suppressLineNumbers w:val="0"/>
              <w:kinsoku/>
              <w:wordWrap/>
              <w:overflowPunct/>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color w:val="auto"/>
                <w:kern w:val="2"/>
                <w:sz w:val="21"/>
                <w:szCs w:val="24"/>
                <w:highlight w:val="none"/>
                <w:lang w:val="en-US" w:eastAsia="zh-CN" w:bidi="ar-SA"/>
              </w:rPr>
            </w:pPr>
            <w:r>
              <w:rPr>
                <w:rFonts w:hint="default" w:ascii="Times New Roman" w:hAnsi="Times New Roman" w:eastAsia="宋体" w:cs="Times New Roman"/>
                <w:b/>
                <w:color w:val="auto"/>
                <w:kern w:val="2"/>
                <w:sz w:val="21"/>
                <w:szCs w:val="24"/>
                <w:highlight w:val="none"/>
                <w:lang w:val="en-US" w:eastAsia="zh-CN" w:bidi="ar-SA"/>
              </w:rPr>
              <w:t>污染物</w:t>
            </w:r>
          </w:p>
        </w:tc>
        <w:tc>
          <w:tcPr>
            <w:tcW w:w="2355" w:type="pct"/>
            <w:tcMar>
              <w:left w:w="57" w:type="dxa"/>
              <w:right w:w="57" w:type="dxa"/>
            </w:tcMar>
            <w:vAlign w:val="center"/>
          </w:tcPr>
          <w:p w14:paraId="6F57AD25">
            <w:pPr>
              <w:keepNext w:val="0"/>
              <w:keepLines w:val="0"/>
              <w:pageBreakBefore w:val="0"/>
              <w:widowControl w:val="0"/>
              <w:suppressLineNumbers w:val="0"/>
              <w:kinsoku/>
              <w:wordWrap/>
              <w:overflowPunct/>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color w:val="auto"/>
                <w:kern w:val="2"/>
                <w:sz w:val="21"/>
                <w:szCs w:val="24"/>
                <w:highlight w:val="none"/>
                <w:lang w:val="en-US" w:eastAsia="zh-CN" w:bidi="ar-SA"/>
              </w:rPr>
            </w:pPr>
            <w:r>
              <w:rPr>
                <w:rFonts w:hint="default" w:ascii="Times New Roman" w:hAnsi="Times New Roman" w:eastAsia="宋体" w:cs="Times New Roman"/>
                <w:b/>
                <w:color w:val="auto"/>
                <w:kern w:val="2"/>
                <w:sz w:val="21"/>
                <w:szCs w:val="24"/>
                <w:highlight w:val="none"/>
                <w:lang w:val="en-US" w:eastAsia="zh-CN" w:bidi="ar-SA"/>
              </w:rPr>
              <w:t>二级标准（无组织排放监控浓度限值）</w:t>
            </w:r>
          </w:p>
        </w:tc>
      </w:tr>
      <w:tr w14:paraId="37F0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3" w:type="pct"/>
            <w:tcMar>
              <w:left w:w="57" w:type="dxa"/>
              <w:right w:w="57" w:type="dxa"/>
            </w:tcMar>
            <w:vAlign w:val="center"/>
          </w:tcPr>
          <w:p w14:paraId="38EA4E9C">
            <w:pPr>
              <w:keepNext w:val="0"/>
              <w:keepLines w:val="0"/>
              <w:pageBreakBefore w:val="0"/>
              <w:widowControl w:val="0"/>
              <w:suppressLineNumbers w:val="0"/>
              <w:kinsoku/>
              <w:wordWrap/>
              <w:overflowPunct/>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施工厂界</w:t>
            </w:r>
          </w:p>
        </w:tc>
        <w:tc>
          <w:tcPr>
            <w:tcW w:w="1362" w:type="pct"/>
            <w:tcMar>
              <w:left w:w="57" w:type="dxa"/>
              <w:right w:w="57" w:type="dxa"/>
            </w:tcMar>
            <w:vAlign w:val="center"/>
          </w:tcPr>
          <w:p w14:paraId="742EF7B2">
            <w:pPr>
              <w:keepNext w:val="0"/>
              <w:keepLines w:val="0"/>
              <w:pageBreakBefore w:val="0"/>
              <w:widowControl w:val="0"/>
              <w:suppressLineNumbers w:val="0"/>
              <w:kinsoku/>
              <w:wordWrap/>
              <w:overflowPunct/>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颗粒物（mg/m</w:t>
            </w:r>
            <w:r>
              <w:rPr>
                <w:rFonts w:hint="eastAsia" w:cs="Times New Roman"/>
                <w:color w:val="auto"/>
                <w:kern w:val="2"/>
                <w:sz w:val="21"/>
                <w:szCs w:val="24"/>
                <w:highlight w:val="none"/>
                <w:vertAlign w:val="superscript"/>
                <w:lang w:val="en-US" w:eastAsia="zh-CN" w:bidi="ar-SA"/>
              </w:rPr>
              <w:t>3</w:t>
            </w:r>
            <w:r>
              <w:rPr>
                <w:rFonts w:hint="default" w:ascii="Times New Roman" w:hAnsi="Times New Roman" w:eastAsia="宋体" w:cs="Times New Roman"/>
                <w:color w:val="auto"/>
                <w:kern w:val="2"/>
                <w:sz w:val="21"/>
                <w:szCs w:val="24"/>
                <w:highlight w:val="none"/>
                <w:lang w:val="en-US" w:eastAsia="zh-CN" w:bidi="ar-SA"/>
              </w:rPr>
              <w:t>）</w:t>
            </w:r>
          </w:p>
        </w:tc>
        <w:tc>
          <w:tcPr>
            <w:tcW w:w="2355" w:type="pct"/>
            <w:tcMar>
              <w:left w:w="57" w:type="dxa"/>
              <w:right w:w="57" w:type="dxa"/>
            </w:tcMar>
            <w:vAlign w:val="center"/>
          </w:tcPr>
          <w:p w14:paraId="658F2456">
            <w:pPr>
              <w:keepNext w:val="0"/>
              <w:keepLines w:val="0"/>
              <w:pageBreakBefore w:val="0"/>
              <w:widowControl w:val="0"/>
              <w:suppressLineNumbers w:val="0"/>
              <w:kinsoku/>
              <w:wordWrap/>
              <w:overflowPunct/>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Times New Roman" w:cs="Times New Roman"/>
                <w:color w:val="auto"/>
                <w:kern w:val="2"/>
                <w:sz w:val="21"/>
                <w:szCs w:val="24"/>
                <w:highlight w:val="none"/>
                <w:lang w:val="en-US" w:eastAsia="zh-CN" w:bidi="ar-SA"/>
              </w:rPr>
              <w:t>1.0</w:t>
            </w:r>
          </w:p>
        </w:tc>
      </w:tr>
    </w:tbl>
    <w:p w14:paraId="6580D97A">
      <w:pPr>
        <w:pageBreakBefore w:val="0"/>
        <w:widowControl/>
        <w:kinsoku/>
        <w:wordWrap/>
        <w:overflowPunct/>
        <w:bidi w:val="0"/>
        <w:ind w:firstLine="482" w:firstLineChars="200"/>
        <w:jc w:val="both"/>
        <w:rPr>
          <w:rFonts w:hint="eastAsia" w:ascii="Times New Roman" w:hAnsi="Times New Roman" w:eastAsia="宋体" w:cs="Times New Roman"/>
          <w:b/>
          <w:bCs/>
          <w:color w:val="auto"/>
          <w:szCs w:val="21"/>
          <w:highlight w:val="none"/>
          <w:lang w:eastAsia="zh-CN"/>
        </w:rPr>
      </w:pPr>
      <w:r>
        <w:rPr>
          <w:rFonts w:hint="eastAsia" w:cs="Times New Roman"/>
          <w:b/>
          <w:bCs/>
          <w:color w:val="auto"/>
          <w:szCs w:val="21"/>
          <w:highlight w:val="none"/>
          <w:lang w:val="en-US" w:eastAsia="zh-CN"/>
        </w:rPr>
        <w:t>③固废</w:t>
      </w:r>
    </w:p>
    <w:p w14:paraId="22D7069F">
      <w:pPr>
        <w:pageBreakBefore w:val="0"/>
        <w:widowControl/>
        <w:kinsoku/>
        <w:wordWrap/>
        <w:overflowPunct/>
        <w:bidi w:val="0"/>
        <w:ind w:firstLine="480" w:firstLineChars="200"/>
        <w:jc w:val="both"/>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rPr>
        <w:t>施工期弃渣执行《建筑垃圾处理技术标准》（CJJ/T134-2019）</w:t>
      </w:r>
      <w:r>
        <w:rPr>
          <w:rFonts w:hint="eastAsia" w:cs="Times New Roman"/>
          <w:color w:val="auto"/>
          <w:szCs w:val="21"/>
          <w:highlight w:val="none"/>
          <w:lang w:eastAsia="zh-CN"/>
        </w:rPr>
        <w:t>。</w:t>
      </w:r>
    </w:p>
    <w:p w14:paraId="4A833623">
      <w:pPr>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4"/>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（2）运营期</w:t>
      </w:r>
    </w:p>
    <w:p w14:paraId="29744894">
      <w:pPr>
        <w:keepNext w:val="0"/>
        <w:keepLines w:val="0"/>
        <w:pageBreakBefore w:val="0"/>
        <w:widowControl/>
        <w:kinsoku/>
        <w:wordWrap/>
        <w:overflowPunct/>
        <w:topLinePunct w:val="0"/>
        <w:autoSpaceDE/>
        <w:autoSpaceDN/>
        <w:bidi w:val="0"/>
        <w:adjustRightInd/>
        <w:snapToGrid/>
        <w:ind w:firstLine="482"/>
        <w:jc w:val="left"/>
        <w:textAlignment w:val="auto"/>
        <w:outlineLvl w:val="5"/>
        <w:rPr>
          <w:rFonts w:hint="eastAsia" w:ascii="Times New Roman" w:hAnsi="Times New Roman" w:eastAsia="宋体" w:cs="Times New Roman"/>
          <w:b/>
          <w:bCs/>
          <w:color w:val="auto"/>
          <w:szCs w:val="21"/>
          <w:highlight w:val="none"/>
          <w:lang w:eastAsia="zh-CN"/>
        </w:rPr>
      </w:pPr>
      <w:r>
        <w:rPr>
          <w:rFonts w:hint="eastAsia" w:ascii="宋体" w:hAnsi="宋体" w:cs="宋体"/>
          <w:b/>
          <w:bCs/>
          <w:color w:val="auto"/>
          <w:szCs w:val="21"/>
          <w:highlight w:val="none"/>
          <w:lang w:val="en-US" w:eastAsia="zh-CN"/>
        </w:rPr>
        <w:t>1）</w:t>
      </w:r>
      <w:r>
        <w:rPr>
          <w:rFonts w:hint="eastAsia" w:cs="Times New Roman"/>
          <w:b/>
          <w:bCs/>
          <w:color w:val="auto"/>
          <w:szCs w:val="21"/>
          <w:highlight w:val="none"/>
          <w:lang w:val="en-US" w:eastAsia="zh-CN"/>
        </w:rPr>
        <w:t>噪声</w:t>
      </w:r>
    </w:p>
    <w:p w14:paraId="5B27909B">
      <w:pPr>
        <w:pageBreakBefore w:val="0"/>
        <w:widowControl/>
        <w:kinsoku/>
        <w:wordWrap/>
        <w:overflowPunct/>
        <w:bidi w:val="0"/>
        <w:ind w:firstLine="480" w:firstLineChars="200"/>
        <w:jc w:val="both"/>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 w:val="24"/>
          <w:szCs w:val="22"/>
          <w:highlight w:val="none"/>
          <w:lang w:val="en-US" w:eastAsia="zh-CN"/>
        </w:rPr>
        <w:t>运营期受航空器通过时的瞬时噪声影响的L</w:t>
      </w:r>
      <w:r>
        <w:rPr>
          <w:rFonts w:hint="eastAsia" w:ascii="Times New Roman" w:hAnsi="Times New Roman" w:eastAsia="宋体" w:cs="Times New Roman"/>
          <w:color w:val="auto"/>
          <w:sz w:val="24"/>
          <w:szCs w:val="22"/>
          <w:highlight w:val="none"/>
          <w:vertAlign w:val="subscript"/>
          <w:lang w:val="en-US" w:eastAsia="zh-CN"/>
        </w:rPr>
        <w:t>Amax</w:t>
      </w:r>
      <w:r>
        <w:rPr>
          <w:rFonts w:hint="eastAsia" w:ascii="Times New Roman" w:hAnsi="Times New Roman" w:eastAsia="宋体" w:cs="Times New Roman"/>
          <w:color w:val="auto"/>
          <w:sz w:val="24"/>
          <w:szCs w:val="22"/>
          <w:highlight w:val="none"/>
          <w:lang w:val="en-US" w:eastAsia="zh-CN"/>
        </w:rPr>
        <w:t>声级按照《环境影响评价技术导则 民用机场建设工程》（HJ87-2023）附录C中规定：“有效标准发布前，L</w:t>
      </w:r>
      <w:r>
        <w:rPr>
          <w:rFonts w:hint="eastAsia" w:ascii="Times New Roman" w:hAnsi="Times New Roman" w:eastAsia="宋体" w:cs="Times New Roman"/>
          <w:color w:val="auto"/>
          <w:sz w:val="24"/>
          <w:szCs w:val="22"/>
          <w:highlight w:val="none"/>
          <w:vertAlign w:val="subscript"/>
          <w:lang w:val="en-US" w:eastAsia="zh-CN"/>
        </w:rPr>
        <w:t>Amax</w:t>
      </w:r>
      <w:r>
        <w:rPr>
          <w:rFonts w:hint="eastAsia" w:ascii="Times New Roman" w:hAnsi="Times New Roman" w:eastAsia="宋体" w:cs="Times New Roman"/>
          <w:color w:val="auto"/>
          <w:sz w:val="24"/>
          <w:szCs w:val="22"/>
          <w:highlight w:val="none"/>
          <w:lang w:val="en-US" w:eastAsia="zh-CN"/>
        </w:rPr>
        <w:t>控制要求可按89dB</w:t>
      </w:r>
      <w:r>
        <w:rPr>
          <w:rFonts w:hint="eastAsia" w:cs="Times New Roman"/>
          <w:color w:val="auto"/>
          <w:sz w:val="24"/>
          <w:szCs w:val="22"/>
          <w:highlight w:val="none"/>
          <w:lang w:val="en-US" w:eastAsia="zh-CN"/>
        </w:rPr>
        <w:t>（</w:t>
      </w:r>
      <w:r>
        <w:rPr>
          <w:rFonts w:hint="eastAsia" w:ascii="Times New Roman" w:hAnsi="Times New Roman" w:eastAsia="宋体" w:cs="Times New Roman"/>
          <w:color w:val="auto"/>
          <w:sz w:val="24"/>
          <w:szCs w:val="22"/>
          <w:highlight w:val="none"/>
          <w:lang w:val="en-US" w:eastAsia="zh-CN"/>
        </w:rPr>
        <w:t>A</w:t>
      </w:r>
      <w:r>
        <w:rPr>
          <w:rFonts w:hint="eastAsia" w:cs="Times New Roman"/>
          <w:color w:val="auto"/>
          <w:sz w:val="24"/>
          <w:szCs w:val="22"/>
          <w:highlight w:val="none"/>
          <w:lang w:val="en-US" w:eastAsia="zh-CN"/>
        </w:rPr>
        <w:t>）</w:t>
      </w:r>
      <w:r>
        <w:rPr>
          <w:rFonts w:hint="eastAsia" w:ascii="Times New Roman" w:hAnsi="Times New Roman" w:eastAsia="宋体" w:cs="Times New Roman"/>
          <w:color w:val="auto"/>
          <w:sz w:val="24"/>
          <w:szCs w:val="22"/>
          <w:highlight w:val="none"/>
          <w:lang w:val="en-US" w:eastAsia="zh-CN"/>
        </w:rPr>
        <w:t>执行”。即本项目敏感点航空器最大A声级执行限值为L</w:t>
      </w:r>
      <w:r>
        <w:rPr>
          <w:rFonts w:hint="eastAsia" w:ascii="Times New Roman" w:hAnsi="Times New Roman" w:eastAsia="宋体" w:cs="Times New Roman"/>
          <w:color w:val="auto"/>
          <w:sz w:val="24"/>
          <w:szCs w:val="22"/>
          <w:highlight w:val="none"/>
          <w:vertAlign w:val="subscript"/>
          <w:lang w:val="en-US" w:eastAsia="zh-CN"/>
        </w:rPr>
        <w:t>Amax</w:t>
      </w:r>
      <w:r>
        <w:rPr>
          <w:rFonts w:hint="eastAsia" w:ascii="Times New Roman" w:hAnsi="Times New Roman" w:eastAsia="宋体" w:cs="Times New Roman"/>
          <w:color w:val="auto"/>
          <w:sz w:val="24"/>
          <w:szCs w:val="22"/>
          <w:highlight w:val="none"/>
          <w:lang w:val="en-US" w:eastAsia="zh-CN"/>
        </w:rPr>
        <w:t>≤89dB（A）</w:t>
      </w:r>
      <w:r>
        <w:rPr>
          <w:rFonts w:ascii="Times New Roman" w:hAnsi="Times New Roman" w:eastAsia="宋体" w:cs="Times New Roman"/>
          <w:color w:val="auto"/>
          <w:szCs w:val="24"/>
          <w:highlight w:val="none"/>
        </w:rPr>
        <w:t>。</w:t>
      </w:r>
    </w:p>
    <w:p w14:paraId="3DBA7E1A">
      <w:pPr>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5"/>
        <w:rPr>
          <w:rFonts w:ascii="Times New Roman" w:hAnsi="Times New Roman" w:eastAsia="宋体" w:cs="Times New Roman"/>
          <w:color w:val="auto"/>
          <w:szCs w:val="21"/>
          <w:highlight w:val="none"/>
        </w:rPr>
      </w:pPr>
      <w:r>
        <w:rPr>
          <w:rFonts w:hint="eastAsia" w:ascii="宋体" w:hAnsi="宋体" w:cs="宋体"/>
          <w:b/>
          <w:bCs/>
          <w:color w:val="auto"/>
          <w:szCs w:val="21"/>
          <w:highlight w:val="none"/>
          <w:lang w:val="en-US" w:eastAsia="zh-CN"/>
        </w:rPr>
        <w:t>2）</w:t>
      </w:r>
      <w:r>
        <w:rPr>
          <w:rFonts w:ascii="Times New Roman" w:hAnsi="Times New Roman" w:eastAsia="宋体" w:cs="Times New Roman"/>
          <w:b/>
          <w:bCs/>
          <w:color w:val="auto"/>
          <w:szCs w:val="21"/>
          <w:highlight w:val="none"/>
        </w:rPr>
        <w:t>废气</w:t>
      </w:r>
    </w:p>
    <w:p w14:paraId="6F19BD57">
      <w:pPr>
        <w:keepNext w:val="0"/>
        <w:keepLines w:val="0"/>
        <w:pageBreakBefore w:val="0"/>
        <w:widowControl w:val="0"/>
        <w:kinsoku/>
        <w:wordWrap/>
        <w:overflowPunct/>
        <w:topLinePunct w:val="0"/>
        <w:autoSpaceDE/>
        <w:autoSpaceDN/>
        <w:bidi w:val="0"/>
        <w:adjustRightInd/>
        <w:snapToGrid/>
        <w:ind w:firstLine="482" w:firstLineChars="200"/>
        <w:textAlignment w:val="auto"/>
        <w:outlineLvl w:val="6"/>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b/>
          <w:bCs/>
          <w:color w:val="auto"/>
          <w:highlight w:val="none"/>
          <w:lang w:val="en-US" w:eastAsia="zh-CN"/>
        </w:rPr>
        <w:t>①油车棚</w:t>
      </w:r>
    </w:p>
    <w:p w14:paraId="1E2887C3">
      <w:pPr>
        <w:ind w:firstLine="480" w:firstLineChars="200"/>
        <w:rPr>
          <w:rFonts w:ascii="Times New Roman" w:hAnsi="Times New Roman" w:eastAsia="Times New Roman" w:cs="Times New Roman"/>
          <w:color w:val="auto"/>
          <w:highlight w:val="none"/>
        </w:rPr>
      </w:pPr>
      <w:r>
        <w:rPr>
          <w:rFonts w:hint="eastAsia" w:cs="Times New Roman"/>
          <w:color w:val="auto"/>
          <w:highlight w:val="none"/>
          <w:lang w:val="en-US" w:eastAsia="zh-CN"/>
        </w:rPr>
        <w:t>本期机场内航站楼北侧新建1处油车棚，内设</w:t>
      </w:r>
      <w:r>
        <w:rPr>
          <w:rFonts w:hint="eastAsia" w:ascii="Times New Roman" w:hAnsi="Times New Roman" w:eastAsia="宋体" w:cs="Times New Roman"/>
          <w:color w:val="auto"/>
          <w:highlight w:val="none"/>
        </w:rPr>
        <w:t>2辆罐式加油车</w:t>
      </w:r>
      <w:r>
        <w:rPr>
          <w:rFonts w:hint="eastAsia" w:ascii="Times New Roman" w:hAnsi="Times New Roman" w:eastAsia="宋体" w:cs="Times New Roman"/>
          <w:color w:val="auto"/>
          <w:highlight w:val="none"/>
          <w:lang w:val="en-US" w:eastAsia="zh-CN"/>
        </w:rPr>
        <w:t>为机场进行油料保障及储存使用</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油车棚</w:t>
      </w:r>
      <w:r>
        <w:rPr>
          <w:rFonts w:hint="eastAsia" w:cs="Times New Roman"/>
          <w:color w:val="auto"/>
          <w:highlight w:val="none"/>
          <w:lang w:val="en-US" w:eastAsia="zh-CN"/>
        </w:rPr>
        <w:t>所在区域</w:t>
      </w:r>
      <w:r>
        <w:rPr>
          <w:rFonts w:hint="eastAsia" w:ascii="Times New Roman" w:hAnsi="Times New Roman" w:eastAsia="宋体" w:cs="Times New Roman"/>
          <w:color w:val="auto"/>
          <w:highlight w:val="none"/>
        </w:rPr>
        <w:t>N</w:t>
      </w:r>
      <w:r>
        <w:rPr>
          <w:rFonts w:ascii="Times New Roman" w:hAnsi="Times New Roman" w:eastAsia="宋体" w:cs="Times New Roman"/>
          <w:color w:val="auto"/>
          <w:highlight w:val="none"/>
        </w:rPr>
        <w:t>MHC</w:t>
      </w:r>
      <w:r>
        <w:rPr>
          <w:rFonts w:hint="eastAsia" w:cs="Times New Roman"/>
          <w:color w:val="auto"/>
          <w:highlight w:val="none"/>
          <w:lang w:val="en-US" w:eastAsia="zh-CN"/>
        </w:rPr>
        <w:t>参照</w:t>
      </w:r>
      <w:r>
        <w:rPr>
          <w:rFonts w:hint="eastAsia" w:ascii="Times New Roman" w:hAnsi="Times New Roman" w:eastAsia="宋体" w:cs="Times New Roman"/>
          <w:color w:val="auto"/>
          <w:highlight w:val="none"/>
        </w:rPr>
        <w:t>执行《大气污染物综合排放标准》</w:t>
      </w:r>
      <w:r>
        <w:rPr>
          <w:rFonts w:hint="eastAsia" w:cs="Times New Roman"/>
          <w:color w:val="auto"/>
          <w:highlight w:val="none"/>
          <w:lang w:eastAsia="zh-CN"/>
        </w:rPr>
        <w:t>（</w:t>
      </w:r>
      <w:r>
        <w:rPr>
          <w:rFonts w:hint="eastAsia" w:ascii="Times New Roman" w:hAnsi="Times New Roman" w:eastAsia="宋体" w:cs="Times New Roman"/>
          <w:color w:val="auto"/>
          <w:highlight w:val="none"/>
        </w:rPr>
        <w:t>GB 16297-1996</w:t>
      </w:r>
      <w:r>
        <w:rPr>
          <w:rFonts w:hint="eastAsia" w:cs="Times New Roman"/>
          <w:color w:val="auto"/>
          <w:highlight w:val="none"/>
          <w:lang w:eastAsia="zh-CN"/>
        </w:rPr>
        <w:t>）</w:t>
      </w:r>
      <w:r>
        <w:rPr>
          <w:rFonts w:hint="eastAsia" w:cs="Times New Roman"/>
          <w:color w:val="auto"/>
          <w:highlight w:val="none"/>
          <w:lang w:val="en-US" w:eastAsia="zh-CN"/>
        </w:rPr>
        <w:t>中“表2新污染源大气污染物排放限值”对应标准值</w:t>
      </w:r>
      <w:r>
        <w:rPr>
          <w:rFonts w:ascii="Times New Roman" w:hAnsi="Times New Roman" w:eastAsia="宋体" w:cs="Times New Roman"/>
          <w:color w:val="auto"/>
          <w:highlight w:val="none"/>
        </w:rPr>
        <w:t>。</w:t>
      </w:r>
    </w:p>
    <w:p w14:paraId="683C85A2">
      <w:pPr>
        <w:kinsoku w:val="0"/>
        <w:overflowPunct w:val="0"/>
        <w:autoSpaceDE w:val="0"/>
        <w:autoSpaceDN w:val="0"/>
        <w:spacing w:line="240" w:lineRule="auto"/>
        <w:ind w:firstLine="0"/>
        <w:jc w:val="center"/>
        <w:rPr>
          <w:rFonts w:ascii="Times New Roman" w:hAnsi="Times New Roman" w:eastAsia="黑体" w:cs="Times New Roman"/>
          <w:color w:val="auto"/>
          <w:kern w:val="0"/>
          <w:sz w:val="21"/>
          <w:szCs w:val="20"/>
          <w:highlight w:val="none"/>
        </w:rPr>
      </w:pPr>
      <w:r>
        <w:rPr>
          <w:rFonts w:ascii="Times New Roman" w:hAnsi="Times New Roman" w:eastAsia="黑体" w:cs="Times New Roman"/>
          <w:color w:val="auto"/>
          <w:kern w:val="0"/>
          <w:sz w:val="21"/>
          <w:szCs w:val="20"/>
          <w:highlight w:val="none"/>
        </w:rPr>
        <w:t>表</w:t>
      </w:r>
      <w:r>
        <w:rPr>
          <w:rFonts w:hint="eastAsia" w:ascii="Times New Roman" w:hAnsi="Times New Roman" w:eastAsia="黑体" w:cs="Times New Roman"/>
          <w:color w:val="auto"/>
          <w:kern w:val="0"/>
          <w:sz w:val="21"/>
          <w:szCs w:val="20"/>
          <w:highlight w:val="none"/>
        </w:rPr>
        <w:t>2.4-</w:t>
      </w:r>
      <w:r>
        <w:rPr>
          <w:rFonts w:hint="eastAsia" w:ascii="Times New Roman" w:hAnsi="Times New Roman" w:eastAsia="黑体" w:cs="Times New Roman"/>
          <w:color w:val="auto"/>
          <w:kern w:val="0"/>
          <w:sz w:val="21"/>
          <w:szCs w:val="20"/>
          <w:highlight w:val="none"/>
          <w:lang w:val="en-US" w:eastAsia="zh-CN"/>
        </w:rPr>
        <w:t xml:space="preserve">9 </w:t>
      </w:r>
      <w:r>
        <w:rPr>
          <w:rFonts w:ascii="Times New Roman" w:hAnsi="Times New Roman" w:eastAsia="黑体" w:cs="Times New Roman"/>
          <w:color w:val="auto"/>
          <w:kern w:val="0"/>
          <w:sz w:val="21"/>
          <w:szCs w:val="20"/>
          <w:highlight w:val="none"/>
        </w:rPr>
        <w:t xml:space="preserve"> NMHC无组织排放限值</w:t>
      </w:r>
    </w:p>
    <w:tbl>
      <w:tblPr>
        <w:tblStyle w:val="5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2099"/>
        <w:gridCol w:w="2497"/>
        <w:gridCol w:w="1304"/>
        <w:gridCol w:w="1626"/>
      </w:tblGrid>
      <w:tr w14:paraId="1BA6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38" w:type="pct"/>
            <w:vAlign w:val="center"/>
          </w:tcPr>
          <w:p w14:paraId="52D4AC82">
            <w:pPr>
              <w:keepNext w:val="0"/>
              <w:keepLines w:val="0"/>
              <w:suppressLineNumbers w:val="0"/>
              <w:spacing w:before="0" w:beforeAutospacing="0" w:after="0" w:afterAutospacing="0" w:line="240" w:lineRule="auto"/>
              <w:ind w:left="0" w:right="0" w:firstLine="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highlight w:val="none"/>
              </w:rPr>
              <w:t>污染物项目</w:t>
            </w:r>
          </w:p>
        </w:tc>
        <w:tc>
          <w:tcPr>
            <w:tcW w:w="1188" w:type="pct"/>
            <w:vAlign w:val="center"/>
          </w:tcPr>
          <w:p w14:paraId="352790F1">
            <w:pPr>
              <w:keepNext w:val="0"/>
              <w:keepLines w:val="0"/>
              <w:suppressLineNumbers w:val="0"/>
              <w:spacing w:before="0" w:beforeAutospacing="0" w:after="0" w:afterAutospacing="0" w:line="240" w:lineRule="auto"/>
              <w:ind w:left="0" w:right="0" w:firstLine="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highlight w:val="none"/>
              </w:rPr>
              <w:t>排放限值（</w:t>
            </w:r>
            <w:r>
              <w:rPr>
                <w:rFonts w:hint="default" w:ascii="Times New Roman" w:hAnsi="Times New Roman" w:eastAsia="Times New Roman" w:cs="Times New Roman"/>
                <w:color w:val="auto"/>
                <w:sz w:val="21"/>
                <w:highlight w:val="none"/>
              </w:rPr>
              <w:t>mg/m</w:t>
            </w:r>
            <w:r>
              <w:rPr>
                <w:rFonts w:hint="default" w:ascii="Times New Roman" w:hAnsi="Times New Roman" w:eastAsia="Times New Roman" w:cs="Times New Roman"/>
                <w:color w:val="auto"/>
                <w:sz w:val="21"/>
                <w:highlight w:val="none"/>
                <w:vertAlign w:val="superscript"/>
              </w:rPr>
              <w:t>3</w:t>
            </w:r>
            <w:r>
              <w:rPr>
                <w:rFonts w:hint="default" w:ascii="Times New Roman" w:hAnsi="Times New Roman" w:eastAsia="宋体" w:cs="Times New Roman"/>
                <w:color w:val="auto"/>
                <w:sz w:val="21"/>
                <w:highlight w:val="none"/>
              </w:rPr>
              <w:t>）</w:t>
            </w:r>
          </w:p>
        </w:tc>
        <w:tc>
          <w:tcPr>
            <w:tcW w:w="1413" w:type="pct"/>
            <w:vAlign w:val="center"/>
          </w:tcPr>
          <w:p w14:paraId="26925E02">
            <w:pPr>
              <w:keepNext w:val="0"/>
              <w:keepLines w:val="0"/>
              <w:suppressLineNumbers w:val="0"/>
              <w:spacing w:before="0" w:beforeAutospacing="0" w:after="0" w:afterAutospacing="0" w:line="240" w:lineRule="auto"/>
              <w:ind w:left="0" w:right="0" w:firstLine="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highlight w:val="none"/>
              </w:rPr>
              <w:t>限值含义</w:t>
            </w:r>
          </w:p>
        </w:tc>
        <w:tc>
          <w:tcPr>
            <w:tcW w:w="738" w:type="pct"/>
            <w:vAlign w:val="center"/>
          </w:tcPr>
          <w:p w14:paraId="0361C387">
            <w:pPr>
              <w:keepNext w:val="0"/>
              <w:keepLines w:val="0"/>
              <w:suppressLineNumbers w:val="0"/>
              <w:spacing w:before="0" w:beforeAutospacing="0" w:after="0" w:afterAutospacing="0" w:line="240" w:lineRule="auto"/>
              <w:ind w:left="0" w:right="0" w:firstLine="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highlight w:val="none"/>
              </w:rPr>
              <w:t>监控</w:t>
            </w:r>
            <w:r>
              <w:rPr>
                <w:rFonts w:hint="eastAsia" w:cs="Times New Roman"/>
                <w:color w:val="auto"/>
                <w:sz w:val="21"/>
                <w:highlight w:val="none"/>
                <w:lang w:val="en-US" w:eastAsia="zh-CN"/>
              </w:rPr>
              <w:t>点</w:t>
            </w:r>
          </w:p>
        </w:tc>
        <w:tc>
          <w:tcPr>
            <w:tcW w:w="920" w:type="pct"/>
            <w:vAlign w:val="center"/>
          </w:tcPr>
          <w:p w14:paraId="677E1CA8">
            <w:pPr>
              <w:keepNext w:val="0"/>
              <w:keepLines w:val="0"/>
              <w:suppressLineNumbers w:val="0"/>
              <w:spacing w:before="0" w:beforeAutospacing="0" w:after="0" w:afterAutospacing="0" w:line="240" w:lineRule="auto"/>
              <w:ind w:left="0" w:right="0" w:firstLine="0"/>
              <w:jc w:val="center"/>
              <w:rPr>
                <w:rFonts w:hint="default" w:ascii="Times New Roman" w:hAnsi="Times New Roman" w:eastAsia="宋体"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备注</w:t>
            </w:r>
          </w:p>
        </w:tc>
      </w:tr>
      <w:tr w14:paraId="7C2A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pct"/>
            <w:vAlign w:val="center"/>
          </w:tcPr>
          <w:p w14:paraId="7A5F7C5A">
            <w:pPr>
              <w:keepNext w:val="0"/>
              <w:keepLines w:val="0"/>
              <w:suppressLineNumbers w:val="0"/>
              <w:spacing w:before="0" w:beforeAutospacing="0" w:after="0" w:afterAutospacing="0" w:line="240" w:lineRule="auto"/>
              <w:ind w:left="0" w:right="0" w:firstLine="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highlight w:val="none"/>
              </w:rPr>
              <w:t>NMHC</w:t>
            </w:r>
          </w:p>
        </w:tc>
        <w:tc>
          <w:tcPr>
            <w:tcW w:w="1188" w:type="pct"/>
            <w:vAlign w:val="center"/>
          </w:tcPr>
          <w:p w14:paraId="4BBC3D42">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highlight w:val="none"/>
              </w:rPr>
            </w:pPr>
            <w:r>
              <w:rPr>
                <w:rFonts w:hint="default" w:ascii="Times New Roman" w:hAnsi="Times New Roman" w:eastAsia="Times New Roman" w:cs="Times New Roman"/>
                <w:color w:val="auto"/>
                <w:sz w:val="21"/>
                <w:highlight w:val="none"/>
              </w:rPr>
              <w:t>4.0</w:t>
            </w:r>
          </w:p>
        </w:tc>
        <w:tc>
          <w:tcPr>
            <w:tcW w:w="1413" w:type="pct"/>
            <w:vAlign w:val="center"/>
          </w:tcPr>
          <w:p w14:paraId="2DD2B5D0">
            <w:pPr>
              <w:keepNext w:val="0"/>
              <w:keepLines w:val="0"/>
              <w:suppressLineNumbers w:val="0"/>
              <w:spacing w:before="0" w:beforeAutospacing="0" w:after="0" w:afterAutospacing="0" w:line="240" w:lineRule="auto"/>
              <w:ind w:left="0" w:right="0" w:firstLine="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highlight w:val="none"/>
              </w:rPr>
              <w:t>监控点处1</w:t>
            </w:r>
            <w:r>
              <w:rPr>
                <w:rFonts w:hint="eastAsia" w:ascii="Times New Roman" w:hAnsi="Times New Roman" w:cs="Times New Roman"/>
                <w:color w:val="auto"/>
                <w:sz w:val="21"/>
                <w:highlight w:val="none"/>
                <w:lang w:val="en-US" w:eastAsia="zh-CN"/>
              </w:rPr>
              <w:t>h</w:t>
            </w:r>
            <w:r>
              <w:rPr>
                <w:rFonts w:hint="default" w:ascii="Times New Roman" w:hAnsi="Times New Roman" w:eastAsia="宋体" w:cs="Times New Roman"/>
                <w:color w:val="auto"/>
                <w:sz w:val="21"/>
                <w:highlight w:val="none"/>
              </w:rPr>
              <w:t>平均浓度值</w:t>
            </w:r>
          </w:p>
        </w:tc>
        <w:tc>
          <w:tcPr>
            <w:tcW w:w="738" w:type="pct"/>
            <w:vAlign w:val="center"/>
          </w:tcPr>
          <w:p w14:paraId="02E9779F">
            <w:pPr>
              <w:keepNext w:val="0"/>
              <w:keepLines w:val="0"/>
              <w:suppressLineNumbers w:val="0"/>
              <w:spacing w:before="0" w:beforeAutospacing="0" w:after="0" w:afterAutospacing="0" w:line="240" w:lineRule="auto"/>
              <w:ind w:left="0" w:right="0" w:firstLine="0"/>
              <w:jc w:val="center"/>
              <w:rPr>
                <w:rFonts w:hint="eastAsia" w:cs="Times New Roman" w:eastAsiaTheme="minorEastAsia"/>
                <w:color w:val="auto"/>
                <w:sz w:val="21"/>
                <w:highlight w:val="none"/>
                <w:lang w:val="en-US" w:eastAsia="zh-CN"/>
              </w:rPr>
            </w:pPr>
            <w:r>
              <w:rPr>
                <w:rFonts w:hint="eastAsia" w:cs="Times New Roman" w:eastAsiaTheme="minorEastAsia"/>
                <w:color w:val="auto"/>
                <w:sz w:val="21"/>
                <w:highlight w:val="none"/>
                <w:lang w:val="en-US" w:eastAsia="zh-CN"/>
              </w:rPr>
              <w:t>周围外浓度</w:t>
            </w:r>
          </w:p>
          <w:p w14:paraId="02B38AC9">
            <w:pPr>
              <w:keepNext w:val="0"/>
              <w:keepLines w:val="0"/>
              <w:suppressLineNumbers w:val="0"/>
              <w:spacing w:before="0" w:beforeAutospacing="0" w:after="0" w:afterAutospacing="0" w:line="240" w:lineRule="auto"/>
              <w:ind w:left="0" w:right="0" w:firstLine="0"/>
              <w:jc w:val="center"/>
              <w:rPr>
                <w:rFonts w:hint="default" w:ascii="Times New Roman" w:hAnsi="Times New Roman" w:eastAsia="宋体" w:cs="Times New Roman"/>
                <w:color w:val="auto"/>
                <w:highlight w:val="none"/>
                <w:lang w:val="en-US" w:eastAsia="zh-CN"/>
              </w:rPr>
            </w:pPr>
            <w:r>
              <w:rPr>
                <w:rFonts w:hint="eastAsia" w:cs="Times New Roman" w:eastAsiaTheme="minorEastAsia"/>
                <w:color w:val="auto"/>
                <w:sz w:val="21"/>
                <w:highlight w:val="none"/>
                <w:lang w:val="en-US" w:eastAsia="zh-CN"/>
              </w:rPr>
              <w:t>最高点</w:t>
            </w:r>
          </w:p>
        </w:tc>
        <w:tc>
          <w:tcPr>
            <w:tcW w:w="920" w:type="pct"/>
            <w:vAlign w:val="center"/>
          </w:tcPr>
          <w:p w14:paraId="0AEDC5E2">
            <w:pPr>
              <w:keepNext w:val="0"/>
              <w:keepLines w:val="0"/>
              <w:suppressLineNumbers w:val="0"/>
              <w:spacing w:before="0" w:beforeAutospacing="0" w:after="0" w:afterAutospacing="0" w:line="240" w:lineRule="auto"/>
              <w:ind w:left="0" w:right="0" w:firstLine="0"/>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GB 16297-1996</w:t>
            </w:r>
          </w:p>
        </w:tc>
      </w:tr>
    </w:tbl>
    <w:p w14:paraId="7B074181">
      <w:pPr>
        <w:keepNext w:val="0"/>
        <w:keepLines w:val="0"/>
        <w:pageBreakBefore w:val="0"/>
        <w:widowControl w:val="0"/>
        <w:kinsoku/>
        <w:wordWrap/>
        <w:overflowPunct/>
        <w:topLinePunct w:val="0"/>
        <w:autoSpaceDE/>
        <w:autoSpaceDN/>
        <w:bidi w:val="0"/>
        <w:adjustRightInd/>
        <w:snapToGrid/>
        <w:ind w:firstLine="482" w:firstLineChars="200"/>
        <w:textAlignment w:val="auto"/>
        <w:outlineLvl w:val="6"/>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②污水处理站</w:t>
      </w:r>
    </w:p>
    <w:p w14:paraId="05421893">
      <w:pPr>
        <w:ind w:firstLine="480" w:firstLineChars="200"/>
        <w:rPr>
          <w:rFonts w:ascii="Times New Roman" w:hAnsi="Times New Roman" w:eastAsia="宋体" w:cs="Times New Roman"/>
          <w:color w:val="auto"/>
          <w:highlight w:val="none"/>
        </w:rPr>
      </w:pPr>
      <w:r>
        <w:rPr>
          <w:rFonts w:hint="eastAsia" w:cs="Times New Roman"/>
          <w:color w:val="auto"/>
          <w:highlight w:val="none"/>
          <w:lang w:val="en-US" w:eastAsia="zh-CN"/>
        </w:rPr>
        <w:t>本期新建1处污水处理站，内设1套处理能力为5m</w:t>
      </w:r>
      <w:r>
        <w:rPr>
          <w:rFonts w:hint="eastAsia" w:cs="Times New Roman"/>
          <w:color w:val="auto"/>
          <w:highlight w:val="none"/>
          <w:vertAlign w:val="superscript"/>
          <w:lang w:val="en-US" w:eastAsia="zh-CN"/>
        </w:rPr>
        <w:t>3</w:t>
      </w:r>
      <w:r>
        <w:rPr>
          <w:rFonts w:hint="eastAsia" w:cs="Times New Roman"/>
          <w:color w:val="auto"/>
          <w:highlight w:val="none"/>
          <w:lang w:val="en-US" w:eastAsia="zh-CN"/>
        </w:rPr>
        <w:t>/h的地埋式一体化MBR污水处理设施、1座2000m</w:t>
      </w:r>
      <w:r>
        <w:rPr>
          <w:rFonts w:hint="eastAsia" w:cs="Times New Roman"/>
          <w:color w:val="auto"/>
          <w:highlight w:val="none"/>
          <w:vertAlign w:val="superscript"/>
          <w:lang w:val="en-US" w:eastAsia="zh-CN"/>
        </w:rPr>
        <w:t>3</w:t>
      </w:r>
      <w:r>
        <w:rPr>
          <w:rFonts w:hint="eastAsia" w:cs="Times New Roman"/>
          <w:color w:val="auto"/>
          <w:highlight w:val="none"/>
          <w:lang w:val="en-US" w:eastAsia="zh-CN"/>
        </w:rPr>
        <w:t>埋地式中水池等。</w:t>
      </w:r>
      <w:r>
        <w:rPr>
          <w:rFonts w:ascii="Times New Roman" w:hAnsi="Times New Roman" w:eastAsia="宋体" w:cs="Times New Roman"/>
          <w:color w:val="auto"/>
          <w:highlight w:val="none"/>
        </w:rPr>
        <w:t>污水处理站恶臭污染物中</w:t>
      </w:r>
      <w:r>
        <w:rPr>
          <w:rFonts w:ascii="Times New Roman" w:hAnsi="Times New Roman" w:eastAsia="Times New Roman" w:cs="Times New Roman"/>
          <w:color w:val="auto"/>
          <w:highlight w:val="none"/>
        </w:rPr>
        <w:t>H</w:t>
      </w:r>
      <w:r>
        <w:rPr>
          <w:rFonts w:ascii="Times New Roman" w:hAnsi="Times New Roman" w:eastAsia="Times New Roman" w:cs="Times New Roman"/>
          <w:color w:val="auto"/>
          <w:highlight w:val="none"/>
          <w:vertAlign w:val="subscript"/>
        </w:rPr>
        <w:t>2</w:t>
      </w:r>
      <w:r>
        <w:rPr>
          <w:rFonts w:ascii="Times New Roman" w:hAnsi="Times New Roman" w:eastAsia="Times New Roman" w:cs="Times New Roman"/>
          <w:color w:val="auto"/>
          <w:highlight w:val="none"/>
        </w:rPr>
        <w:t>S</w:t>
      </w:r>
      <w:r>
        <w:rPr>
          <w:rFonts w:hint="eastAsia" w:cs="Times New Roman"/>
          <w:color w:val="auto"/>
          <w:highlight w:val="none"/>
          <w:lang w:eastAsia="zh-CN"/>
        </w:rPr>
        <w:t>、</w:t>
      </w:r>
      <w:r>
        <w:rPr>
          <w:rFonts w:ascii="Times New Roman" w:hAnsi="Times New Roman" w:eastAsia="Times New Roman" w:cs="Times New Roman"/>
          <w:color w:val="auto"/>
          <w:highlight w:val="none"/>
        </w:rPr>
        <w:t>NH</w:t>
      </w:r>
      <w:r>
        <w:rPr>
          <w:rFonts w:ascii="Times New Roman" w:hAnsi="Times New Roman" w:eastAsia="Times New Roman" w:cs="Times New Roman"/>
          <w:color w:val="auto"/>
          <w:highlight w:val="none"/>
          <w:vertAlign w:val="subscript"/>
        </w:rPr>
        <w:t>3</w:t>
      </w:r>
      <w:r>
        <w:rPr>
          <w:rFonts w:hint="eastAsia" w:eastAsia="宋体" w:cs="Times New Roman"/>
          <w:color w:val="auto"/>
          <w:highlight w:val="none"/>
          <w:vertAlign w:val="baseline"/>
          <w:lang w:eastAsia="zh-CN"/>
        </w:rPr>
        <w:t>、</w:t>
      </w:r>
      <w:r>
        <w:rPr>
          <w:rFonts w:hint="eastAsia" w:eastAsia="宋体" w:cs="Times New Roman"/>
          <w:color w:val="auto"/>
          <w:highlight w:val="none"/>
          <w:vertAlign w:val="baseline"/>
          <w:lang w:val="en-US" w:eastAsia="zh-CN"/>
        </w:rPr>
        <w:t>臭气浓度</w:t>
      </w:r>
      <w:r>
        <w:rPr>
          <w:rFonts w:ascii="Times New Roman" w:hAnsi="Times New Roman" w:eastAsia="宋体" w:cs="Times New Roman"/>
          <w:color w:val="auto"/>
          <w:highlight w:val="none"/>
        </w:rPr>
        <w:t>执行《恶臭污染物排放标准》（</w:t>
      </w:r>
      <w:r>
        <w:rPr>
          <w:rFonts w:ascii="Times New Roman" w:hAnsi="Times New Roman" w:eastAsia="Times New Roman" w:cs="Times New Roman"/>
          <w:color w:val="auto"/>
          <w:highlight w:val="none"/>
        </w:rPr>
        <w:t>GB14554-93</w:t>
      </w:r>
      <w:r>
        <w:rPr>
          <w:rFonts w:ascii="Times New Roman" w:hAnsi="Times New Roman" w:eastAsia="宋体" w:cs="Times New Roman"/>
          <w:color w:val="auto"/>
          <w:highlight w:val="none"/>
        </w:rPr>
        <w:t>）中</w:t>
      </w:r>
      <w:r>
        <w:rPr>
          <w:rFonts w:hint="eastAsia" w:cs="Times New Roman"/>
          <w:color w:val="auto"/>
          <w:highlight w:val="none"/>
          <w:lang w:val="en-US" w:eastAsia="zh-CN"/>
        </w:rPr>
        <w:t>表1</w:t>
      </w:r>
      <w:r>
        <w:rPr>
          <w:rFonts w:ascii="Times New Roman" w:hAnsi="Times New Roman" w:eastAsia="宋体" w:cs="Times New Roman"/>
          <w:color w:val="auto"/>
          <w:highlight w:val="none"/>
        </w:rPr>
        <w:t>厂界标准值二级</w:t>
      </w:r>
      <w:r>
        <w:rPr>
          <w:rFonts w:hint="eastAsia" w:cs="Times New Roman"/>
          <w:color w:val="auto"/>
          <w:highlight w:val="none"/>
          <w:lang w:val="en-US" w:eastAsia="zh-CN"/>
        </w:rPr>
        <w:t>新建</w:t>
      </w:r>
      <w:r>
        <w:rPr>
          <w:rFonts w:ascii="Times New Roman" w:hAnsi="Times New Roman" w:eastAsia="宋体" w:cs="Times New Roman"/>
          <w:color w:val="auto"/>
          <w:highlight w:val="none"/>
        </w:rPr>
        <w:t>标准。</w:t>
      </w:r>
    </w:p>
    <w:p w14:paraId="20B78789">
      <w:pPr>
        <w:kinsoku w:val="0"/>
        <w:overflowPunct w:val="0"/>
        <w:autoSpaceDE w:val="0"/>
        <w:autoSpaceDN w:val="0"/>
        <w:spacing w:line="240" w:lineRule="auto"/>
        <w:ind w:firstLine="0"/>
        <w:jc w:val="center"/>
        <w:rPr>
          <w:rFonts w:ascii="Times New Roman" w:hAnsi="Times New Roman" w:eastAsia="黑体" w:cs="Times New Roman"/>
          <w:color w:val="auto"/>
          <w:kern w:val="0"/>
          <w:sz w:val="21"/>
          <w:szCs w:val="20"/>
          <w:highlight w:val="none"/>
        </w:rPr>
      </w:pPr>
      <w:r>
        <w:rPr>
          <w:rFonts w:ascii="Times New Roman" w:hAnsi="Times New Roman" w:eastAsia="黑体" w:cs="Times New Roman"/>
          <w:color w:val="auto"/>
          <w:kern w:val="0"/>
          <w:sz w:val="21"/>
          <w:szCs w:val="20"/>
          <w:highlight w:val="none"/>
        </w:rPr>
        <w:t>表</w:t>
      </w:r>
      <w:r>
        <w:rPr>
          <w:rFonts w:hint="eastAsia" w:ascii="Times New Roman" w:hAnsi="Times New Roman" w:eastAsia="黑体" w:cs="Times New Roman"/>
          <w:color w:val="auto"/>
          <w:kern w:val="0"/>
          <w:sz w:val="21"/>
          <w:szCs w:val="20"/>
          <w:highlight w:val="none"/>
        </w:rPr>
        <w:t>2.4-</w:t>
      </w:r>
      <w:r>
        <w:rPr>
          <w:rFonts w:hint="eastAsia" w:ascii="Times New Roman" w:hAnsi="Times New Roman" w:eastAsia="黑体" w:cs="Times New Roman"/>
          <w:color w:val="auto"/>
          <w:kern w:val="0"/>
          <w:sz w:val="21"/>
          <w:szCs w:val="20"/>
          <w:highlight w:val="none"/>
          <w:lang w:val="en-US" w:eastAsia="zh-CN"/>
        </w:rPr>
        <w:t xml:space="preserve">10 </w:t>
      </w:r>
      <w:r>
        <w:rPr>
          <w:rFonts w:ascii="Times New Roman" w:hAnsi="Times New Roman" w:eastAsia="黑体" w:cs="Times New Roman"/>
          <w:color w:val="auto"/>
          <w:kern w:val="0"/>
          <w:sz w:val="21"/>
          <w:szCs w:val="20"/>
          <w:highlight w:val="none"/>
        </w:rPr>
        <w:t xml:space="preserve"> </w:t>
      </w:r>
      <w:r>
        <w:rPr>
          <w:rFonts w:hint="eastAsia" w:ascii="Times New Roman" w:hAnsi="Times New Roman" w:eastAsia="黑体" w:cs="Times New Roman"/>
          <w:color w:val="auto"/>
          <w:kern w:val="0"/>
          <w:sz w:val="21"/>
          <w:szCs w:val="20"/>
          <w:highlight w:val="none"/>
          <w:lang w:val="en-US" w:eastAsia="zh-CN"/>
        </w:rPr>
        <w:t>污水处理站恶臭污染物厂界标准</w:t>
      </w:r>
      <w:r>
        <w:rPr>
          <w:rFonts w:ascii="Times New Roman" w:hAnsi="Times New Roman" w:eastAsia="黑体" w:cs="Times New Roman"/>
          <w:color w:val="auto"/>
          <w:kern w:val="0"/>
          <w:sz w:val="21"/>
          <w:szCs w:val="20"/>
          <w:highlight w:val="none"/>
        </w:rPr>
        <w:t>值</w:t>
      </w:r>
    </w:p>
    <w:tbl>
      <w:tblPr>
        <w:tblStyle w:val="51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2509"/>
        <w:gridCol w:w="1860"/>
        <w:gridCol w:w="3236"/>
      </w:tblGrid>
      <w:tr w14:paraId="17E6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3" w:type="pct"/>
            <w:vAlign w:val="center"/>
          </w:tcPr>
          <w:p w14:paraId="3331D02D">
            <w:pPr>
              <w:keepNext w:val="0"/>
              <w:keepLines w:val="0"/>
              <w:suppressLineNumbers w:val="0"/>
              <w:spacing w:before="0" w:beforeAutospacing="0" w:after="0" w:afterAutospacing="0" w:line="240" w:lineRule="auto"/>
              <w:ind w:left="0" w:right="0" w:firstLine="0"/>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序号</w:t>
            </w:r>
          </w:p>
        </w:tc>
        <w:tc>
          <w:tcPr>
            <w:tcW w:w="1420" w:type="pct"/>
            <w:vAlign w:val="center"/>
          </w:tcPr>
          <w:p w14:paraId="0D55DBF0">
            <w:pPr>
              <w:keepNext w:val="0"/>
              <w:keepLines w:val="0"/>
              <w:suppressLineNumbers w:val="0"/>
              <w:spacing w:before="0" w:beforeAutospacing="0" w:after="0" w:afterAutospacing="0" w:line="240" w:lineRule="auto"/>
              <w:ind w:left="0" w:right="0" w:firstLine="0"/>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控制项目</w:t>
            </w:r>
          </w:p>
        </w:tc>
        <w:tc>
          <w:tcPr>
            <w:tcW w:w="1053" w:type="pct"/>
            <w:vAlign w:val="center"/>
          </w:tcPr>
          <w:p w14:paraId="11D70CFA">
            <w:pPr>
              <w:keepNext w:val="0"/>
              <w:keepLines w:val="0"/>
              <w:suppressLineNumbers w:val="0"/>
              <w:spacing w:before="0" w:beforeAutospacing="0" w:after="0" w:afterAutospacing="0" w:line="240" w:lineRule="auto"/>
              <w:ind w:left="0" w:right="0" w:firstLine="0"/>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单位</w:t>
            </w:r>
          </w:p>
        </w:tc>
        <w:tc>
          <w:tcPr>
            <w:tcW w:w="1832" w:type="pct"/>
            <w:vAlign w:val="center"/>
          </w:tcPr>
          <w:p w14:paraId="41FBD2AE">
            <w:pPr>
              <w:keepNext w:val="0"/>
              <w:keepLines w:val="0"/>
              <w:suppressLineNumbers w:val="0"/>
              <w:spacing w:before="0" w:beforeAutospacing="0" w:after="0" w:afterAutospacing="0" w:line="240" w:lineRule="auto"/>
              <w:ind w:left="0" w:right="0" w:firstLine="0"/>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标准值（二级/新建）</w:t>
            </w:r>
          </w:p>
        </w:tc>
      </w:tr>
      <w:tr w14:paraId="7847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3" w:type="pct"/>
            <w:vAlign w:val="center"/>
          </w:tcPr>
          <w:p w14:paraId="63AC3007">
            <w:pPr>
              <w:keepNext w:val="0"/>
              <w:keepLines w:val="0"/>
              <w:suppressLineNumbers w:val="0"/>
              <w:spacing w:before="0" w:beforeAutospacing="0" w:after="0" w:afterAutospacing="0" w:line="240" w:lineRule="auto"/>
              <w:ind w:left="0" w:right="0" w:firstLine="0"/>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420" w:type="pct"/>
            <w:vAlign w:val="center"/>
          </w:tcPr>
          <w:p w14:paraId="64252350">
            <w:pPr>
              <w:keepNext w:val="0"/>
              <w:keepLines w:val="0"/>
              <w:suppressLineNumbers w:val="0"/>
              <w:spacing w:before="0" w:beforeAutospacing="0" w:after="0" w:afterAutospacing="0" w:line="240" w:lineRule="auto"/>
              <w:ind w:left="0" w:right="0" w:firstLine="0"/>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氨（</w:t>
            </w:r>
            <w:r>
              <w:rPr>
                <w:rFonts w:hint="default" w:ascii="Times New Roman" w:hAnsi="Times New Roman" w:eastAsia="Times New Roman" w:cs="Times New Roman"/>
                <w:color w:val="auto"/>
                <w:sz w:val="21"/>
                <w:szCs w:val="21"/>
                <w:highlight w:val="none"/>
              </w:rPr>
              <w:t>NH</w:t>
            </w:r>
            <w:r>
              <w:rPr>
                <w:rFonts w:hint="default" w:ascii="Times New Roman" w:hAnsi="Times New Roman" w:eastAsia="Times New Roman" w:cs="Times New Roman"/>
                <w:color w:val="auto"/>
                <w:sz w:val="21"/>
                <w:szCs w:val="21"/>
                <w:highlight w:val="none"/>
                <w:vertAlign w:val="subscript"/>
              </w:rPr>
              <w:t>3</w:t>
            </w:r>
            <w:r>
              <w:rPr>
                <w:rFonts w:hint="eastAsia" w:ascii="Times New Roman" w:hAnsi="Times New Roman" w:eastAsia="宋体" w:cs="Times New Roman"/>
                <w:color w:val="auto"/>
                <w:highlight w:val="none"/>
                <w:lang w:val="en-US" w:eastAsia="zh-CN"/>
              </w:rPr>
              <w:t>）</w:t>
            </w:r>
          </w:p>
        </w:tc>
        <w:tc>
          <w:tcPr>
            <w:tcW w:w="1053" w:type="pct"/>
            <w:vAlign w:val="center"/>
          </w:tcPr>
          <w:p w14:paraId="1BC52A0E">
            <w:pPr>
              <w:keepNext w:val="0"/>
              <w:keepLines w:val="0"/>
              <w:suppressLineNumbers w:val="0"/>
              <w:spacing w:before="0" w:beforeAutospacing="0" w:after="0" w:afterAutospacing="0" w:line="240" w:lineRule="auto"/>
              <w:ind w:left="0" w:right="0" w:firstLine="0"/>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mg/m</w:t>
            </w:r>
            <w:r>
              <w:rPr>
                <w:rFonts w:hint="eastAsia" w:ascii="Times New Roman" w:hAnsi="Times New Roman" w:eastAsia="宋体" w:cs="Times New Roman"/>
                <w:color w:val="auto"/>
                <w:highlight w:val="none"/>
                <w:vertAlign w:val="superscript"/>
                <w:lang w:val="en-US" w:eastAsia="zh-CN"/>
              </w:rPr>
              <w:t>3</w:t>
            </w:r>
          </w:p>
        </w:tc>
        <w:tc>
          <w:tcPr>
            <w:tcW w:w="1832" w:type="pct"/>
            <w:vAlign w:val="center"/>
          </w:tcPr>
          <w:p w14:paraId="2A425050">
            <w:pPr>
              <w:keepNext w:val="0"/>
              <w:keepLines w:val="0"/>
              <w:suppressLineNumbers w:val="0"/>
              <w:spacing w:before="0" w:beforeAutospacing="0" w:after="0" w:afterAutospacing="0" w:line="240" w:lineRule="auto"/>
              <w:ind w:left="0" w:right="0" w:firstLine="0"/>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1.5</w:t>
            </w:r>
          </w:p>
        </w:tc>
      </w:tr>
      <w:tr w14:paraId="36BA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3" w:type="pct"/>
            <w:vAlign w:val="center"/>
          </w:tcPr>
          <w:p w14:paraId="24EE63C6">
            <w:pPr>
              <w:keepNext w:val="0"/>
              <w:keepLines w:val="0"/>
              <w:suppressLineNumbers w:val="0"/>
              <w:spacing w:before="0" w:beforeAutospacing="0" w:after="0" w:afterAutospacing="0" w:line="240" w:lineRule="auto"/>
              <w:ind w:left="0" w:right="0" w:firstLine="0"/>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p>
        </w:tc>
        <w:tc>
          <w:tcPr>
            <w:tcW w:w="1420" w:type="pct"/>
            <w:vAlign w:val="center"/>
          </w:tcPr>
          <w:p w14:paraId="6E017B8F">
            <w:pPr>
              <w:keepNext w:val="0"/>
              <w:keepLines w:val="0"/>
              <w:suppressLineNumbers w:val="0"/>
              <w:spacing w:before="0" w:beforeAutospacing="0" w:after="0" w:afterAutospacing="0" w:line="240" w:lineRule="auto"/>
              <w:ind w:left="0" w:right="0" w:firstLine="0"/>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硫化氢（</w:t>
            </w:r>
            <w:r>
              <w:rPr>
                <w:rFonts w:hint="default" w:ascii="Times New Roman" w:hAnsi="Times New Roman" w:eastAsia="Times New Roman" w:cs="Times New Roman"/>
                <w:color w:val="auto"/>
                <w:sz w:val="21"/>
                <w:szCs w:val="21"/>
                <w:highlight w:val="none"/>
              </w:rPr>
              <w:t>H</w:t>
            </w:r>
            <w:r>
              <w:rPr>
                <w:rFonts w:hint="default" w:ascii="Times New Roman" w:hAnsi="Times New Roman" w:eastAsia="Times New Roman" w:cs="Times New Roman"/>
                <w:color w:val="auto"/>
                <w:sz w:val="21"/>
                <w:szCs w:val="21"/>
                <w:highlight w:val="none"/>
                <w:vertAlign w:val="subscript"/>
              </w:rPr>
              <w:t>2</w:t>
            </w:r>
            <w:r>
              <w:rPr>
                <w:rFonts w:hint="default" w:ascii="Times New Roman" w:hAnsi="Times New Roman" w:eastAsia="Times New Roman" w:cs="Times New Roman"/>
                <w:color w:val="auto"/>
                <w:sz w:val="21"/>
                <w:szCs w:val="21"/>
                <w:highlight w:val="none"/>
              </w:rPr>
              <w:t>S</w:t>
            </w:r>
            <w:r>
              <w:rPr>
                <w:rFonts w:hint="eastAsia" w:ascii="Times New Roman" w:hAnsi="Times New Roman" w:eastAsia="宋体" w:cs="Times New Roman"/>
                <w:color w:val="auto"/>
                <w:highlight w:val="none"/>
                <w:lang w:val="en-US" w:eastAsia="zh-CN"/>
              </w:rPr>
              <w:t>）</w:t>
            </w:r>
          </w:p>
        </w:tc>
        <w:tc>
          <w:tcPr>
            <w:tcW w:w="1053" w:type="pct"/>
            <w:vAlign w:val="center"/>
          </w:tcPr>
          <w:p w14:paraId="1DBDC4F6">
            <w:pPr>
              <w:keepNext w:val="0"/>
              <w:keepLines w:val="0"/>
              <w:suppressLineNumbers w:val="0"/>
              <w:spacing w:before="0" w:beforeAutospacing="0" w:after="0" w:afterAutospacing="0" w:line="240" w:lineRule="auto"/>
              <w:ind w:left="0" w:right="0" w:firstLine="0"/>
              <w:jc w:val="center"/>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mg/m</w:t>
            </w:r>
            <w:r>
              <w:rPr>
                <w:rFonts w:hint="eastAsia" w:ascii="Times New Roman" w:hAnsi="Times New Roman" w:eastAsia="宋体" w:cs="Times New Roman"/>
                <w:color w:val="auto"/>
                <w:highlight w:val="none"/>
                <w:vertAlign w:val="superscript"/>
                <w:lang w:val="en-US" w:eastAsia="zh-CN"/>
              </w:rPr>
              <w:t>3</w:t>
            </w:r>
          </w:p>
        </w:tc>
        <w:tc>
          <w:tcPr>
            <w:tcW w:w="1832" w:type="pct"/>
            <w:vAlign w:val="center"/>
          </w:tcPr>
          <w:p w14:paraId="7BCC0614">
            <w:pPr>
              <w:keepNext w:val="0"/>
              <w:keepLines w:val="0"/>
              <w:suppressLineNumbers w:val="0"/>
              <w:spacing w:before="0" w:beforeAutospacing="0" w:after="0" w:afterAutospacing="0" w:line="240" w:lineRule="auto"/>
              <w:ind w:left="0" w:right="0" w:firstLine="0"/>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0.06</w:t>
            </w:r>
          </w:p>
        </w:tc>
      </w:tr>
      <w:tr w14:paraId="0227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3" w:type="pct"/>
            <w:vAlign w:val="center"/>
          </w:tcPr>
          <w:p w14:paraId="4EB43508">
            <w:pPr>
              <w:keepNext w:val="0"/>
              <w:keepLines w:val="0"/>
              <w:suppressLineNumbers w:val="0"/>
              <w:spacing w:before="0" w:beforeAutospacing="0" w:after="0" w:afterAutospacing="0" w:line="240" w:lineRule="auto"/>
              <w:ind w:left="0" w:right="0" w:firstLine="0"/>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p>
        </w:tc>
        <w:tc>
          <w:tcPr>
            <w:tcW w:w="1420" w:type="pct"/>
            <w:vAlign w:val="center"/>
          </w:tcPr>
          <w:p w14:paraId="09D36786">
            <w:pPr>
              <w:keepNext w:val="0"/>
              <w:keepLines w:val="0"/>
              <w:suppressLineNumbers w:val="0"/>
              <w:spacing w:before="0" w:beforeAutospacing="0" w:after="0" w:afterAutospacing="0" w:line="240" w:lineRule="auto"/>
              <w:ind w:left="0" w:right="0" w:firstLine="0"/>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臭气浓度</w:t>
            </w:r>
          </w:p>
        </w:tc>
        <w:tc>
          <w:tcPr>
            <w:tcW w:w="1053" w:type="pct"/>
            <w:vAlign w:val="center"/>
          </w:tcPr>
          <w:p w14:paraId="5EBBC26D">
            <w:pPr>
              <w:keepNext w:val="0"/>
              <w:keepLines w:val="0"/>
              <w:suppressLineNumbers w:val="0"/>
              <w:spacing w:before="0" w:beforeAutospacing="0" w:after="0" w:afterAutospacing="0" w:line="240" w:lineRule="auto"/>
              <w:ind w:left="0" w:right="0" w:firstLine="0"/>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无量纲</w:t>
            </w:r>
          </w:p>
        </w:tc>
        <w:tc>
          <w:tcPr>
            <w:tcW w:w="1832" w:type="pct"/>
            <w:vAlign w:val="center"/>
          </w:tcPr>
          <w:p w14:paraId="19216B34">
            <w:pPr>
              <w:keepNext w:val="0"/>
              <w:keepLines w:val="0"/>
              <w:suppressLineNumbers w:val="0"/>
              <w:spacing w:before="0" w:beforeAutospacing="0" w:after="0" w:afterAutospacing="0" w:line="240" w:lineRule="auto"/>
              <w:ind w:left="0" w:right="0" w:firstLine="0"/>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20</w:t>
            </w:r>
          </w:p>
        </w:tc>
      </w:tr>
    </w:tbl>
    <w:p w14:paraId="25086547">
      <w:pPr>
        <w:keepNext w:val="0"/>
        <w:keepLines w:val="0"/>
        <w:pageBreakBefore w:val="0"/>
        <w:widowControl w:val="0"/>
        <w:kinsoku/>
        <w:wordWrap/>
        <w:overflowPunct/>
        <w:topLinePunct w:val="0"/>
        <w:autoSpaceDE/>
        <w:autoSpaceDN/>
        <w:bidi w:val="0"/>
        <w:adjustRightInd/>
        <w:snapToGrid/>
        <w:ind w:firstLine="482" w:firstLineChars="200"/>
        <w:textAlignment w:val="auto"/>
        <w:outlineLvl w:val="6"/>
        <w:rPr>
          <w:rFonts w:hint="default"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③</w:t>
      </w:r>
      <w:r>
        <w:rPr>
          <w:rFonts w:hint="eastAsia" w:ascii="Times New Roman" w:hAnsi="Times New Roman" w:eastAsia="宋体" w:cs="Times New Roman"/>
          <w:b/>
          <w:bCs/>
          <w:color w:val="auto"/>
          <w:highlight w:val="none"/>
          <w:lang w:val="en-US" w:eastAsia="zh-CN"/>
        </w:rPr>
        <w:t>职工食堂</w:t>
      </w:r>
    </w:p>
    <w:p w14:paraId="11EFF418">
      <w:pPr>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本项目新建职工食堂位于两层式职工生活用房内，建筑面积150m</w:t>
      </w:r>
      <w:r>
        <w:rPr>
          <w:rFonts w:hint="eastAsia" w:ascii="Times New Roman" w:hAnsi="Times New Roman" w:eastAsia="宋体" w:cs="Times New Roman"/>
          <w:color w:val="auto"/>
          <w:highlight w:val="none"/>
          <w:vertAlign w:val="superscript"/>
          <w:lang w:val="en-US" w:eastAsia="zh-CN"/>
        </w:rPr>
        <w:t>2</w:t>
      </w:r>
      <w:r>
        <w:rPr>
          <w:rFonts w:hint="eastAsia" w:ascii="Times New Roman" w:hAnsi="Times New Roman" w:eastAsia="宋体" w:cs="Times New Roman"/>
          <w:color w:val="auto"/>
          <w:highlight w:val="none"/>
          <w:lang w:val="en-US" w:eastAsia="zh-CN"/>
        </w:rPr>
        <w:t>，预计</w:t>
      </w:r>
      <w:r>
        <w:rPr>
          <w:rFonts w:ascii="Times New Roman" w:hAnsi="Times New Roman" w:eastAsia="宋体" w:cs="Times New Roman"/>
          <w:color w:val="auto"/>
          <w:highlight w:val="none"/>
        </w:rPr>
        <w:t>机场职工食堂设置</w:t>
      </w:r>
      <w:r>
        <w:rPr>
          <w:rFonts w:ascii="Times New Roman" w:hAnsi="Times New Roman" w:eastAsia="Times New Roman" w:cs="Times New Roman"/>
          <w:color w:val="auto"/>
          <w:highlight w:val="none"/>
        </w:rPr>
        <w:t>2</w:t>
      </w:r>
      <w:r>
        <w:rPr>
          <w:rFonts w:ascii="Times New Roman" w:hAnsi="Times New Roman" w:eastAsia="宋体" w:cs="Times New Roman"/>
          <w:color w:val="auto"/>
          <w:highlight w:val="none"/>
        </w:rPr>
        <w:t>个灶头，属于小型规模，参照执行《饮食业油烟排放标准（试行）》（</w:t>
      </w:r>
      <w:r>
        <w:rPr>
          <w:rFonts w:ascii="Times New Roman" w:hAnsi="Times New Roman" w:eastAsia="Times New Roman" w:cs="Times New Roman"/>
          <w:color w:val="auto"/>
          <w:highlight w:val="none"/>
        </w:rPr>
        <w:t>GB18483-2001</w:t>
      </w:r>
      <w:r>
        <w:rPr>
          <w:rFonts w:ascii="Times New Roman" w:hAnsi="Times New Roman" w:eastAsia="宋体" w:cs="Times New Roman"/>
          <w:color w:val="auto"/>
          <w:highlight w:val="none"/>
        </w:rPr>
        <w:t>）表</w:t>
      </w:r>
      <w:r>
        <w:rPr>
          <w:rFonts w:ascii="Times New Roman" w:hAnsi="Times New Roman" w:eastAsia="Times New Roman" w:cs="Times New Roman"/>
          <w:color w:val="auto"/>
          <w:highlight w:val="none"/>
        </w:rPr>
        <w:t>2</w:t>
      </w:r>
      <w:r>
        <w:rPr>
          <w:rFonts w:ascii="Times New Roman" w:hAnsi="Times New Roman" w:eastAsia="宋体" w:cs="Times New Roman"/>
          <w:color w:val="auto"/>
          <w:highlight w:val="none"/>
        </w:rPr>
        <w:t>油烟最高允许排放浓度限值</w:t>
      </w:r>
      <w:r>
        <w:rPr>
          <w:rFonts w:ascii="Times New Roman" w:hAnsi="Times New Roman" w:eastAsia="Times New Roman" w:cs="Times New Roman"/>
          <w:color w:val="auto"/>
          <w:highlight w:val="none"/>
        </w:rPr>
        <w:t>2.0mg/m</w:t>
      </w:r>
      <w:r>
        <w:rPr>
          <w:rFonts w:ascii="Times New Roman" w:hAnsi="Times New Roman" w:eastAsia="Times New Roman" w:cs="Times New Roman"/>
          <w:color w:val="auto"/>
          <w:highlight w:val="none"/>
          <w:vertAlign w:val="superscript"/>
        </w:rPr>
        <w:t>3</w:t>
      </w:r>
      <w:r>
        <w:rPr>
          <w:rFonts w:ascii="Times New Roman" w:hAnsi="Times New Roman" w:eastAsia="宋体" w:cs="Times New Roman"/>
          <w:color w:val="auto"/>
          <w:highlight w:val="none"/>
        </w:rPr>
        <w:t>，食堂油烟净化设施去除效率不得低于</w:t>
      </w:r>
      <w:r>
        <w:rPr>
          <w:rFonts w:ascii="Times New Roman" w:hAnsi="Times New Roman" w:eastAsia="Times New Roman" w:cs="Times New Roman"/>
          <w:color w:val="auto"/>
          <w:highlight w:val="none"/>
        </w:rPr>
        <w:t>60%</w:t>
      </w:r>
      <w:r>
        <w:rPr>
          <w:rFonts w:ascii="Times New Roman" w:hAnsi="Times New Roman" w:eastAsia="宋体" w:cs="Times New Roman"/>
          <w:color w:val="auto"/>
          <w:highlight w:val="none"/>
        </w:rPr>
        <w:t>。</w:t>
      </w:r>
    </w:p>
    <w:p w14:paraId="0343EF05">
      <w:pPr>
        <w:kinsoku w:val="0"/>
        <w:overflowPunct w:val="0"/>
        <w:autoSpaceDE w:val="0"/>
        <w:autoSpaceDN w:val="0"/>
        <w:spacing w:line="240" w:lineRule="auto"/>
        <w:ind w:firstLine="0"/>
        <w:jc w:val="center"/>
        <w:rPr>
          <w:rFonts w:hint="eastAsia" w:ascii="Times New Roman" w:hAnsi="Times New Roman" w:eastAsia="黑体" w:cs="Times New Roman"/>
          <w:color w:val="auto"/>
          <w:kern w:val="0"/>
          <w:sz w:val="21"/>
          <w:szCs w:val="20"/>
          <w:highlight w:val="none"/>
          <w:lang w:val="en-US" w:eastAsia="zh-CN"/>
        </w:rPr>
      </w:pPr>
      <w:r>
        <w:rPr>
          <w:rFonts w:ascii="Times New Roman" w:hAnsi="Times New Roman" w:eastAsia="黑体" w:cs="Times New Roman"/>
          <w:color w:val="auto"/>
          <w:kern w:val="0"/>
          <w:sz w:val="21"/>
          <w:szCs w:val="20"/>
          <w:highlight w:val="none"/>
        </w:rPr>
        <w:t>表2</w:t>
      </w:r>
      <w:r>
        <w:rPr>
          <w:rFonts w:hint="eastAsia" w:ascii="Times New Roman" w:hAnsi="Times New Roman" w:eastAsia="黑体" w:cs="Times New Roman"/>
          <w:color w:val="auto"/>
          <w:kern w:val="0"/>
          <w:sz w:val="21"/>
          <w:szCs w:val="20"/>
          <w:highlight w:val="none"/>
          <w:lang w:val="en-US" w:eastAsia="zh-CN"/>
        </w:rPr>
        <w:t>.4-1</w:t>
      </w:r>
      <w:r>
        <w:rPr>
          <w:rFonts w:hint="eastAsia" w:eastAsia="黑体" w:cs="Times New Roman"/>
          <w:color w:val="auto"/>
          <w:kern w:val="0"/>
          <w:sz w:val="21"/>
          <w:szCs w:val="20"/>
          <w:highlight w:val="none"/>
          <w:lang w:val="en-US" w:eastAsia="zh-CN"/>
        </w:rPr>
        <w:t>1</w:t>
      </w:r>
      <w:r>
        <w:rPr>
          <w:rFonts w:hint="eastAsia" w:ascii="Times New Roman" w:hAnsi="Times New Roman" w:eastAsia="黑体" w:cs="Times New Roman"/>
          <w:color w:val="auto"/>
          <w:kern w:val="0"/>
          <w:sz w:val="21"/>
          <w:szCs w:val="20"/>
          <w:highlight w:val="none"/>
          <w:lang w:val="en-US" w:eastAsia="zh-CN"/>
        </w:rPr>
        <w:t xml:space="preserve">  </w:t>
      </w:r>
      <w:r>
        <w:rPr>
          <w:rFonts w:hint="eastAsia" w:eastAsia="黑体" w:cs="Times New Roman"/>
          <w:color w:val="auto"/>
          <w:kern w:val="0"/>
          <w:sz w:val="21"/>
          <w:szCs w:val="20"/>
          <w:highlight w:val="none"/>
          <w:lang w:val="en-US" w:eastAsia="zh-CN"/>
        </w:rPr>
        <w:t>食堂油烟</w:t>
      </w:r>
      <w:r>
        <w:rPr>
          <w:rFonts w:ascii="Times New Roman" w:hAnsi="Times New Roman" w:eastAsia="黑体" w:cs="Times New Roman"/>
          <w:color w:val="auto"/>
          <w:kern w:val="0"/>
          <w:sz w:val="21"/>
          <w:szCs w:val="20"/>
          <w:highlight w:val="none"/>
        </w:rPr>
        <w:t>排放标准</w:t>
      </w:r>
      <w:r>
        <w:rPr>
          <w:rFonts w:hint="eastAsia" w:ascii="Times New Roman" w:hAnsi="Times New Roman" w:eastAsia="黑体" w:cs="Times New Roman"/>
          <w:color w:val="auto"/>
          <w:kern w:val="0"/>
          <w:sz w:val="21"/>
          <w:szCs w:val="20"/>
          <w:highlight w:val="none"/>
          <w:lang w:val="en-US" w:eastAsia="zh-CN"/>
        </w:rPr>
        <w:t>表</w:t>
      </w:r>
    </w:p>
    <w:tbl>
      <w:tblPr>
        <w:tblStyle w:val="40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1329"/>
        <w:gridCol w:w="1324"/>
        <w:gridCol w:w="4736"/>
      </w:tblGrid>
      <w:tr w14:paraId="2B4D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0" w:type="pct"/>
            <w:gridSpan w:val="2"/>
            <w:vAlign w:val="center"/>
          </w:tcPr>
          <w:p w14:paraId="74559E62">
            <w:pPr>
              <w:keepNext w:val="0"/>
              <w:keepLines w:val="0"/>
              <w:suppressLineNumbers w:val="0"/>
              <w:spacing w:before="0" w:beforeAutospacing="0" w:after="0" w:afterAutospacing="0" w:line="240" w:lineRule="auto"/>
              <w:ind w:left="0" w:right="0" w:firstLine="0"/>
              <w:jc w:val="center"/>
              <w:rPr>
                <w:rFonts w:hint="eastAsia" w:ascii="Times New Roman" w:hAnsi="Times New Roman" w:eastAsia="宋体" w:cs="Times New Roman"/>
                <w:color w:val="auto"/>
                <w:highlight w:val="none"/>
                <w:lang w:eastAsia="zh-CN"/>
              </w:rPr>
            </w:pPr>
            <w:r>
              <w:rPr>
                <w:rFonts w:hint="default" w:ascii="Times New Roman" w:hAnsi="Times New Roman" w:eastAsia="宋体" w:cs="Times New Roman"/>
                <w:color w:val="auto"/>
                <w:sz w:val="21"/>
                <w:highlight w:val="none"/>
              </w:rPr>
              <w:t>污染物</w:t>
            </w:r>
          </w:p>
        </w:tc>
        <w:tc>
          <w:tcPr>
            <w:tcW w:w="749" w:type="pct"/>
            <w:vAlign w:val="center"/>
          </w:tcPr>
          <w:p w14:paraId="56645D11">
            <w:pPr>
              <w:keepNext w:val="0"/>
              <w:keepLines w:val="0"/>
              <w:suppressLineNumbers w:val="0"/>
              <w:spacing w:before="0" w:beforeAutospacing="0" w:after="0" w:afterAutospacing="0" w:line="240" w:lineRule="auto"/>
              <w:ind w:left="0" w:right="0" w:firstLine="0"/>
              <w:jc w:val="center"/>
              <w:rPr>
                <w:rFonts w:hint="eastAsia" w:ascii="Times New Roman" w:hAnsi="Times New Roman" w:eastAsia="宋体" w:cs="Times New Roman"/>
                <w:color w:val="auto"/>
                <w:highlight w:val="none"/>
                <w:lang w:eastAsia="zh-CN"/>
              </w:rPr>
            </w:pPr>
            <w:r>
              <w:rPr>
                <w:rFonts w:hint="default" w:ascii="Times New Roman" w:hAnsi="Times New Roman" w:eastAsia="宋体" w:cs="Times New Roman"/>
                <w:color w:val="auto"/>
                <w:sz w:val="21"/>
                <w:highlight w:val="none"/>
              </w:rPr>
              <w:t>排放标准值</w:t>
            </w:r>
          </w:p>
        </w:tc>
        <w:tc>
          <w:tcPr>
            <w:tcW w:w="2680" w:type="pct"/>
            <w:vAlign w:val="center"/>
          </w:tcPr>
          <w:p w14:paraId="066A8B0C">
            <w:pPr>
              <w:keepNext w:val="0"/>
              <w:keepLines w:val="0"/>
              <w:suppressLineNumbers w:val="0"/>
              <w:spacing w:before="0" w:beforeAutospacing="0" w:after="0" w:afterAutospacing="0" w:line="240" w:lineRule="auto"/>
              <w:ind w:left="0" w:right="0" w:firstLine="0"/>
              <w:jc w:val="center"/>
              <w:rPr>
                <w:rFonts w:hint="eastAsia" w:ascii="Times New Roman" w:hAnsi="Times New Roman" w:eastAsia="宋体" w:cs="Times New Roman"/>
                <w:color w:val="auto"/>
                <w:highlight w:val="none"/>
                <w:lang w:eastAsia="zh-CN"/>
              </w:rPr>
            </w:pPr>
            <w:r>
              <w:rPr>
                <w:rFonts w:hint="default" w:ascii="Times New Roman" w:hAnsi="Times New Roman" w:eastAsia="宋体" w:cs="Times New Roman"/>
                <w:color w:val="auto"/>
                <w:sz w:val="21"/>
                <w:highlight w:val="none"/>
              </w:rPr>
              <w:t>标准名称</w:t>
            </w:r>
          </w:p>
        </w:tc>
      </w:tr>
      <w:tr w14:paraId="1706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8" w:type="pct"/>
            <w:vAlign w:val="center"/>
          </w:tcPr>
          <w:p w14:paraId="5877F4D0">
            <w:pPr>
              <w:keepNext w:val="0"/>
              <w:keepLines w:val="0"/>
              <w:suppressLineNumbers w:val="0"/>
              <w:spacing w:before="0" w:beforeAutospacing="0" w:after="0" w:afterAutospacing="0" w:line="240" w:lineRule="auto"/>
              <w:ind w:left="0" w:right="0" w:firstLine="0"/>
              <w:jc w:val="center"/>
              <w:rPr>
                <w:rFonts w:hint="default" w:ascii="Times New Roman" w:hAnsi="Times New Roman" w:eastAsia="宋体" w:cs="Times New Roman"/>
                <w:color w:val="auto"/>
                <w:highlight w:val="none"/>
              </w:rPr>
            </w:pPr>
            <w:r>
              <w:rPr>
                <w:rFonts w:hint="eastAsia" w:ascii="Times New Roman" w:hAnsi="Times New Roman" w:eastAsia="宋体" w:cs="Times New Roman"/>
                <w:color w:val="auto"/>
                <w:sz w:val="21"/>
                <w:highlight w:val="none"/>
              </w:rPr>
              <w:t>职工食堂</w:t>
            </w:r>
          </w:p>
        </w:tc>
        <w:tc>
          <w:tcPr>
            <w:tcW w:w="751" w:type="pct"/>
            <w:vAlign w:val="center"/>
          </w:tcPr>
          <w:p w14:paraId="0F8C7CCF">
            <w:pPr>
              <w:keepNext w:val="0"/>
              <w:keepLines w:val="0"/>
              <w:suppressLineNumbers w:val="0"/>
              <w:spacing w:before="0" w:beforeAutospacing="0" w:after="0" w:afterAutospacing="0" w:line="240" w:lineRule="auto"/>
              <w:ind w:left="0" w:right="0" w:firstLine="0"/>
              <w:jc w:val="center"/>
              <w:rPr>
                <w:rFonts w:hint="eastAsia"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油烟</w:t>
            </w:r>
          </w:p>
        </w:tc>
        <w:tc>
          <w:tcPr>
            <w:tcW w:w="749" w:type="pct"/>
            <w:vAlign w:val="center"/>
          </w:tcPr>
          <w:p w14:paraId="197B1045">
            <w:pPr>
              <w:keepNext w:val="0"/>
              <w:keepLines w:val="0"/>
              <w:suppressLineNumbers w:val="0"/>
              <w:spacing w:before="0" w:beforeAutospacing="0" w:after="0" w:afterAutospacing="0" w:line="240" w:lineRule="auto"/>
              <w:ind w:left="0" w:right="0" w:firstLine="0"/>
              <w:jc w:val="center"/>
              <w:rPr>
                <w:rFonts w:hint="default" w:ascii="Times New Roman" w:hAnsi="Times New Roman" w:eastAsia="Times New Roman" w:cs="Times New Roman"/>
                <w:color w:val="auto"/>
                <w:sz w:val="21"/>
                <w:highlight w:val="none"/>
              </w:rPr>
            </w:pPr>
            <w:r>
              <w:rPr>
                <w:rFonts w:hint="default" w:ascii="Times New Roman" w:hAnsi="Times New Roman" w:eastAsia="Times New Roman" w:cs="Times New Roman"/>
                <w:color w:val="auto"/>
                <w:sz w:val="21"/>
                <w:highlight w:val="none"/>
              </w:rPr>
              <w:t>2.0mg/m</w:t>
            </w:r>
            <w:r>
              <w:rPr>
                <w:rFonts w:hint="default" w:ascii="Times New Roman" w:hAnsi="Times New Roman" w:eastAsia="Times New Roman" w:cs="Times New Roman"/>
                <w:color w:val="auto"/>
                <w:sz w:val="21"/>
                <w:highlight w:val="none"/>
                <w:vertAlign w:val="superscript"/>
              </w:rPr>
              <w:t>3</w:t>
            </w:r>
          </w:p>
        </w:tc>
        <w:tc>
          <w:tcPr>
            <w:tcW w:w="2680" w:type="pct"/>
            <w:vAlign w:val="center"/>
          </w:tcPr>
          <w:p w14:paraId="02003252">
            <w:pPr>
              <w:keepNext w:val="0"/>
              <w:keepLines w:val="0"/>
              <w:suppressLineNumbers w:val="0"/>
              <w:spacing w:before="0" w:beforeAutospacing="0" w:after="0" w:afterAutospacing="0" w:line="240" w:lineRule="auto"/>
              <w:ind w:left="0" w:right="0" w:firstLine="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highlight w:val="none"/>
              </w:rPr>
              <w:t>《饮食业油烟排放标准（试行）》（</w:t>
            </w:r>
            <w:r>
              <w:rPr>
                <w:rFonts w:hint="default" w:ascii="Times New Roman" w:hAnsi="Times New Roman" w:eastAsia="Times New Roman" w:cs="Times New Roman"/>
                <w:color w:val="auto"/>
                <w:sz w:val="21"/>
                <w:highlight w:val="none"/>
              </w:rPr>
              <w:t>GB18483-2001</w:t>
            </w:r>
            <w:r>
              <w:rPr>
                <w:rFonts w:hint="default" w:ascii="Times New Roman" w:hAnsi="Times New Roman" w:eastAsia="宋体" w:cs="Times New Roman"/>
                <w:color w:val="auto"/>
                <w:sz w:val="21"/>
                <w:highlight w:val="none"/>
              </w:rPr>
              <w:t>）表</w:t>
            </w:r>
            <w:r>
              <w:rPr>
                <w:rFonts w:hint="default" w:ascii="Times New Roman" w:hAnsi="Times New Roman" w:eastAsia="Times New Roman" w:cs="Times New Roman"/>
                <w:color w:val="auto"/>
                <w:sz w:val="21"/>
                <w:highlight w:val="none"/>
              </w:rPr>
              <w:t>2</w:t>
            </w:r>
            <w:r>
              <w:rPr>
                <w:rFonts w:hint="default" w:ascii="Times New Roman" w:hAnsi="Times New Roman" w:eastAsia="宋体" w:cs="Times New Roman"/>
                <w:color w:val="auto"/>
                <w:sz w:val="21"/>
                <w:highlight w:val="none"/>
              </w:rPr>
              <w:t>油烟最高允许排放浓度限值</w:t>
            </w:r>
          </w:p>
        </w:tc>
      </w:tr>
    </w:tbl>
    <w:p w14:paraId="1F35FB9E">
      <w:pPr>
        <w:keepNext w:val="0"/>
        <w:keepLines w:val="0"/>
        <w:pageBreakBefore w:val="0"/>
        <w:widowControl/>
        <w:kinsoku/>
        <w:wordWrap/>
        <w:overflowPunct/>
        <w:topLinePunct w:val="0"/>
        <w:autoSpaceDE/>
        <w:autoSpaceDN/>
        <w:bidi w:val="0"/>
        <w:adjustRightInd/>
        <w:snapToGrid/>
        <w:ind w:firstLine="482" w:firstLineChars="200"/>
        <w:jc w:val="left"/>
        <w:textAlignment w:val="auto"/>
        <w:outlineLvl w:val="5"/>
        <w:rPr>
          <w:rFonts w:ascii="Times New Roman" w:hAnsi="Times New Roman" w:eastAsia="宋体" w:cs="Times New Roman"/>
          <w:b/>
          <w:bCs/>
          <w:color w:val="auto"/>
          <w:szCs w:val="21"/>
          <w:highlight w:val="none"/>
        </w:rPr>
      </w:pPr>
      <w:r>
        <w:rPr>
          <w:rFonts w:hint="eastAsia" w:ascii="宋体" w:hAnsi="宋体" w:cs="宋体"/>
          <w:b/>
          <w:bCs/>
          <w:color w:val="auto"/>
          <w:szCs w:val="21"/>
          <w:highlight w:val="none"/>
          <w:lang w:val="en-US" w:eastAsia="zh-CN"/>
        </w:rPr>
        <w:t>3）</w:t>
      </w:r>
      <w:r>
        <w:rPr>
          <w:rFonts w:ascii="Times New Roman" w:hAnsi="Times New Roman" w:eastAsia="宋体" w:cs="Times New Roman"/>
          <w:b/>
          <w:bCs/>
          <w:color w:val="auto"/>
          <w:szCs w:val="21"/>
          <w:highlight w:val="none"/>
        </w:rPr>
        <w:t>废水</w:t>
      </w:r>
    </w:p>
    <w:p w14:paraId="55D122D2">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ascii="Times New Roman" w:hAnsi="Times New Roman" w:eastAsia="宋体" w:cs="Times New Roman"/>
          <w:color w:val="auto"/>
          <w:szCs w:val="21"/>
          <w:highlight w:val="none"/>
        </w:rPr>
      </w:pPr>
      <w:r>
        <w:rPr>
          <w:rFonts w:hint="eastAsia" w:cs="Times New Roman"/>
          <w:color w:val="auto"/>
          <w:szCs w:val="21"/>
          <w:highlight w:val="none"/>
          <w:lang w:val="en-US" w:eastAsia="zh-CN"/>
        </w:rPr>
        <w:t>机场污水经自建污水处理站处理，中水回用执行《城市污水再生利用 城市杂用水水质标准》（GB/T18920-2020）中城市绿化、道路清扫等水质指标后“冬储夏灌”，不外排。具体标准限值见下表</w:t>
      </w:r>
      <w:r>
        <w:rPr>
          <w:rFonts w:ascii="Times New Roman" w:hAnsi="Times New Roman" w:eastAsia="宋体" w:cs="Times New Roman"/>
          <w:color w:val="auto"/>
          <w:szCs w:val="21"/>
          <w:highlight w:val="none"/>
        </w:rPr>
        <w:t>。</w:t>
      </w:r>
    </w:p>
    <w:p w14:paraId="67F9B412">
      <w:pPr>
        <w:pageBreakBefore w:val="0"/>
        <w:widowControl w:val="0"/>
        <w:kinsoku/>
        <w:wordWrap/>
        <w:overflowPunct/>
        <w:bidi w:val="0"/>
        <w:spacing w:before="156" w:beforeLines="50" w:after="156" w:afterLines="50" w:line="240" w:lineRule="auto"/>
        <w:ind w:left="0" w:leftChars="0" w:right="0" w:rightChars="0" w:firstLine="0" w:firstLineChars="0"/>
        <w:jc w:val="center"/>
        <w:rPr>
          <w:rFonts w:hint="eastAsia" w:eastAsia="黑体" w:cs="Times New Roman"/>
          <w:color w:val="auto"/>
          <w:kern w:val="2"/>
          <w:sz w:val="21"/>
          <w:szCs w:val="18"/>
          <w:highlight w:val="none"/>
          <w:lang w:val="en-US" w:eastAsia="zh-CN" w:bidi="ar-SA"/>
        </w:rPr>
      </w:pPr>
      <w:r>
        <w:rPr>
          <w:rFonts w:hint="eastAsia" w:ascii="Times New Roman" w:hAnsi="Times New Roman" w:eastAsia="黑体" w:cs="Times New Roman"/>
          <w:color w:val="auto"/>
          <w:kern w:val="2"/>
          <w:sz w:val="21"/>
          <w:szCs w:val="18"/>
          <w:highlight w:val="none"/>
          <w:lang w:val="en-US" w:eastAsia="zh-CN" w:bidi="ar-SA"/>
        </w:rPr>
        <w:t>表2.4-1</w:t>
      </w:r>
      <w:r>
        <w:rPr>
          <w:rFonts w:hint="eastAsia" w:eastAsia="黑体" w:cs="Times New Roman"/>
          <w:color w:val="auto"/>
          <w:kern w:val="2"/>
          <w:sz w:val="21"/>
          <w:szCs w:val="18"/>
          <w:highlight w:val="none"/>
          <w:lang w:val="en-US" w:eastAsia="zh-CN" w:bidi="ar-SA"/>
        </w:rPr>
        <w:t>2</w:t>
      </w:r>
      <w:r>
        <w:rPr>
          <w:rFonts w:ascii="Times New Roman" w:hAnsi="Times New Roman" w:eastAsia="黑体" w:cs="Times New Roman"/>
          <w:color w:val="auto"/>
          <w:kern w:val="2"/>
          <w:sz w:val="21"/>
          <w:szCs w:val="18"/>
          <w:highlight w:val="none"/>
          <w:lang w:val="en-US" w:eastAsia="zh-CN" w:bidi="ar-SA"/>
        </w:rPr>
        <w:t xml:space="preserve">  </w:t>
      </w:r>
      <w:r>
        <w:rPr>
          <w:rFonts w:hint="eastAsia" w:eastAsia="黑体" w:cs="Times New Roman"/>
          <w:color w:val="auto"/>
          <w:kern w:val="2"/>
          <w:sz w:val="21"/>
          <w:szCs w:val="18"/>
          <w:highlight w:val="none"/>
          <w:lang w:val="en-US" w:eastAsia="zh-CN" w:bidi="ar-SA"/>
        </w:rPr>
        <w:t>城市杂用水水质基本控制项目及限值GB/T18920</w:t>
      </w:r>
    </w:p>
    <w:tbl>
      <w:tblPr>
        <w:tblStyle w:val="4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3685"/>
        <w:gridCol w:w="396"/>
        <w:gridCol w:w="1812"/>
        <w:gridCol w:w="2204"/>
      </w:tblGrid>
      <w:tr w14:paraId="6B78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Align w:val="center"/>
          </w:tcPr>
          <w:p w14:paraId="3CEC11E7">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序号</w:t>
            </w:r>
          </w:p>
        </w:tc>
        <w:tc>
          <w:tcPr>
            <w:tcW w:w="4081" w:type="dxa"/>
            <w:gridSpan w:val="2"/>
            <w:tcBorders>
              <w:bottom w:val="single" w:color="auto" w:sz="4" w:space="0"/>
            </w:tcBorders>
            <w:vAlign w:val="center"/>
          </w:tcPr>
          <w:p w14:paraId="0173FC62">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项目</w:t>
            </w:r>
          </w:p>
        </w:tc>
        <w:tc>
          <w:tcPr>
            <w:tcW w:w="1812" w:type="dxa"/>
            <w:vAlign w:val="center"/>
          </w:tcPr>
          <w:p w14:paraId="3B4E321D">
            <w:pPr>
              <w:keepNext w:val="0"/>
              <w:keepLines w:val="0"/>
              <w:suppressLineNumbers w:val="0"/>
              <w:kinsoku w:val="0"/>
              <w:overflowPunct w:val="0"/>
              <w:autoSpaceDE w:val="0"/>
              <w:autoSpaceDN w:val="0"/>
              <w:adjustRightInd w:val="0"/>
              <w:spacing w:before="0" w:beforeAutospacing="0" w:after="0" w:afterAutospacing="0" w:line="274" w:lineRule="exact"/>
              <w:ind w:left="170" w:right="0"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冲厕、车辆冲洗</w:t>
            </w:r>
          </w:p>
        </w:tc>
        <w:tc>
          <w:tcPr>
            <w:tcW w:w="2204" w:type="dxa"/>
            <w:vAlign w:val="center"/>
          </w:tcPr>
          <w:p w14:paraId="607BDE16">
            <w:pPr>
              <w:keepNext w:val="0"/>
              <w:keepLines w:val="0"/>
              <w:suppressLineNumbers w:val="0"/>
              <w:kinsoku w:val="0"/>
              <w:overflowPunct w:val="0"/>
              <w:autoSpaceDE w:val="0"/>
              <w:autoSpaceDN w:val="0"/>
              <w:adjustRightInd w:val="0"/>
              <w:spacing w:before="0" w:beforeAutospacing="0" w:after="0" w:afterAutospacing="0" w:line="274" w:lineRule="exact"/>
              <w:ind w:left="40" w:right="0"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城市绿化、道路清扫、消防、建筑施工</w:t>
            </w:r>
          </w:p>
        </w:tc>
      </w:tr>
      <w:tr w14:paraId="234A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tcBorders>
              <w:right w:val="single" w:color="auto" w:sz="4" w:space="0"/>
            </w:tcBorders>
            <w:shd w:val="clear" w:color="auto" w:fill="auto"/>
            <w:vAlign w:val="center"/>
          </w:tcPr>
          <w:p w14:paraId="45AF96BF">
            <w:pPr>
              <w:keepNext w:val="0"/>
              <w:keepLines w:val="0"/>
              <w:suppressLineNumbers w:val="0"/>
              <w:kinsoku w:val="0"/>
              <w:overflowPunct w:val="0"/>
              <w:autoSpaceDE w:val="0"/>
              <w:autoSpaceDN w:val="0"/>
              <w:adjustRightInd w:val="0"/>
              <w:spacing w:before="48"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0"/>
                <w:sz w:val="24"/>
                <w:szCs w:val="20"/>
                <w:highlight w:val="none"/>
                <w:lang w:val="en-US" w:eastAsia="zh-CN" w:bidi="ar-SA"/>
              </w:rPr>
            </w:pPr>
            <w:r>
              <w:rPr>
                <w:rFonts w:hint="default" w:ascii="Times New Roman" w:hAnsi="Times New Roman" w:eastAsia="Times New Roman" w:cs="Times New Roman"/>
                <w:color w:val="auto"/>
                <w:kern w:val="0"/>
                <w:sz w:val="21"/>
                <w:szCs w:val="20"/>
                <w:highlight w:val="none"/>
              </w:rPr>
              <w:t>1</w:t>
            </w:r>
          </w:p>
        </w:tc>
        <w:tc>
          <w:tcPr>
            <w:tcW w:w="3685" w:type="dxa"/>
            <w:tcBorders>
              <w:top w:val="single" w:color="auto" w:sz="4" w:space="0"/>
              <w:left w:val="single" w:color="auto" w:sz="4" w:space="0"/>
              <w:bottom w:val="single" w:color="auto" w:sz="4" w:space="0"/>
              <w:right w:val="nil"/>
            </w:tcBorders>
            <w:shd w:val="clear" w:color="auto" w:fill="auto"/>
            <w:vAlign w:val="center"/>
          </w:tcPr>
          <w:p w14:paraId="57B1E3DD">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0"/>
                <w:sz w:val="24"/>
                <w:szCs w:val="20"/>
                <w:highlight w:val="none"/>
                <w:lang w:val="en-US" w:eastAsia="zh-CN" w:bidi="ar-SA"/>
              </w:rPr>
            </w:pPr>
            <w:r>
              <w:rPr>
                <w:rFonts w:hint="default" w:ascii="Times New Roman" w:hAnsi="Times New Roman" w:eastAsia="Times New Roman" w:cs="Times New Roman"/>
                <w:color w:val="auto"/>
                <w:kern w:val="0"/>
                <w:sz w:val="21"/>
                <w:szCs w:val="20"/>
                <w:highlight w:val="none"/>
              </w:rPr>
              <w:t>pH</w:t>
            </w:r>
          </w:p>
        </w:tc>
        <w:tc>
          <w:tcPr>
            <w:tcW w:w="396" w:type="dxa"/>
            <w:tcBorders>
              <w:top w:val="single" w:color="auto" w:sz="4" w:space="0"/>
              <w:left w:val="nil"/>
              <w:bottom w:val="single" w:color="auto" w:sz="4" w:space="0"/>
              <w:right w:val="single" w:color="auto" w:sz="4" w:space="0"/>
            </w:tcBorders>
            <w:vAlign w:val="center"/>
          </w:tcPr>
          <w:p w14:paraId="38F2AE44">
            <w:pPr>
              <w:keepNext w:val="0"/>
              <w:keepLines w:val="0"/>
              <w:suppressLineNumbers w:val="0"/>
              <w:kinsoku w:val="0"/>
              <w:overflowPunct w:val="0"/>
              <w:autoSpaceDE w:val="0"/>
              <w:autoSpaceDN w:val="0"/>
              <w:adjustRightInd w:val="0"/>
              <w:spacing w:before="48" w:beforeAutospacing="0" w:after="0" w:afterAutospacing="0" w:line="240" w:lineRule="auto"/>
              <w:ind w:left="0" w:leftChars="0" w:right="0" w:rightChars="0" w:firstLine="0" w:firstLineChars="0"/>
              <w:jc w:val="right"/>
              <w:rPr>
                <w:rFonts w:hint="default" w:ascii="Times New Roman" w:hAnsi="Times New Roman" w:eastAsia="Times New Roman" w:cs="Times New Roman"/>
                <w:color w:val="auto"/>
                <w:kern w:val="0"/>
                <w:sz w:val="21"/>
                <w:szCs w:val="20"/>
                <w:highlight w:val="none"/>
              </w:rPr>
            </w:pPr>
          </w:p>
        </w:tc>
        <w:tc>
          <w:tcPr>
            <w:tcW w:w="1812" w:type="dxa"/>
            <w:tcBorders>
              <w:left w:val="single" w:color="auto" w:sz="4" w:space="0"/>
            </w:tcBorders>
            <w:vAlign w:val="center"/>
          </w:tcPr>
          <w:p w14:paraId="21D93102">
            <w:pPr>
              <w:keepNext w:val="0"/>
              <w:keepLines w:val="0"/>
              <w:suppressLineNumbers w:val="0"/>
              <w:kinsoku w:val="0"/>
              <w:overflowPunct w:val="0"/>
              <w:autoSpaceDE w:val="0"/>
              <w:autoSpaceDN w:val="0"/>
              <w:adjustRightInd w:val="0"/>
              <w:spacing w:before="0" w:beforeAutospacing="0" w:after="0" w:afterAutospacing="0" w:line="274" w:lineRule="exact"/>
              <w:ind w:left="170" w:right="0" w:firstLine="0"/>
              <w:jc w:val="center"/>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6.0~9.0</w:t>
            </w:r>
          </w:p>
        </w:tc>
        <w:tc>
          <w:tcPr>
            <w:tcW w:w="2204" w:type="dxa"/>
            <w:vAlign w:val="center"/>
          </w:tcPr>
          <w:p w14:paraId="6F0C4661">
            <w:pPr>
              <w:keepNext w:val="0"/>
              <w:keepLines w:val="0"/>
              <w:suppressLineNumbers w:val="0"/>
              <w:kinsoku w:val="0"/>
              <w:overflowPunct w:val="0"/>
              <w:autoSpaceDE w:val="0"/>
              <w:autoSpaceDN w:val="0"/>
              <w:adjustRightInd w:val="0"/>
              <w:spacing w:before="0" w:beforeAutospacing="0" w:after="0" w:afterAutospacing="0" w:line="274" w:lineRule="exact"/>
              <w:ind w:left="40" w:right="0" w:firstLine="0"/>
              <w:jc w:val="center"/>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6.0~9.0</w:t>
            </w:r>
          </w:p>
        </w:tc>
      </w:tr>
      <w:tr w14:paraId="3C71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tcBorders>
              <w:right w:val="single" w:color="auto" w:sz="4" w:space="0"/>
            </w:tcBorders>
            <w:vAlign w:val="center"/>
          </w:tcPr>
          <w:p w14:paraId="0C8E0BA1">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eastAsia" w:ascii="Times New Roman" w:hAnsi="Times New Roman" w:eastAsia="宋体" w:cs="Times New Roman"/>
                <w:color w:val="auto"/>
                <w:kern w:val="0"/>
                <w:sz w:val="21"/>
                <w:szCs w:val="20"/>
                <w:highlight w:val="none"/>
                <w:lang w:val="en-US" w:eastAsia="zh-CN"/>
              </w:rPr>
            </w:pPr>
            <w:r>
              <w:rPr>
                <w:rFonts w:hint="eastAsia" w:ascii="Times New Roman" w:hAnsi="Times New Roman" w:eastAsia="宋体" w:cs="Times New Roman"/>
                <w:color w:val="auto"/>
                <w:kern w:val="0"/>
                <w:sz w:val="21"/>
                <w:szCs w:val="20"/>
                <w:highlight w:val="none"/>
                <w:lang w:val="en-US" w:eastAsia="zh-CN"/>
              </w:rPr>
              <w:t>2</w:t>
            </w:r>
          </w:p>
        </w:tc>
        <w:tc>
          <w:tcPr>
            <w:tcW w:w="3685" w:type="dxa"/>
            <w:tcBorders>
              <w:top w:val="single" w:color="auto" w:sz="4" w:space="0"/>
              <w:left w:val="single" w:color="auto" w:sz="4" w:space="0"/>
              <w:bottom w:val="single" w:color="auto" w:sz="4" w:space="0"/>
              <w:right w:val="nil"/>
            </w:tcBorders>
            <w:vAlign w:val="center"/>
          </w:tcPr>
          <w:p w14:paraId="2DCA8664">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kern w:val="0"/>
                <w:sz w:val="21"/>
                <w:szCs w:val="20"/>
                <w:highlight w:val="none"/>
              </w:rPr>
            </w:pPr>
            <w:r>
              <w:rPr>
                <w:rFonts w:hint="eastAsia" w:ascii="Times New Roman" w:hAnsi="Times New Roman" w:eastAsia="宋体" w:cs="Times New Roman"/>
                <w:color w:val="auto"/>
                <w:kern w:val="0"/>
                <w:sz w:val="21"/>
                <w:szCs w:val="20"/>
                <w:highlight w:val="none"/>
                <w:lang w:val="en-US" w:eastAsia="zh-CN"/>
              </w:rPr>
              <w:t>色度，铂钴色度单位</w:t>
            </w:r>
          </w:p>
        </w:tc>
        <w:tc>
          <w:tcPr>
            <w:tcW w:w="396" w:type="dxa"/>
            <w:tcBorders>
              <w:top w:val="single" w:color="auto" w:sz="4" w:space="0"/>
              <w:left w:val="nil"/>
              <w:bottom w:val="single" w:color="auto" w:sz="4" w:space="0"/>
              <w:right w:val="single" w:color="auto" w:sz="4" w:space="0"/>
            </w:tcBorders>
            <w:vAlign w:val="center"/>
          </w:tcPr>
          <w:p w14:paraId="44CA80FD">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right"/>
              <w:rPr>
                <w:rFonts w:hint="default" w:ascii="Times New Roman" w:hAnsi="Times New Roman" w:eastAsia="宋体" w:cs="Times New Roman"/>
                <w:color w:val="auto"/>
                <w:kern w:val="0"/>
                <w:sz w:val="21"/>
                <w:szCs w:val="20"/>
                <w:highlight w:val="none"/>
              </w:rPr>
            </w:pPr>
            <w:r>
              <w:rPr>
                <w:rFonts w:hint="eastAsia" w:ascii="宋体" w:hAnsi="宋体" w:eastAsia="宋体" w:cs="宋体"/>
                <w:color w:val="auto"/>
                <w:kern w:val="0"/>
                <w:sz w:val="21"/>
                <w:szCs w:val="20"/>
                <w:highlight w:val="none"/>
              </w:rPr>
              <w:t>≤</w:t>
            </w:r>
          </w:p>
        </w:tc>
        <w:tc>
          <w:tcPr>
            <w:tcW w:w="1812" w:type="dxa"/>
            <w:tcBorders>
              <w:left w:val="single" w:color="auto" w:sz="4" w:space="0"/>
            </w:tcBorders>
            <w:vAlign w:val="center"/>
          </w:tcPr>
          <w:p w14:paraId="1CFAC461">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15</w:t>
            </w:r>
          </w:p>
        </w:tc>
        <w:tc>
          <w:tcPr>
            <w:tcW w:w="2204" w:type="dxa"/>
            <w:vAlign w:val="center"/>
          </w:tcPr>
          <w:p w14:paraId="4E9D1909">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30</w:t>
            </w:r>
          </w:p>
        </w:tc>
      </w:tr>
      <w:tr w14:paraId="41EAF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tcBorders>
              <w:right w:val="single" w:color="auto" w:sz="4" w:space="0"/>
            </w:tcBorders>
            <w:vAlign w:val="center"/>
          </w:tcPr>
          <w:p w14:paraId="0382487B">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eastAsia" w:ascii="Times New Roman" w:hAnsi="Times New Roman" w:eastAsia="宋体" w:cs="Times New Roman"/>
                <w:color w:val="auto"/>
                <w:kern w:val="0"/>
                <w:sz w:val="21"/>
                <w:szCs w:val="20"/>
                <w:highlight w:val="none"/>
                <w:lang w:val="en-US" w:eastAsia="zh-CN"/>
              </w:rPr>
            </w:pPr>
            <w:r>
              <w:rPr>
                <w:rFonts w:hint="eastAsia" w:ascii="Times New Roman" w:hAnsi="Times New Roman" w:eastAsia="宋体" w:cs="Times New Roman"/>
                <w:color w:val="auto"/>
                <w:kern w:val="0"/>
                <w:sz w:val="21"/>
                <w:szCs w:val="20"/>
                <w:highlight w:val="none"/>
                <w:lang w:val="en-US" w:eastAsia="zh-CN"/>
              </w:rPr>
              <w:t>3</w:t>
            </w:r>
          </w:p>
        </w:tc>
        <w:tc>
          <w:tcPr>
            <w:tcW w:w="3685" w:type="dxa"/>
            <w:tcBorders>
              <w:top w:val="single" w:color="auto" w:sz="4" w:space="0"/>
              <w:left w:val="single" w:color="auto" w:sz="4" w:space="0"/>
              <w:bottom w:val="single" w:color="auto" w:sz="4" w:space="0"/>
              <w:right w:val="nil"/>
            </w:tcBorders>
            <w:vAlign w:val="center"/>
          </w:tcPr>
          <w:p w14:paraId="599AD7B8">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kern w:val="0"/>
                <w:sz w:val="21"/>
                <w:szCs w:val="20"/>
                <w:highlight w:val="none"/>
              </w:rPr>
            </w:pPr>
            <w:r>
              <w:rPr>
                <w:rFonts w:hint="eastAsia" w:ascii="Times New Roman" w:hAnsi="Times New Roman" w:eastAsia="宋体" w:cs="Times New Roman"/>
                <w:color w:val="auto"/>
                <w:kern w:val="0"/>
                <w:sz w:val="21"/>
                <w:szCs w:val="20"/>
                <w:highlight w:val="none"/>
                <w:lang w:val="en-US" w:eastAsia="zh-CN"/>
              </w:rPr>
              <w:t>嗅</w:t>
            </w:r>
          </w:p>
        </w:tc>
        <w:tc>
          <w:tcPr>
            <w:tcW w:w="396" w:type="dxa"/>
            <w:tcBorders>
              <w:top w:val="single" w:color="auto" w:sz="4" w:space="0"/>
              <w:left w:val="nil"/>
              <w:bottom w:val="single" w:color="auto" w:sz="4" w:space="0"/>
              <w:right w:val="single" w:color="auto" w:sz="4" w:space="0"/>
            </w:tcBorders>
            <w:vAlign w:val="center"/>
          </w:tcPr>
          <w:p w14:paraId="1F7A60DB">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right"/>
              <w:rPr>
                <w:rFonts w:hint="default" w:ascii="Times New Roman" w:hAnsi="Times New Roman" w:eastAsia="宋体" w:cs="Times New Roman"/>
                <w:color w:val="auto"/>
                <w:kern w:val="0"/>
                <w:sz w:val="21"/>
                <w:szCs w:val="20"/>
                <w:highlight w:val="none"/>
              </w:rPr>
            </w:pPr>
          </w:p>
        </w:tc>
        <w:tc>
          <w:tcPr>
            <w:tcW w:w="1812" w:type="dxa"/>
            <w:tcBorders>
              <w:left w:val="single" w:color="auto" w:sz="4" w:space="0"/>
            </w:tcBorders>
            <w:vAlign w:val="center"/>
          </w:tcPr>
          <w:p w14:paraId="7CF2520A">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eastAsia"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无不快感</w:t>
            </w:r>
          </w:p>
        </w:tc>
        <w:tc>
          <w:tcPr>
            <w:tcW w:w="2204" w:type="dxa"/>
            <w:vAlign w:val="center"/>
          </w:tcPr>
          <w:p w14:paraId="3D2D5BF7">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无不快感</w:t>
            </w:r>
          </w:p>
        </w:tc>
      </w:tr>
      <w:tr w14:paraId="2DA3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tcBorders>
              <w:right w:val="single" w:color="auto" w:sz="4" w:space="0"/>
            </w:tcBorders>
            <w:vAlign w:val="center"/>
          </w:tcPr>
          <w:p w14:paraId="0DC8C906">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eastAsia" w:ascii="Times New Roman" w:hAnsi="Times New Roman" w:eastAsia="宋体" w:cs="Times New Roman"/>
                <w:color w:val="auto"/>
                <w:kern w:val="0"/>
                <w:sz w:val="21"/>
                <w:szCs w:val="20"/>
                <w:highlight w:val="none"/>
                <w:lang w:val="en-US" w:eastAsia="zh-CN"/>
              </w:rPr>
            </w:pPr>
            <w:r>
              <w:rPr>
                <w:rFonts w:hint="eastAsia" w:ascii="Times New Roman" w:hAnsi="Times New Roman" w:eastAsia="宋体" w:cs="Times New Roman"/>
                <w:color w:val="auto"/>
                <w:kern w:val="0"/>
                <w:sz w:val="21"/>
                <w:szCs w:val="20"/>
                <w:highlight w:val="none"/>
                <w:lang w:val="en-US" w:eastAsia="zh-CN"/>
              </w:rPr>
              <w:t>4</w:t>
            </w:r>
          </w:p>
        </w:tc>
        <w:tc>
          <w:tcPr>
            <w:tcW w:w="3685" w:type="dxa"/>
            <w:tcBorders>
              <w:top w:val="single" w:color="auto" w:sz="4" w:space="0"/>
              <w:left w:val="single" w:color="auto" w:sz="4" w:space="0"/>
              <w:bottom w:val="single" w:color="auto" w:sz="4" w:space="0"/>
              <w:right w:val="nil"/>
            </w:tcBorders>
            <w:vAlign w:val="center"/>
          </w:tcPr>
          <w:p w14:paraId="698F0A72">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kern w:val="0"/>
                <w:sz w:val="21"/>
                <w:szCs w:val="20"/>
                <w:highlight w:val="none"/>
              </w:rPr>
            </w:pPr>
            <w:r>
              <w:rPr>
                <w:rFonts w:hint="eastAsia" w:ascii="Times New Roman" w:hAnsi="Times New Roman" w:eastAsia="宋体" w:cs="Times New Roman"/>
                <w:color w:val="auto"/>
                <w:kern w:val="0"/>
                <w:sz w:val="21"/>
                <w:szCs w:val="20"/>
                <w:highlight w:val="none"/>
                <w:lang w:val="en-US" w:eastAsia="zh-CN"/>
              </w:rPr>
              <w:t>浊度/NTU</w:t>
            </w:r>
          </w:p>
        </w:tc>
        <w:tc>
          <w:tcPr>
            <w:tcW w:w="396" w:type="dxa"/>
            <w:tcBorders>
              <w:top w:val="single" w:color="auto" w:sz="4" w:space="0"/>
              <w:left w:val="nil"/>
              <w:bottom w:val="single" w:color="auto" w:sz="4" w:space="0"/>
              <w:right w:val="single" w:color="auto" w:sz="4" w:space="0"/>
            </w:tcBorders>
            <w:vAlign w:val="center"/>
          </w:tcPr>
          <w:p w14:paraId="0655A4F0">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right"/>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w:t>
            </w:r>
          </w:p>
        </w:tc>
        <w:tc>
          <w:tcPr>
            <w:tcW w:w="1812" w:type="dxa"/>
            <w:tcBorders>
              <w:left w:val="single" w:color="auto" w:sz="4" w:space="0"/>
            </w:tcBorders>
            <w:vAlign w:val="center"/>
          </w:tcPr>
          <w:p w14:paraId="26DCC503">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eastAsia"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5</w:t>
            </w:r>
          </w:p>
        </w:tc>
        <w:tc>
          <w:tcPr>
            <w:tcW w:w="2204" w:type="dxa"/>
            <w:vAlign w:val="center"/>
          </w:tcPr>
          <w:p w14:paraId="427F0336">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10</w:t>
            </w:r>
          </w:p>
        </w:tc>
      </w:tr>
      <w:tr w14:paraId="45702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tcBorders>
              <w:right w:val="single" w:color="auto" w:sz="4" w:space="0"/>
            </w:tcBorders>
            <w:vAlign w:val="center"/>
          </w:tcPr>
          <w:p w14:paraId="4CBBC575">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eastAsia" w:ascii="Times New Roman" w:hAnsi="Times New Roman" w:eastAsia="宋体" w:cs="Times New Roman"/>
                <w:color w:val="auto"/>
                <w:kern w:val="0"/>
                <w:sz w:val="21"/>
                <w:szCs w:val="20"/>
                <w:highlight w:val="none"/>
                <w:lang w:val="en-US" w:eastAsia="zh-CN"/>
              </w:rPr>
            </w:pPr>
            <w:r>
              <w:rPr>
                <w:rFonts w:hint="eastAsia" w:ascii="Times New Roman" w:hAnsi="Times New Roman" w:eastAsia="宋体" w:cs="Times New Roman"/>
                <w:color w:val="auto"/>
                <w:kern w:val="0"/>
                <w:sz w:val="21"/>
                <w:szCs w:val="20"/>
                <w:highlight w:val="none"/>
                <w:lang w:val="en-US" w:eastAsia="zh-CN"/>
              </w:rPr>
              <w:t>5</w:t>
            </w:r>
          </w:p>
        </w:tc>
        <w:tc>
          <w:tcPr>
            <w:tcW w:w="3685" w:type="dxa"/>
            <w:tcBorders>
              <w:top w:val="single" w:color="auto" w:sz="4" w:space="0"/>
              <w:left w:val="single" w:color="auto" w:sz="4" w:space="0"/>
              <w:bottom w:val="single" w:color="auto" w:sz="4" w:space="0"/>
              <w:right w:val="nil"/>
            </w:tcBorders>
            <w:vAlign w:val="center"/>
          </w:tcPr>
          <w:p w14:paraId="45A9CFE9">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kern w:val="0"/>
                <w:sz w:val="21"/>
                <w:szCs w:val="20"/>
                <w:highlight w:val="none"/>
              </w:rPr>
            </w:pPr>
            <w:r>
              <w:rPr>
                <w:rFonts w:hint="eastAsia" w:ascii="Times New Roman" w:hAnsi="Times New Roman" w:eastAsia="宋体" w:cs="Times New Roman"/>
                <w:color w:val="auto"/>
                <w:kern w:val="0"/>
                <w:sz w:val="21"/>
                <w:szCs w:val="20"/>
                <w:highlight w:val="none"/>
                <w:lang w:val="en-US" w:eastAsia="zh-CN"/>
              </w:rPr>
              <w:t>五日生化需氧量（BOD</w:t>
            </w:r>
            <w:r>
              <w:rPr>
                <w:rFonts w:hint="eastAsia" w:cs="Times New Roman"/>
                <w:color w:val="auto"/>
                <w:kern w:val="0"/>
                <w:sz w:val="21"/>
                <w:szCs w:val="20"/>
                <w:highlight w:val="none"/>
                <w:vertAlign w:val="subscript"/>
                <w:lang w:val="en-US" w:eastAsia="zh-CN"/>
              </w:rPr>
              <w:t>5</w:t>
            </w:r>
            <w:r>
              <w:rPr>
                <w:rFonts w:hint="eastAsia" w:cs="Times New Roman"/>
                <w:color w:val="auto"/>
                <w:kern w:val="0"/>
                <w:sz w:val="21"/>
                <w:szCs w:val="20"/>
                <w:highlight w:val="none"/>
                <w:lang w:val="en-US" w:eastAsia="zh-CN"/>
              </w:rPr>
              <w:t>）</w:t>
            </w:r>
            <w:r>
              <w:rPr>
                <w:rFonts w:hint="eastAsia" w:ascii="Times New Roman" w:hAnsi="Times New Roman" w:eastAsia="宋体" w:cs="Times New Roman"/>
                <w:color w:val="auto"/>
                <w:kern w:val="0"/>
                <w:sz w:val="21"/>
                <w:szCs w:val="20"/>
                <w:highlight w:val="none"/>
                <w:lang w:val="en-US" w:eastAsia="zh-CN"/>
              </w:rPr>
              <w:t>/（mg/L</w:t>
            </w:r>
            <w:r>
              <w:rPr>
                <w:rFonts w:hint="eastAsia" w:cs="Times New Roman"/>
                <w:color w:val="auto"/>
                <w:kern w:val="0"/>
                <w:sz w:val="21"/>
                <w:szCs w:val="20"/>
                <w:highlight w:val="none"/>
                <w:lang w:val="en-US" w:eastAsia="zh-CN"/>
              </w:rPr>
              <w:t>）</w:t>
            </w:r>
          </w:p>
        </w:tc>
        <w:tc>
          <w:tcPr>
            <w:tcW w:w="396" w:type="dxa"/>
            <w:tcBorders>
              <w:top w:val="single" w:color="auto" w:sz="4" w:space="0"/>
              <w:left w:val="nil"/>
              <w:bottom w:val="single" w:color="auto" w:sz="4" w:space="0"/>
              <w:right w:val="single" w:color="auto" w:sz="4" w:space="0"/>
            </w:tcBorders>
            <w:vAlign w:val="center"/>
          </w:tcPr>
          <w:p w14:paraId="769BD13A">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right"/>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w:t>
            </w:r>
          </w:p>
        </w:tc>
        <w:tc>
          <w:tcPr>
            <w:tcW w:w="1812" w:type="dxa"/>
            <w:tcBorders>
              <w:left w:val="single" w:color="auto" w:sz="4" w:space="0"/>
            </w:tcBorders>
            <w:vAlign w:val="center"/>
          </w:tcPr>
          <w:p w14:paraId="571DFFA1">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10</w:t>
            </w:r>
          </w:p>
        </w:tc>
        <w:tc>
          <w:tcPr>
            <w:tcW w:w="2204" w:type="dxa"/>
            <w:vAlign w:val="center"/>
          </w:tcPr>
          <w:p w14:paraId="63F595E8">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10</w:t>
            </w:r>
          </w:p>
        </w:tc>
      </w:tr>
      <w:tr w14:paraId="1990A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tcBorders>
              <w:right w:val="single" w:color="auto" w:sz="4" w:space="0"/>
            </w:tcBorders>
            <w:vAlign w:val="center"/>
          </w:tcPr>
          <w:p w14:paraId="31F5D8E2">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eastAsia" w:ascii="Times New Roman" w:hAnsi="Times New Roman" w:eastAsia="宋体" w:cs="Times New Roman"/>
                <w:color w:val="auto"/>
                <w:kern w:val="0"/>
                <w:sz w:val="21"/>
                <w:szCs w:val="20"/>
                <w:highlight w:val="none"/>
                <w:lang w:val="en-US" w:eastAsia="zh-CN"/>
              </w:rPr>
            </w:pPr>
            <w:r>
              <w:rPr>
                <w:rFonts w:hint="eastAsia" w:ascii="Times New Roman" w:hAnsi="Times New Roman" w:eastAsia="宋体" w:cs="Times New Roman"/>
                <w:color w:val="auto"/>
                <w:kern w:val="0"/>
                <w:sz w:val="21"/>
                <w:szCs w:val="20"/>
                <w:highlight w:val="none"/>
                <w:lang w:val="en-US" w:eastAsia="zh-CN"/>
              </w:rPr>
              <w:t>6</w:t>
            </w:r>
          </w:p>
        </w:tc>
        <w:tc>
          <w:tcPr>
            <w:tcW w:w="3685" w:type="dxa"/>
            <w:tcBorders>
              <w:top w:val="single" w:color="auto" w:sz="4" w:space="0"/>
              <w:left w:val="single" w:color="auto" w:sz="4" w:space="0"/>
              <w:bottom w:val="single" w:color="auto" w:sz="4" w:space="0"/>
              <w:right w:val="nil"/>
            </w:tcBorders>
            <w:vAlign w:val="center"/>
          </w:tcPr>
          <w:p w14:paraId="28AC49CE">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kern w:val="0"/>
                <w:sz w:val="21"/>
                <w:szCs w:val="20"/>
                <w:highlight w:val="none"/>
              </w:rPr>
            </w:pPr>
            <w:r>
              <w:rPr>
                <w:rFonts w:hint="eastAsia" w:ascii="Times New Roman" w:hAnsi="Times New Roman" w:eastAsia="宋体" w:cs="Times New Roman"/>
                <w:color w:val="auto"/>
                <w:kern w:val="0"/>
                <w:sz w:val="21"/>
                <w:szCs w:val="20"/>
                <w:highlight w:val="none"/>
                <w:lang w:val="en-US" w:eastAsia="zh-CN"/>
              </w:rPr>
              <w:t>氨氮/（mg/L</w:t>
            </w:r>
            <w:r>
              <w:rPr>
                <w:rFonts w:hint="eastAsia" w:cs="Times New Roman"/>
                <w:color w:val="auto"/>
                <w:kern w:val="0"/>
                <w:sz w:val="21"/>
                <w:szCs w:val="20"/>
                <w:highlight w:val="none"/>
                <w:lang w:val="en-US" w:eastAsia="zh-CN"/>
              </w:rPr>
              <w:t>）</w:t>
            </w:r>
          </w:p>
        </w:tc>
        <w:tc>
          <w:tcPr>
            <w:tcW w:w="396" w:type="dxa"/>
            <w:tcBorders>
              <w:top w:val="single" w:color="auto" w:sz="4" w:space="0"/>
              <w:left w:val="nil"/>
              <w:bottom w:val="single" w:color="auto" w:sz="4" w:space="0"/>
              <w:right w:val="single" w:color="auto" w:sz="4" w:space="0"/>
            </w:tcBorders>
            <w:vAlign w:val="center"/>
          </w:tcPr>
          <w:p w14:paraId="52645C57">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right"/>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w:t>
            </w:r>
          </w:p>
        </w:tc>
        <w:tc>
          <w:tcPr>
            <w:tcW w:w="1812" w:type="dxa"/>
            <w:tcBorders>
              <w:left w:val="single" w:color="auto" w:sz="4" w:space="0"/>
            </w:tcBorders>
            <w:vAlign w:val="center"/>
          </w:tcPr>
          <w:p w14:paraId="074F8EB6">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eastAsia"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5</w:t>
            </w:r>
          </w:p>
        </w:tc>
        <w:tc>
          <w:tcPr>
            <w:tcW w:w="2204" w:type="dxa"/>
            <w:vAlign w:val="center"/>
          </w:tcPr>
          <w:p w14:paraId="16073F07">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eastAsia"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8</w:t>
            </w:r>
          </w:p>
        </w:tc>
      </w:tr>
      <w:tr w14:paraId="15431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tcBorders>
              <w:right w:val="single" w:color="auto" w:sz="4" w:space="0"/>
            </w:tcBorders>
            <w:vAlign w:val="center"/>
          </w:tcPr>
          <w:p w14:paraId="1C516F2C">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eastAsia" w:ascii="Times New Roman" w:hAnsi="Times New Roman" w:eastAsia="宋体" w:cs="Times New Roman"/>
                <w:color w:val="auto"/>
                <w:kern w:val="0"/>
                <w:sz w:val="21"/>
                <w:szCs w:val="20"/>
                <w:highlight w:val="none"/>
                <w:lang w:val="en-US" w:eastAsia="zh-CN"/>
              </w:rPr>
            </w:pPr>
            <w:r>
              <w:rPr>
                <w:rFonts w:hint="eastAsia" w:ascii="Times New Roman" w:hAnsi="Times New Roman" w:eastAsia="宋体" w:cs="Times New Roman"/>
                <w:color w:val="auto"/>
                <w:kern w:val="0"/>
                <w:sz w:val="21"/>
                <w:szCs w:val="20"/>
                <w:highlight w:val="none"/>
                <w:lang w:val="en-US" w:eastAsia="zh-CN"/>
              </w:rPr>
              <w:t>7</w:t>
            </w:r>
          </w:p>
        </w:tc>
        <w:tc>
          <w:tcPr>
            <w:tcW w:w="3685" w:type="dxa"/>
            <w:tcBorders>
              <w:top w:val="single" w:color="auto" w:sz="4" w:space="0"/>
              <w:left w:val="single" w:color="auto" w:sz="4" w:space="0"/>
              <w:bottom w:val="single" w:color="auto" w:sz="4" w:space="0"/>
              <w:right w:val="nil"/>
            </w:tcBorders>
            <w:vAlign w:val="center"/>
          </w:tcPr>
          <w:p w14:paraId="7E216A04">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kern w:val="0"/>
                <w:sz w:val="21"/>
                <w:szCs w:val="20"/>
                <w:highlight w:val="none"/>
              </w:rPr>
            </w:pPr>
            <w:r>
              <w:rPr>
                <w:rFonts w:hint="eastAsia" w:ascii="Times New Roman" w:hAnsi="Times New Roman" w:eastAsia="宋体" w:cs="Times New Roman"/>
                <w:color w:val="auto"/>
                <w:kern w:val="0"/>
                <w:sz w:val="21"/>
                <w:szCs w:val="20"/>
                <w:highlight w:val="none"/>
                <w:lang w:val="en-US" w:eastAsia="zh-CN"/>
              </w:rPr>
              <w:t>阴离子表面活性剂/（mg/L</w:t>
            </w:r>
            <w:r>
              <w:rPr>
                <w:rFonts w:hint="eastAsia" w:cs="Times New Roman"/>
                <w:color w:val="auto"/>
                <w:kern w:val="0"/>
                <w:sz w:val="21"/>
                <w:szCs w:val="20"/>
                <w:highlight w:val="none"/>
                <w:lang w:val="en-US" w:eastAsia="zh-CN"/>
              </w:rPr>
              <w:t>）</w:t>
            </w:r>
          </w:p>
        </w:tc>
        <w:tc>
          <w:tcPr>
            <w:tcW w:w="396" w:type="dxa"/>
            <w:tcBorders>
              <w:top w:val="single" w:color="auto" w:sz="4" w:space="0"/>
              <w:left w:val="nil"/>
              <w:bottom w:val="single" w:color="auto" w:sz="4" w:space="0"/>
              <w:right w:val="single" w:color="auto" w:sz="4" w:space="0"/>
            </w:tcBorders>
            <w:vAlign w:val="center"/>
          </w:tcPr>
          <w:p w14:paraId="1B801861">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right"/>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w:t>
            </w:r>
          </w:p>
        </w:tc>
        <w:tc>
          <w:tcPr>
            <w:tcW w:w="1812" w:type="dxa"/>
            <w:tcBorders>
              <w:left w:val="single" w:color="auto" w:sz="4" w:space="0"/>
            </w:tcBorders>
            <w:vAlign w:val="center"/>
          </w:tcPr>
          <w:p w14:paraId="3D11AB46">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0.5</w:t>
            </w:r>
          </w:p>
        </w:tc>
        <w:tc>
          <w:tcPr>
            <w:tcW w:w="2204" w:type="dxa"/>
            <w:vAlign w:val="center"/>
          </w:tcPr>
          <w:p w14:paraId="1C770351">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0.5</w:t>
            </w:r>
          </w:p>
        </w:tc>
      </w:tr>
      <w:tr w14:paraId="29FD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tcBorders>
              <w:right w:val="single" w:color="auto" w:sz="4" w:space="0"/>
            </w:tcBorders>
            <w:vAlign w:val="center"/>
          </w:tcPr>
          <w:p w14:paraId="192F2B4F">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ascii="Times New Roman" w:hAnsi="Times New Roman" w:eastAsia="宋体" w:cs="Times New Roman"/>
                <w:color w:val="auto"/>
                <w:kern w:val="0"/>
                <w:sz w:val="21"/>
                <w:szCs w:val="20"/>
                <w:highlight w:val="none"/>
                <w:lang w:val="en-US" w:eastAsia="zh-CN"/>
              </w:rPr>
              <w:t>8</w:t>
            </w:r>
          </w:p>
        </w:tc>
        <w:tc>
          <w:tcPr>
            <w:tcW w:w="3685" w:type="dxa"/>
            <w:tcBorders>
              <w:top w:val="single" w:color="auto" w:sz="4" w:space="0"/>
              <w:left w:val="single" w:color="auto" w:sz="4" w:space="0"/>
              <w:bottom w:val="single" w:color="auto" w:sz="4" w:space="0"/>
              <w:right w:val="nil"/>
            </w:tcBorders>
            <w:vAlign w:val="center"/>
          </w:tcPr>
          <w:p w14:paraId="7267E05B">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kern w:val="0"/>
                <w:sz w:val="21"/>
                <w:szCs w:val="20"/>
                <w:highlight w:val="none"/>
              </w:rPr>
            </w:pPr>
            <w:r>
              <w:rPr>
                <w:rFonts w:hint="eastAsia" w:ascii="Times New Roman" w:hAnsi="Times New Roman" w:eastAsia="宋体" w:cs="Times New Roman"/>
                <w:color w:val="auto"/>
                <w:kern w:val="0"/>
                <w:sz w:val="21"/>
                <w:szCs w:val="20"/>
                <w:highlight w:val="none"/>
                <w:lang w:val="en-US" w:eastAsia="zh-CN"/>
              </w:rPr>
              <w:t>铁/（mg/L</w:t>
            </w:r>
            <w:r>
              <w:rPr>
                <w:rFonts w:hint="eastAsia" w:cs="Times New Roman"/>
                <w:color w:val="auto"/>
                <w:kern w:val="0"/>
                <w:sz w:val="21"/>
                <w:szCs w:val="20"/>
                <w:highlight w:val="none"/>
                <w:lang w:val="en-US" w:eastAsia="zh-CN"/>
              </w:rPr>
              <w:t>）</w:t>
            </w:r>
          </w:p>
        </w:tc>
        <w:tc>
          <w:tcPr>
            <w:tcW w:w="396" w:type="dxa"/>
            <w:tcBorders>
              <w:top w:val="single" w:color="auto" w:sz="4" w:space="0"/>
              <w:left w:val="nil"/>
              <w:bottom w:val="single" w:color="auto" w:sz="4" w:space="0"/>
              <w:right w:val="single" w:color="auto" w:sz="4" w:space="0"/>
            </w:tcBorders>
            <w:vAlign w:val="center"/>
          </w:tcPr>
          <w:p w14:paraId="740349FE">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right"/>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w:t>
            </w:r>
          </w:p>
        </w:tc>
        <w:tc>
          <w:tcPr>
            <w:tcW w:w="1812" w:type="dxa"/>
            <w:tcBorders>
              <w:left w:val="single" w:color="auto" w:sz="4" w:space="0"/>
            </w:tcBorders>
            <w:vAlign w:val="center"/>
          </w:tcPr>
          <w:p w14:paraId="43547211">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0.3</w:t>
            </w:r>
          </w:p>
        </w:tc>
        <w:tc>
          <w:tcPr>
            <w:tcW w:w="2204" w:type="dxa"/>
            <w:vAlign w:val="center"/>
          </w:tcPr>
          <w:p w14:paraId="286DFB2C">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eastAsia"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w:t>
            </w:r>
          </w:p>
        </w:tc>
      </w:tr>
      <w:tr w14:paraId="6DAC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tcBorders>
              <w:right w:val="single" w:color="auto" w:sz="4" w:space="0"/>
            </w:tcBorders>
            <w:vAlign w:val="center"/>
          </w:tcPr>
          <w:p w14:paraId="37756C9D">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ascii="Times New Roman" w:hAnsi="Times New Roman" w:eastAsia="宋体" w:cs="Times New Roman"/>
                <w:color w:val="auto"/>
                <w:kern w:val="0"/>
                <w:sz w:val="21"/>
                <w:szCs w:val="20"/>
                <w:highlight w:val="none"/>
                <w:lang w:val="en-US" w:eastAsia="zh-CN"/>
              </w:rPr>
              <w:t>9</w:t>
            </w:r>
          </w:p>
        </w:tc>
        <w:tc>
          <w:tcPr>
            <w:tcW w:w="3685" w:type="dxa"/>
            <w:tcBorders>
              <w:top w:val="single" w:color="auto" w:sz="4" w:space="0"/>
              <w:left w:val="single" w:color="auto" w:sz="4" w:space="0"/>
              <w:bottom w:val="single" w:color="auto" w:sz="4" w:space="0"/>
              <w:right w:val="nil"/>
            </w:tcBorders>
            <w:vAlign w:val="center"/>
          </w:tcPr>
          <w:p w14:paraId="2DEF33D9">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kern w:val="0"/>
                <w:sz w:val="21"/>
                <w:szCs w:val="20"/>
                <w:highlight w:val="none"/>
              </w:rPr>
            </w:pPr>
            <w:r>
              <w:rPr>
                <w:rFonts w:hint="eastAsia" w:ascii="Times New Roman" w:hAnsi="Times New Roman" w:eastAsia="宋体" w:cs="Times New Roman"/>
                <w:color w:val="auto"/>
                <w:kern w:val="0"/>
                <w:sz w:val="21"/>
                <w:szCs w:val="20"/>
                <w:highlight w:val="none"/>
                <w:lang w:val="en-US" w:eastAsia="zh-CN"/>
              </w:rPr>
              <w:t>锰/</w:t>
            </w:r>
            <w:r>
              <w:rPr>
                <w:rFonts w:hint="eastAsia" w:cs="Times New Roman"/>
                <w:color w:val="auto"/>
                <w:kern w:val="0"/>
                <w:sz w:val="21"/>
                <w:szCs w:val="20"/>
                <w:highlight w:val="none"/>
                <w:lang w:val="en-US" w:eastAsia="zh-CN"/>
              </w:rPr>
              <w:t>（</w:t>
            </w:r>
            <w:r>
              <w:rPr>
                <w:rFonts w:hint="eastAsia" w:ascii="Times New Roman" w:hAnsi="Times New Roman" w:eastAsia="宋体" w:cs="Times New Roman"/>
                <w:color w:val="auto"/>
                <w:kern w:val="0"/>
                <w:sz w:val="21"/>
                <w:szCs w:val="20"/>
                <w:highlight w:val="none"/>
                <w:lang w:val="en-US" w:eastAsia="zh-CN"/>
              </w:rPr>
              <w:t>mg/L</w:t>
            </w:r>
            <w:r>
              <w:rPr>
                <w:rFonts w:hint="eastAsia" w:cs="Times New Roman"/>
                <w:color w:val="auto"/>
                <w:kern w:val="0"/>
                <w:sz w:val="21"/>
                <w:szCs w:val="20"/>
                <w:highlight w:val="none"/>
                <w:lang w:val="en-US" w:eastAsia="zh-CN"/>
              </w:rPr>
              <w:t>）</w:t>
            </w:r>
          </w:p>
        </w:tc>
        <w:tc>
          <w:tcPr>
            <w:tcW w:w="396" w:type="dxa"/>
            <w:tcBorders>
              <w:top w:val="single" w:color="auto" w:sz="4" w:space="0"/>
              <w:left w:val="nil"/>
              <w:bottom w:val="single" w:color="auto" w:sz="4" w:space="0"/>
              <w:right w:val="single" w:color="auto" w:sz="4" w:space="0"/>
            </w:tcBorders>
            <w:vAlign w:val="center"/>
          </w:tcPr>
          <w:p w14:paraId="757B2CFB">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right"/>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w:t>
            </w:r>
          </w:p>
        </w:tc>
        <w:tc>
          <w:tcPr>
            <w:tcW w:w="1812" w:type="dxa"/>
            <w:tcBorders>
              <w:left w:val="single" w:color="auto" w:sz="4" w:space="0"/>
            </w:tcBorders>
            <w:vAlign w:val="center"/>
          </w:tcPr>
          <w:p w14:paraId="79EDFAF5">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0.1</w:t>
            </w:r>
          </w:p>
        </w:tc>
        <w:tc>
          <w:tcPr>
            <w:tcW w:w="2204" w:type="dxa"/>
            <w:vAlign w:val="center"/>
          </w:tcPr>
          <w:p w14:paraId="717EC406">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eastAsia"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w:t>
            </w:r>
          </w:p>
        </w:tc>
      </w:tr>
      <w:tr w14:paraId="4CAB6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tcBorders>
              <w:right w:val="single" w:color="auto" w:sz="4" w:space="0"/>
            </w:tcBorders>
            <w:vAlign w:val="center"/>
          </w:tcPr>
          <w:p w14:paraId="77962ED4">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ascii="Times New Roman" w:hAnsi="Times New Roman" w:eastAsia="宋体" w:cs="Times New Roman"/>
                <w:color w:val="auto"/>
                <w:kern w:val="0"/>
                <w:sz w:val="21"/>
                <w:szCs w:val="20"/>
                <w:highlight w:val="none"/>
                <w:lang w:val="en-US" w:eastAsia="zh-CN"/>
              </w:rPr>
              <w:t>10</w:t>
            </w:r>
          </w:p>
        </w:tc>
        <w:tc>
          <w:tcPr>
            <w:tcW w:w="3685" w:type="dxa"/>
            <w:tcBorders>
              <w:top w:val="single" w:color="auto" w:sz="4" w:space="0"/>
              <w:left w:val="single" w:color="auto" w:sz="4" w:space="0"/>
              <w:bottom w:val="single" w:color="auto" w:sz="4" w:space="0"/>
              <w:right w:val="nil"/>
            </w:tcBorders>
            <w:vAlign w:val="center"/>
          </w:tcPr>
          <w:p w14:paraId="61E5CBCE">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kern w:val="0"/>
                <w:sz w:val="21"/>
                <w:szCs w:val="20"/>
                <w:highlight w:val="none"/>
              </w:rPr>
            </w:pPr>
            <w:r>
              <w:rPr>
                <w:rFonts w:hint="eastAsia" w:ascii="Times New Roman" w:hAnsi="Times New Roman" w:eastAsia="宋体" w:cs="Times New Roman"/>
                <w:color w:val="auto"/>
                <w:kern w:val="0"/>
                <w:sz w:val="21"/>
                <w:szCs w:val="20"/>
                <w:highlight w:val="none"/>
                <w:lang w:val="en-US" w:eastAsia="zh-CN"/>
              </w:rPr>
              <w:t>溶解性总固体/</w:t>
            </w:r>
            <w:r>
              <w:rPr>
                <w:rFonts w:hint="eastAsia" w:cs="Times New Roman"/>
                <w:color w:val="auto"/>
                <w:kern w:val="0"/>
                <w:sz w:val="21"/>
                <w:szCs w:val="20"/>
                <w:highlight w:val="none"/>
                <w:lang w:val="en-US" w:eastAsia="zh-CN"/>
              </w:rPr>
              <w:t>（</w:t>
            </w:r>
            <w:r>
              <w:rPr>
                <w:rFonts w:hint="eastAsia" w:ascii="Times New Roman" w:hAnsi="Times New Roman" w:eastAsia="宋体" w:cs="Times New Roman"/>
                <w:color w:val="auto"/>
                <w:kern w:val="0"/>
                <w:sz w:val="21"/>
                <w:szCs w:val="20"/>
                <w:highlight w:val="none"/>
                <w:lang w:val="en-US" w:eastAsia="zh-CN"/>
              </w:rPr>
              <w:t>mg/L</w:t>
            </w:r>
            <w:r>
              <w:rPr>
                <w:rFonts w:hint="eastAsia" w:cs="Times New Roman"/>
                <w:color w:val="auto"/>
                <w:kern w:val="0"/>
                <w:sz w:val="21"/>
                <w:szCs w:val="20"/>
                <w:highlight w:val="none"/>
                <w:lang w:val="en-US" w:eastAsia="zh-CN"/>
              </w:rPr>
              <w:t>）</w:t>
            </w:r>
          </w:p>
        </w:tc>
        <w:tc>
          <w:tcPr>
            <w:tcW w:w="396" w:type="dxa"/>
            <w:tcBorders>
              <w:top w:val="single" w:color="auto" w:sz="4" w:space="0"/>
              <w:left w:val="nil"/>
              <w:bottom w:val="single" w:color="auto" w:sz="4" w:space="0"/>
              <w:right w:val="single" w:color="auto" w:sz="4" w:space="0"/>
            </w:tcBorders>
            <w:vAlign w:val="center"/>
          </w:tcPr>
          <w:p w14:paraId="3DA141FD">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right"/>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w:t>
            </w:r>
          </w:p>
        </w:tc>
        <w:tc>
          <w:tcPr>
            <w:tcW w:w="1812" w:type="dxa"/>
            <w:tcBorders>
              <w:left w:val="single" w:color="auto" w:sz="4" w:space="0"/>
            </w:tcBorders>
            <w:vAlign w:val="center"/>
          </w:tcPr>
          <w:p w14:paraId="3CA19C14">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1000（2000)</w:t>
            </w:r>
            <w:r>
              <w:rPr>
                <w:rFonts w:hint="eastAsia" w:cs="Times New Roman"/>
                <w:color w:val="auto"/>
                <w:kern w:val="0"/>
                <w:sz w:val="21"/>
                <w:szCs w:val="20"/>
                <w:highlight w:val="none"/>
                <w:vertAlign w:val="superscript"/>
                <w:lang w:val="en-US" w:eastAsia="zh-CN"/>
              </w:rPr>
              <w:t>a</w:t>
            </w:r>
          </w:p>
        </w:tc>
        <w:tc>
          <w:tcPr>
            <w:tcW w:w="2204" w:type="dxa"/>
            <w:vAlign w:val="center"/>
          </w:tcPr>
          <w:p w14:paraId="7D87F3FD">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1000（2000</w:t>
            </w:r>
            <w:r>
              <w:rPr>
                <w:rFonts w:hint="eastAsia" w:cs="Times New Roman"/>
                <w:color w:val="auto"/>
                <w:kern w:val="0"/>
                <w:sz w:val="21"/>
                <w:szCs w:val="20"/>
                <w:highlight w:val="none"/>
                <w:lang w:eastAsia="zh-CN"/>
              </w:rPr>
              <w:t>)</w:t>
            </w:r>
            <w:r>
              <w:rPr>
                <w:rFonts w:hint="eastAsia" w:cs="Times New Roman"/>
                <w:color w:val="auto"/>
                <w:kern w:val="0"/>
                <w:sz w:val="21"/>
                <w:szCs w:val="20"/>
                <w:highlight w:val="none"/>
                <w:vertAlign w:val="superscript"/>
                <w:lang w:val="en-US" w:eastAsia="zh-CN"/>
              </w:rPr>
              <w:t>a</w:t>
            </w:r>
          </w:p>
        </w:tc>
      </w:tr>
      <w:tr w14:paraId="3088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tcBorders>
              <w:right w:val="single" w:color="auto" w:sz="4" w:space="0"/>
            </w:tcBorders>
            <w:vAlign w:val="center"/>
          </w:tcPr>
          <w:p w14:paraId="0649019F">
            <w:pPr>
              <w:keepNext w:val="0"/>
              <w:keepLines w:val="0"/>
              <w:suppressLineNumbers w:val="0"/>
              <w:kinsoku w:val="0"/>
              <w:overflowPunct w:val="0"/>
              <w:autoSpaceDE w:val="0"/>
              <w:autoSpaceDN w:val="0"/>
              <w:adjustRightInd w:val="0"/>
              <w:spacing w:before="0" w:beforeAutospacing="0" w:after="0" w:afterAutospacing="0" w:line="274" w:lineRule="exact"/>
              <w:ind w:left="170" w:right="0" w:firstLine="0"/>
              <w:jc w:val="both"/>
              <w:rPr>
                <w:rFonts w:hint="default" w:ascii="Times New Roman" w:hAnsi="Times New Roman" w:eastAsia="宋体" w:cs="Times New Roman"/>
                <w:color w:val="auto"/>
                <w:kern w:val="0"/>
                <w:sz w:val="21"/>
                <w:szCs w:val="20"/>
                <w:highlight w:val="none"/>
                <w:lang w:val="en-US" w:eastAsia="zh-CN"/>
              </w:rPr>
            </w:pPr>
            <w:r>
              <w:rPr>
                <w:rFonts w:hint="eastAsia" w:ascii="Times New Roman" w:hAnsi="Times New Roman" w:eastAsia="宋体" w:cs="Times New Roman"/>
                <w:color w:val="auto"/>
                <w:kern w:val="0"/>
                <w:sz w:val="21"/>
                <w:szCs w:val="20"/>
                <w:highlight w:val="none"/>
                <w:lang w:val="en-US" w:eastAsia="zh-CN"/>
              </w:rPr>
              <w:t>11</w:t>
            </w:r>
          </w:p>
        </w:tc>
        <w:tc>
          <w:tcPr>
            <w:tcW w:w="3685" w:type="dxa"/>
            <w:tcBorders>
              <w:top w:val="single" w:color="auto" w:sz="4" w:space="0"/>
              <w:left w:val="single" w:color="auto" w:sz="4" w:space="0"/>
              <w:bottom w:val="single" w:color="auto" w:sz="4" w:space="0"/>
              <w:right w:val="nil"/>
            </w:tcBorders>
            <w:vAlign w:val="center"/>
          </w:tcPr>
          <w:p w14:paraId="6A368CE2">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kern w:val="0"/>
                <w:sz w:val="21"/>
                <w:szCs w:val="20"/>
                <w:highlight w:val="none"/>
              </w:rPr>
            </w:pPr>
            <w:r>
              <w:rPr>
                <w:rFonts w:hint="eastAsia" w:ascii="Times New Roman" w:hAnsi="Times New Roman" w:eastAsia="宋体" w:cs="Times New Roman"/>
                <w:color w:val="auto"/>
                <w:kern w:val="0"/>
                <w:sz w:val="21"/>
                <w:szCs w:val="20"/>
                <w:highlight w:val="none"/>
                <w:lang w:val="en-US" w:eastAsia="zh-CN"/>
              </w:rPr>
              <w:t>溶解氧/</w:t>
            </w:r>
            <w:r>
              <w:rPr>
                <w:rFonts w:hint="eastAsia" w:cs="Times New Roman"/>
                <w:color w:val="auto"/>
                <w:kern w:val="0"/>
                <w:sz w:val="21"/>
                <w:szCs w:val="20"/>
                <w:highlight w:val="none"/>
                <w:lang w:val="en-US" w:eastAsia="zh-CN"/>
              </w:rPr>
              <w:t>（</w:t>
            </w:r>
            <w:r>
              <w:rPr>
                <w:rFonts w:hint="eastAsia" w:ascii="Times New Roman" w:hAnsi="Times New Roman" w:eastAsia="宋体" w:cs="Times New Roman"/>
                <w:color w:val="auto"/>
                <w:kern w:val="0"/>
                <w:sz w:val="21"/>
                <w:szCs w:val="20"/>
                <w:highlight w:val="none"/>
                <w:lang w:val="en-US" w:eastAsia="zh-CN"/>
              </w:rPr>
              <w:t>mg/L</w:t>
            </w:r>
            <w:r>
              <w:rPr>
                <w:rFonts w:hint="eastAsia" w:cs="Times New Roman"/>
                <w:color w:val="auto"/>
                <w:kern w:val="0"/>
                <w:sz w:val="21"/>
                <w:szCs w:val="20"/>
                <w:highlight w:val="none"/>
                <w:lang w:val="en-US" w:eastAsia="zh-CN"/>
              </w:rPr>
              <w:t>）</w:t>
            </w:r>
          </w:p>
        </w:tc>
        <w:tc>
          <w:tcPr>
            <w:tcW w:w="396" w:type="dxa"/>
            <w:tcBorders>
              <w:top w:val="single" w:color="auto" w:sz="4" w:space="0"/>
              <w:left w:val="nil"/>
              <w:bottom w:val="single" w:color="auto" w:sz="4" w:space="0"/>
              <w:right w:val="single" w:color="auto" w:sz="4" w:space="0"/>
            </w:tcBorders>
            <w:vAlign w:val="center"/>
          </w:tcPr>
          <w:p w14:paraId="7BEFE439">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right"/>
              <w:rPr>
                <w:rFonts w:hint="eastAsia" w:ascii="宋体" w:hAnsi="宋体" w:eastAsia="宋体" w:cs="宋体"/>
                <w:color w:val="auto"/>
                <w:kern w:val="0"/>
                <w:sz w:val="21"/>
                <w:szCs w:val="20"/>
                <w:highlight w:val="none"/>
                <w:lang w:val="en-US" w:eastAsia="zh-CN"/>
              </w:rPr>
            </w:pPr>
            <w:r>
              <w:rPr>
                <w:rFonts w:hint="eastAsia" w:ascii="宋体" w:hAnsi="宋体" w:eastAsia="宋体" w:cs="宋体"/>
                <w:color w:val="auto"/>
                <w:kern w:val="0"/>
                <w:sz w:val="21"/>
                <w:szCs w:val="20"/>
                <w:highlight w:val="none"/>
                <w:lang w:val="en-US" w:eastAsia="zh-CN"/>
              </w:rPr>
              <w:t>≥</w:t>
            </w:r>
          </w:p>
        </w:tc>
        <w:tc>
          <w:tcPr>
            <w:tcW w:w="1812" w:type="dxa"/>
            <w:tcBorders>
              <w:left w:val="single" w:color="auto" w:sz="4" w:space="0"/>
            </w:tcBorders>
            <w:vAlign w:val="center"/>
          </w:tcPr>
          <w:p w14:paraId="5A084DC7">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2.0</w:t>
            </w:r>
          </w:p>
        </w:tc>
        <w:tc>
          <w:tcPr>
            <w:tcW w:w="2204" w:type="dxa"/>
            <w:vAlign w:val="center"/>
          </w:tcPr>
          <w:p w14:paraId="2F866C37">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2.0</w:t>
            </w:r>
          </w:p>
        </w:tc>
      </w:tr>
      <w:tr w14:paraId="1DEE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tcBorders>
              <w:right w:val="single" w:color="auto" w:sz="4" w:space="0"/>
            </w:tcBorders>
            <w:vAlign w:val="center"/>
          </w:tcPr>
          <w:p w14:paraId="61B7314D">
            <w:pPr>
              <w:keepNext w:val="0"/>
              <w:keepLines w:val="0"/>
              <w:suppressLineNumbers w:val="0"/>
              <w:kinsoku w:val="0"/>
              <w:overflowPunct w:val="0"/>
              <w:autoSpaceDE w:val="0"/>
              <w:autoSpaceDN w:val="0"/>
              <w:adjustRightInd w:val="0"/>
              <w:spacing w:before="0" w:beforeAutospacing="0" w:after="0" w:afterAutospacing="0" w:line="274" w:lineRule="exact"/>
              <w:ind w:left="103" w:right="0" w:firstLine="0"/>
              <w:jc w:val="center"/>
              <w:rPr>
                <w:rFonts w:hint="default"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12</w:t>
            </w:r>
          </w:p>
        </w:tc>
        <w:tc>
          <w:tcPr>
            <w:tcW w:w="3685" w:type="dxa"/>
            <w:tcBorders>
              <w:top w:val="single" w:color="auto" w:sz="4" w:space="0"/>
              <w:left w:val="single" w:color="auto" w:sz="4" w:space="0"/>
              <w:bottom w:val="single" w:color="auto" w:sz="4" w:space="0"/>
              <w:right w:val="nil"/>
            </w:tcBorders>
            <w:vAlign w:val="center"/>
          </w:tcPr>
          <w:p w14:paraId="319CAC0F">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kern w:val="0"/>
                <w:sz w:val="21"/>
                <w:szCs w:val="20"/>
                <w:highlight w:val="none"/>
                <w:lang w:eastAsia="zh-CN"/>
              </w:rPr>
            </w:pPr>
            <w:r>
              <w:rPr>
                <w:rFonts w:hint="default" w:ascii="Times New Roman" w:hAnsi="Times New Roman" w:eastAsia="宋体" w:cs="Times New Roman"/>
                <w:color w:val="auto"/>
                <w:kern w:val="0"/>
                <w:sz w:val="21"/>
                <w:szCs w:val="20"/>
                <w:highlight w:val="none"/>
              </w:rPr>
              <w:t>总</w:t>
            </w:r>
            <w:r>
              <w:rPr>
                <w:rFonts w:hint="eastAsia" w:cs="Times New Roman"/>
                <w:color w:val="auto"/>
                <w:kern w:val="0"/>
                <w:sz w:val="21"/>
                <w:szCs w:val="20"/>
                <w:highlight w:val="none"/>
                <w:lang w:eastAsia="zh-CN"/>
              </w:rPr>
              <w:t>氯</w:t>
            </w:r>
            <w:r>
              <w:rPr>
                <w:rFonts w:hint="default" w:ascii="Times New Roman" w:hAnsi="Times New Roman" w:eastAsia="宋体" w:cs="Times New Roman"/>
                <w:color w:val="auto"/>
                <w:kern w:val="0"/>
                <w:sz w:val="21"/>
                <w:szCs w:val="20"/>
                <w:highlight w:val="none"/>
              </w:rPr>
              <w:t>/</w:t>
            </w:r>
            <w:r>
              <w:rPr>
                <w:rFonts w:hint="eastAsia" w:cs="Times New Roman"/>
                <w:color w:val="auto"/>
                <w:kern w:val="0"/>
                <w:sz w:val="21"/>
                <w:szCs w:val="20"/>
                <w:highlight w:val="none"/>
                <w:lang w:eastAsia="zh-CN"/>
              </w:rPr>
              <w:t>（</w:t>
            </w:r>
            <w:r>
              <w:rPr>
                <w:rFonts w:hint="default" w:ascii="Times New Roman" w:hAnsi="Times New Roman" w:eastAsia="宋体" w:cs="Times New Roman"/>
                <w:color w:val="auto"/>
                <w:kern w:val="0"/>
                <w:sz w:val="21"/>
                <w:szCs w:val="20"/>
                <w:highlight w:val="none"/>
              </w:rPr>
              <w:t>mg/L</w:t>
            </w:r>
            <w:r>
              <w:rPr>
                <w:rFonts w:hint="eastAsia" w:cs="Times New Roman"/>
                <w:color w:val="auto"/>
                <w:kern w:val="0"/>
                <w:sz w:val="21"/>
                <w:szCs w:val="20"/>
                <w:highlight w:val="none"/>
                <w:lang w:eastAsia="zh-CN"/>
              </w:rPr>
              <w:t>）</w:t>
            </w:r>
          </w:p>
        </w:tc>
        <w:tc>
          <w:tcPr>
            <w:tcW w:w="396" w:type="dxa"/>
            <w:tcBorders>
              <w:top w:val="single" w:color="auto" w:sz="4" w:space="0"/>
              <w:left w:val="nil"/>
              <w:bottom w:val="single" w:color="auto" w:sz="4" w:space="0"/>
              <w:right w:val="single" w:color="auto" w:sz="4" w:space="0"/>
            </w:tcBorders>
            <w:vAlign w:val="center"/>
          </w:tcPr>
          <w:p w14:paraId="7934428E">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right"/>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w:t>
            </w:r>
          </w:p>
        </w:tc>
        <w:tc>
          <w:tcPr>
            <w:tcW w:w="1812" w:type="dxa"/>
            <w:tcBorders>
              <w:left w:val="single" w:color="auto" w:sz="4" w:space="0"/>
            </w:tcBorders>
            <w:vAlign w:val="center"/>
          </w:tcPr>
          <w:p w14:paraId="2FB2967F">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1.0（出厂），0.2（管网末端）</w:t>
            </w:r>
          </w:p>
        </w:tc>
        <w:tc>
          <w:tcPr>
            <w:tcW w:w="2204" w:type="dxa"/>
            <w:vAlign w:val="center"/>
          </w:tcPr>
          <w:p w14:paraId="7EDDCA7A">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1.0（出厂），0.2</w:t>
            </w:r>
            <w:r>
              <w:rPr>
                <w:rFonts w:hint="eastAsia" w:cs="Times New Roman"/>
                <w:color w:val="auto"/>
                <w:kern w:val="0"/>
                <w:sz w:val="21"/>
                <w:szCs w:val="20"/>
                <w:highlight w:val="none"/>
                <w:vertAlign w:val="superscript"/>
                <w:lang w:val="en-US" w:eastAsia="zh-CN"/>
              </w:rPr>
              <w:t>b</w:t>
            </w:r>
            <w:r>
              <w:rPr>
                <w:rFonts w:hint="default" w:ascii="Times New Roman" w:hAnsi="Times New Roman" w:eastAsia="宋体" w:cs="Times New Roman"/>
                <w:color w:val="auto"/>
                <w:kern w:val="0"/>
                <w:sz w:val="21"/>
                <w:szCs w:val="20"/>
                <w:highlight w:val="none"/>
              </w:rPr>
              <w:t>（管网末端）</w:t>
            </w:r>
          </w:p>
        </w:tc>
      </w:tr>
      <w:tr w14:paraId="1966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tcBorders>
              <w:right w:val="single" w:color="auto" w:sz="4" w:space="0"/>
            </w:tcBorders>
            <w:vAlign w:val="center"/>
          </w:tcPr>
          <w:p w14:paraId="5F693BC7">
            <w:pPr>
              <w:keepNext w:val="0"/>
              <w:keepLines w:val="0"/>
              <w:suppressLineNumbers w:val="0"/>
              <w:kinsoku w:val="0"/>
              <w:overflowPunct w:val="0"/>
              <w:autoSpaceDE w:val="0"/>
              <w:autoSpaceDN w:val="0"/>
              <w:adjustRightInd w:val="0"/>
              <w:spacing w:before="0" w:beforeAutospacing="0" w:after="0" w:afterAutospacing="0" w:line="274" w:lineRule="exact"/>
              <w:ind w:left="103" w:right="0" w:firstLine="0"/>
              <w:jc w:val="center"/>
              <w:rPr>
                <w:rFonts w:hint="default"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13</w:t>
            </w:r>
          </w:p>
        </w:tc>
        <w:tc>
          <w:tcPr>
            <w:tcW w:w="4081" w:type="dxa"/>
            <w:gridSpan w:val="2"/>
            <w:tcBorders>
              <w:top w:val="single" w:color="auto" w:sz="4" w:space="0"/>
              <w:left w:val="single" w:color="auto" w:sz="4" w:space="0"/>
              <w:bottom w:val="single" w:color="auto" w:sz="4" w:space="0"/>
              <w:right w:val="single" w:color="auto" w:sz="4" w:space="0"/>
            </w:tcBorders>
            <w:vAlign w:val="center"/>
          </w:tcPr>
          <w:p w14:paraId="60CD8A6D">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both"/>
              <w:rPr>
                <w:rFonts w:hint="eastAsia" w:ascii="Times New Roman" w:hAnsi="Times New Roman" w:eastAsia="宋体" w:cs="Times New Roman"/>
                <w:color w:val="auto"/>
                <w:kern w:val="0"/>
                <w:sz w:val="21"/>
                <w:szCs w:val="20"/>
                <w:highlight w:val="none"/>
                <w:lang w:eastAsia="zh-CN"/>
              </w:rPr>
            </w:pPr>
            <w:r>
              <w:rPr>
                <w:rFonts w:hint="default" w:ascii="Times New Roman" w:hAnsi="Times New Roman" w:eastAsia="宋体" w:cs="Times New Roman"/>
                <w:color w:val="auto"/>
                <w:kern w:val="0"/>
                <w:sz w:val="21"/>
                <w:szCs w:val="20"/>
                <w:highlight w:val="none"/>
              </w:rPr>
              <w:t>大肠埃希氏菌/</w:t>
            </w:r>
            <w:r>
              <w:rPr>
                <w:rFonts w:hint="eastAsia" w:cs="Times New Roman"/>
                <w:color w:val="auto"/>
                <w:kern w:val="0"/>
                <w:sz w:val="21"/>
                <w:szCs w:val="20"/>
                <w:highlight w:val="none"/>
                <w:lang w:eastAsia="zh-CN"/>
              </w:rPr>
              <w:t>（</w:t>
            </w:r>
            <w:r>
              <w:rPr>
                <w:rFonts w:hint="default" w:ascii="Times New Roman" w:hAnsi="Times New Roman" w:eastAsia="宋体" w:cs="Times New Roman"/>
                <w:color w:val="auto"/>
                <w:kern w:val="0"/>
                <w:sz w:val="21"/>
                <w:szCs w:val="20"/>
                <w:highlight w:val="none"/>
              </w:rPr>
              <w:t>MPN/100mL或CFU/100mL</w:t>
            </w:r>
            <w:r>
              <w:rPr>
                <w:rFonts w:hint="eastAsia" w:cs="Times New Roman"/>
                <w:color w:val="auto"/>
                <w:kern w:val="0"/>
                <w:sz w:val="21"/>
                <w:szCs w:val="20"/>
                <w:highlight w:val="none"/>
                <w:lang w:eastAsia="zh-CN"/>
              </w:rPr>
              <w:t>）</w:t>
            </w:r>
          </w:p>
        </w:tc>
        <w:tc>
          <w:tcPr>
            <w:tcW w:w="1812" w:type="dxa"/>
            <w:tcBorders>
              <w:left w:val="single" w:color="auto" w:sz="4" w:space="0"/>
            </w:tcBorders>
            <w:vAlign w:val="center"/>
          </w:tcPr>
          <w:p w14:paraId="3B37CBF7">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无</w:t>
            </w:r>
            <w:r>
              <w:rPr>
                <w:rFonts w:hint="eastAsia" w:cs="Times New Roman"/>
                <w:color w:val="auto"/>
                <w:kern w:val="0"/>
                <w:sz w:val="21"/>
                <w:szCs w:val="20"/>
                <w:highlight w:val="none"/>
                <w:vertAlign w:val="superscript"/>
                <w:lang w:val="en-US" w:eastAsia="zh-CN"/>
              </w:rPr>
              <w:t>c</w:t>
            </w:r>
          </w:p>
        </w:tc>
        <w:tc>
          <w:tcPr>
            <w:tcW w:w="2204" w:type="dxa"/>
            <w:vAlign w:val="center"/>
          </w:tcPr>
          <w:p w14:paraId="7EB632CB">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center"/>
              <w:rPr>
                <w:rFonts w:hint="eastAsia"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无</w:t>
            </w:r>
            <w:r>
              <w:rPr>
                <w:rFonts w:hint="eastAsia" w:cs="Times New Roman"/>
                <w:color w:val="auto"/>
                <w:kern w:val="0"/>
                <w:sz w:val="21"/>
                <w:szCs w:val="20"/>
                <w:highlight w:val="none"/>
                <w:vertAlign w:val="superscript"/>
                <w:lang w:val="en-US" w:eastAsia="zh-CN"/>
              </w:rPr>
              <w:t>c</w:t>
            </w:r>
          </w:p>
        </w:tc>
      </w:tr>
      <w:tr w14:paraId="5056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34" w:type="dxa"/>
            <w:gridSpan w:val="5"/>
            <w:vAlign w:val="center"/>
          </w:tcPr>
          <w:p w14:paraId="485F9EE0">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both"/>
              <w:rPr>
                <w:rFonts w:hint="default"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注：“-”表示对此项无要求</w:t>
            </w:r>
          </w:p>
        </w:tc>
      </w:tr>
      <w:tr w14:paraId="3E29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34" w:type="dxa"/>
            <w:gridSpan w:val="5"/>
            <w:vAlign w:val="center"/>
          </w:tcPr>
          <w:p w14:paraId="64861F6A">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both"/>
              <w:rPr>
                <w:rFonts w:hint="eastAsia"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a.括号内指标值为沿海及本地水源中溶解性固体含量较高的区域的指标。</w:t>
            </w:r>
          </w:p>
          <w:p w14:paraId="311113C1">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both"/>
              <w:rPr>
                <w:rFonts w:hint="eastAsia"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b.用于城市绿化时，不应超过2.5mg/L。</w:t>
            </w:r>
          </w:p>
          <w:p w14:paraId="7CBB47C0">
            <w:pPr>
              <w:keepNext w:val="0"/>
              <w:keepLines w:val="0"/>
              <w:suppressLineNumbers w:val="0"/>
              <w:kinsoku w:val="0"/>
              <w:overflowPunct w:val="0"/>
              <w:autoSpaceDE w:val="0"/>
              <w:autoSpaceDN w:val="0"/>
              <w:adjustRightInd w:val="0"/>
              <w:spacing w:before="0" w:beforeAutospacing="0" w:after="0" w:afterAutospacing="0" w:line="274" w:lineRule="exact"/>
              <w:ind w:left="0" w:leftChars="0" w:right="0" w:rightChars="0" w:firstLine="0" w:firstLineChars="0"/>
              <w:jc w:val="both"/>
              <w:rPr>
                <w:rFonts w:hint="default"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c.大肠埃希氏菌不应检出。</w:t>
            </w:r>
          </w:p>
        </w:tc>
      </w:tr>
    </w:tbl>
    <w:p w14:paraId="050A890E">
      <w:pPr>
        <w:keepNext w:val="0"/>
        <w:keepLines w:val="0"/>
        <w:pageBreakBefore w:val="0"/>
        <w:widowControl/>
        <w:kinsoku/>
        <w:wordWrap/>
        <w:overflowPunct/>
        <w:topLinePunct w:val="0"/>
        <w:autoSpaceDE/>
        <w:autoSpaceDN/>
        <w:bidi w:val="0"/>
        <w:adjustRightInd/>
        <w:snapToGrid/>
        <w:ind w:firstLine="482"/>
        <w:jc w:val="left"/>
        <w:textAlignment w:val="auto"/>
        <w:outlineLvl w:val="5"/>
        <w:rPr>
          <w:rFonts w:ascii="Times New Roman" w:hAnsi="Times New Roman" w:eastAsia="宋体" w:cs="Times New Roman"/>
          <w:b/>
          <w:bCs/>
          <w:color w:val="auto"/>
          <w:szCs w:val="21"/>
          <w:highlight w:val="none"/>
        </w:rPr>
      </w:pPr>
      <w:r>
        <w:rPr>
          <w:rFonts w:hint="eastAsia" w:ascii="宋体" w:hAnsi="宋体" w:eastAsia="宋体" w:cs="宋体"/>
          <w:b/>
          <w:bCs/>
          <w:color w:val="auto"/>
          <w:szCs w:val="21"/>
          <w:highlight w:val="none"/>
          <w:lang w:val="en-US" w:eastAsia="zh-CN"/>
        </w:rPr>
        <w:t>4）</w:t>
      </w:r>
      <w:r>
        <w:rPr>
          <w:rFonts w:ascii="Times New Roman" w:hAnsi="Times New Roman" w:eastAsia="宋体" w:cs="Times New Roman"/>
          <w:b/>
          <w:bCs/>
          <w:color w:val="auto"/>
          <w:szCs w:val="21"/>
          <w:highlight w:val="none"/>
        </w:rPr>
        <w:t>固体废物</w:t>
      </w:r>
    </w:p>
    <w:p w14:paraId="6DC101BE">
      <w:pPr>
        <w:pageBreakBefore w:val="0"/>
        <w:kinsoku/>
        <w:wordWrap/>
        <w:overflowPunct/>
        <w:bidi w:val="0"/>
        <w:ind w:firstLine="480" w:firstLineChars="200"/>
        <w:rPr>
          <w:rFonts w:hint="eastAsia" w:eastAsia="宋体"/>
          <w:color w:val="auto"/>
          <w:highlight w:val="none"/>
          <w:lang w:eastAsia="zh-CN"/>
        </w:rPr>
      </w:pPr>
      <w:r>
        <w:rPr>
          <w:rFonts w:ascii="Times New Roman" w:hAnsi="Times New Roman" w:eastAsia="宋体" w:cs="Times New Roman"/>
          <w:color w:val="auto"/>
          <w:szCs w:val="21"/>
          <w:highlight w:val="none"/>
        </w:rPr>
        <w:t>运营期一般固体废物执行《</w:t>
      </w:r>
      <w:r>
        <w:rPr>
          <w:rFonts w:hint="eastAsia" w:cs="Times New Roman"/>
          <w:color w:val="auto"/>
          <w:szCs w:val="21"/>
          <w:highlight w:val="none"/>
          <w:lang w:eastAsia="zh-CN"/>
        </w:rPr>
        <w:t>一般工业固体废物贮存和填埋污染控制标准</w:t>
      </w:r>
      <w:r>
        <w:rPr>
          <w:rFonts w:ascii="Times New Roman" w:hAnsi="Times New Roman" w:eastAsia="宋体" w:cs="Times New Roman"/>
          <w:color w:val="auto"/>
          <w:szCs w:val="21"/>
          <w:highlight w:val="none"/>
        </w:rPr>
        <w:t>》（</w:t>
      </w:r>
      <w:r>
        <w:rPr>
          <w:rFonts w:ascii="Times New Roman" w:hAnsi="Times New Roman" w:eastAsia="Times New Roman" w:cs="Times New Roman"/>
          <w:color w:val="auto"/>
          <w:szCs w:val="21"/>
          <w:highlight w:val="none"/>
        </w:rPr>
        <w:t>GB18599-2020</w:t>
      </w:r>
      <w:r>
        <w:rPr>
          <w:rFonts w:ascii="Times New Roman" w:hAnsi="Times New Roman" w:eastAsia="宋体" w:cs="Times New Roman"/>
          <w:color w:val="auto"/>
          <w:szCs w:val="21"/>
          <w:highlight w:val="none"/>
        </w:rPr>
        <w:t>）要求；危险废物执行《危险废物贮存污染控制标准》（GB 18597-2023）</w:t>
      </w:r>
      <w:r>
        <w:rPr>
          <w:rFonts w:hint="eastAsia"/>
          <w:color w:val="auto"/>
          <w:highlight w:val="none"/>
          <w:lang w:eastAsia="zh-CN"/>
        </w:rPr>
        <w:t>。</w:t>
      </w:r>
    </w:p>
    <w:p w14:paraId="62918371">
      <w:pPr>
        <w:pStyle w:val="4"/>
        <w:pageBreakBefore w:val="0"/>
        <w:kinsoku/>
        <w:wordWrap/>
        <w:overflowPunct/>
        <w:bidi w:val="0"/>
        <w:rPr>
          <w:rFonts w:hint="eastAsia"/>
          <w:color w:val="auto"/>
          <w:sz w:val="30"/>
          <w:szCs w:val="30"/>
          <w:highlight w:val="none"/>
        </w:rPr>
      </w:pPr>
      <w:bookmarkStart w:id="135" w:name="_Toc25063"/>
      <w:r>
        <w:rPr>
          <w:rFonts w:hint="eastAsia"/>
          <w:color w:val="auto"/>
          <w:sz w:val="30"/>
          <w:szCs w:val="30"/>
          <w:highlight w:val="none"/>
        </w:rPr>
        <w:t>2.</w:t>
      </w:r>
      <w:r>
        <w:rPr>
          <w:rFonts w:hint="eastAsia"/>
          <w:color w:val="auto"/>
          <w:sz w:val="30"/>
          <w:szCs w:val="30"/>
          <w:highlight w:val="none"/>
          <w:lang w:val="en-US" w:eastAsia="zh-CN"/>
        </w:rPr>
        <w:t>5</w:t>
      </w:r>
      <w:r>
        <w:rPr>
          <w:rFonts w:hint="eastAsia"/>
          <w:color w:val="auto"/>
          <w:sz w:val="30"/>
          <w:szCs w:val="30"/>
          <w:highlight w:val="none"/>
        </w:rPr>
        <w:t>评价等级和评价范围</w:t>
      </w:r>
      <w:bookmarkEnd w:id="135"/>
    </w:p>
    <w:p w14:paraId="40E2D2F9">
      <w:pPr>
        <w:pStyle w:val="5"/>
        <w:pageBreakBefore w:val="0"/>
        <w:kinsoku/>
        <w:wordWrap/>
        <w:overflowPunct/>
        <w:bidi w:val="0"/>
        <w:rPr>
          <w:rFonts w:hint="default" w:ascii="黑体" w:hAnsi="黑体"/>
          <w:color w:val="auto"/>
          <w:sz w:val="28"/>
          <w:szCs w:val="28"/>
          <w:highlight w:val="none"/>
          <w:lang w:val="en-US" w:eastAsia="zh-CN"/>
        </w:rPr>
      </w:pPr>
      <w:r>
        <w:rPr>
          <w:rFonts w:hint="eastAsia" w:ascii="黑体" w:hAnsi="黑体"/>
          <w:color w:val="auto"/>
          <w:sz w:val="28"/>
          <w:szCs w:val="28"/>
          <w:highlight w:val="none"/>
          <w:lang w:eastAsia="zh-CN"/>
        </w:rPr>
        <w:t>2.5</w:t>
      </w:r>
      <w:r>
        <w:rPr>
          <w:rFonts w:hint="eastAsia" w:ascii="黑体" w:hAnsi="黑体"/>
          <w:color w:val="auto"/>
          <w:sz w:val="28"/>
          <w:szCs w:val="28"/>
          <w:highlight w:val="none"/>
        </w:rPr>
        <w:t>.1评价等级</w:t>
      </w:r>
    </w:p>
    <w:p w14:paraId="40761F5C">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outlineLvl w:val="3"/>
        <w:rPr>
          <w:rFonts w:ascii="Times New Roman" w:hAnsi="Times New Roman" w:eastAsia="宋体" w:cs="Times New Roman"/>
          <w:b/>
          <w:bCs/>
          <w:color w:val="auto"/>
          <w:szCs w:val="21"/>
          <w:highlight w:val="none"/>
        </w:rPr>
      </w:pPr>
      <w:r>
        <w:rPr>
          <w:rFonts w:hint="eastAsia" w:cs="Times New Roman"/>
          <w:b/>
          <w:bCs/>
          <w:color w:val="auto"/>
          <w:szCs w:val="21"/>
          <w:highlight w:val="none"/>
          <w:lang w:val="en-US" w:eastAsia="zh-CN"/>
        </w:rPr>
        <w:t>2.5.1.1</w:t>
      </w:r>
      <w:r>
        <w:rPr>
          <w:rFonts w:hint="eastAsia" w:ascii="Times New Roman" w:hAnsi="Times New Roman" w:eastAsia="宋体" w:cs="Times New Roman"/>
          <w:b/>
          <w:bCs/>
          <w:color w:val="auto"/>
          <w:szCs w:val="21"/>
          <w:highlight w:val="none"/>
        </w:rPr>
        <w:t>声环境影响评价等级</w:t>
      </w:r>
    </w:p>
    <w:p w14:paraId="582C5132">
      <w:pPr>
        <w:pageBreakBefore w:val="0"/>
        <w:widowControl/>
        <w:kinsoku/>
        <w:wordWrap/>
        <w:overflowPunct/>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根据《环境影响评价技术导则 民用机场建设工程》（HJ87-2023）及《环境影响评价技术导则 声环境》（HJ2.4-2021），机场工程声环境影响评价分为航空器噪声影响评价和地面噪声影响评价。</w:t>
      </w:r>
    </w:p>
    <w:p w14:paraId="0D401FF0">
      <w:pPr>
        <w:pageBreakBefore w:val="0"/>
        <w:widowControl/>
        <w:kinsoku/>
        <w:wordWrap/>
        <w:overflowPunct/>
        <w:bidi w:val="0"/>
        <w:ind w:firstLine="480" w:firstLineChars="200"/>
        <w:jc w:val="both"/>
        <w:rPr>
          <w:rFonts w:hint="default" w:cs="Times New Roman"/>
          <w:color w:val="auto"/>
          <w:szCs w:val="21"/>
          <w:highlight w:val="none"/>
          <w:lang w:val="en-US" w:eastAsia="zh-CN"/>
        </w:rPr>
      </w:pPr>
      <w:r>
        <w:rPr>
          <w:rFonts w:hint="eastAsia" w:cs="Times New Roman"/>
          <w:color w:val="auto"/>
          <w:szCs w:val="21"/>
          <w:highlight w:val="none"/>
          <w:lang w:val="en-US" w:eastAsia="zh-CN"/>
        </w:rPr>
        <w:t>对标导则，本项目建设性质为新建，航空器噪声影响评价等级为一级。</w:t>
      </w:r>
    </w:p>
    <w:p w14:paraId="06D1FE1F">
      <w:pPr>
        <w:pageBreakBefore w:val="0"/>
        <w:widowControl/>
        <w:kinsoku/>
        <w:wordWrap/>
        <w:overflowPunct/>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本项目不涉及航空器地面整机试车、不新增锅炉风机等对声环境影响较大的固定声源，工程建设内容不包含进场道路，因此不设地面噪声影响评价等级。</w:t>
      </w:r>
    </w:p>
    <w:p w14:paraId="232F4FA8">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outlineLvl w:val="3"/>
        <w:rPr>
          <w:rFonts w:ascii="Times New Roman" w:hAnsi="Times New Roman" w:eastAsia="宋体" w:cs="Times New Roman"/>
          <w:b/>
          <w:bCs/>
          <w:color w:val="auto"/>
          <w:szCs w:val="21"/>
          <w:highlight w:val="none"/>
        </w:rPr>
      </w:pPr>
      <w:r>
        <w:rPr>
          <w:rFonts w:hint="eastAsia" w:cs="Times New Roman"/>
          <w:b/>
          <w:bCs/>
          <w:color w:val="auto"/>
          <w:szCs w:val="21"/>
          <w:highlight w:val="none"/>
          <w:lang w:val="en-US" w:eastAsia="zh-CN"/>
        </w:rPr>
        <w:t>2.5.1.2生态</w:t>
      </w:r>
      <w:r>
        <w:rPr>
          <w:rFonts w:hint="eastAsia" w:ascii="Times New Roman" w:hAnsi="Times New Roman" w:eastAsia="宋体" w:cs="Times New Roman"/>
          <w:b/>
          <w:bCs/>
          <w:color w:val="auto"/>
          <w:szCs w:val="21"/>
          <w:highlight w:val="none"/>
        </w:rPr>
        <w:t>影响评价等级</w:t>
      </w:r>
    </w:p>
    <w:p w14:paraId="4B86D050">
      <w:pPr>
        <w:pageBreakBefore w:val="0"/>
        <w:kinsoku/>
        <w:wordWrap/>
        <w:overflowPunct/>
        <w:bidi w:val="0"/>
        <w:ind w:firstLine="480" w:firstLineChars="200"/>
        <w:rPr>
          <w:color w:val="auto"/>
          <w:kern w:val="0"/>
          <w:highlight w:val="none"/>
        </w:rPr>
      </w:pPr>
      <w:r>
        <w:rPr>
          <w:rFonts w:hint="eastAsia"/>
          <w:color w:val="auto"/>
          <w:kern w:val="0"/>
          <w:highlight w:val="none"/>
        </w:rPr>
        <w:t>根据《环境影响评价技术导则 民用机场建设工程》（HJ87-2023）</w:t>
      </w:r>
      <w:r>
        <w:rPr>
          <w:rFonts w:hint="eastAsia"/>
          <w:color w:val="auto"/>
          <w:kern w:val="0"/>
          <w:highlight w:val="none"/>
          <w:lang w:val="en-US" w:eastAsia="zh-CN"/>
        </w:rPr>
        <w:t>及《环境影响评价技术导则 生态影响》（HJ19-2022）</w:t>
      </w:r>
      <w:r>
        <w:rPr>
          <w:rFonts w:hint="eastAsia" w:eastAsia="宋体"/>
          <w:color w:val="auto"/>
          <w:kern w:val="0"/>
          <w:highlight w:val="none"/>
          <w:lang w:eastAsia="zh-CN"/>
        </w:rPr>
        <w:t>，</w:t>
      </w:r>
      <w:r>
        <w:rPr>
          <w:rFonts w:hint="eastAsia"/>
          <w:color w:val="auto"/>
          <w:kern w:val="0"/>
          <w:highlight w:val="none"/>
        </w:rPr>
        <w:t>生态影响评价等级根据机场所在区域的生态敏感性和工程对周边生态的影响程度，按HJ19进行判定</w:t>
      </w:r>
      <w:r>
        <w:rPr>
          <w:rFonts w:hint="eastAsia" w:eastAsia="宋体"/>
          <w:color w:val="auto"/>
          <w:kern w:val="0"/>
          <w:highlight w:val="none"/>
          <w:lang w:eastAsia="zh-CN"/>
        </w:rPr>
        <w:t>，</w:t>
      </w:r>
      <w:r>
        <w:rPr>
          <w:rFonts w:hint="eastAsia"/>
          <w:color w:val="auto"/>
          <w:kern w:val="0"/>
          <w:highlight w:val="none"/>
        </w:rPr>
        <w:t>见表</w:t>
      </w:r>
      <w:r>
        <w:rPr>
          <w:color w:val="auto"/>
          <w:kern w:val="0"/>
          <w:highlight w:val="none"/>
        </w:rPr>
        <w:t>2</w:t>
      </w:r>
      <w:r>
        <w:rPr>
          <w:rFonts w:hint="eastAsia" w:ascii="Times New Roman" w:eastAsia="宋体"/>
          <w:color w:val="auto"/>
          <w:kern w:val="0"/>
          <w:highlight w:val="none"/>
          <w:lang w:val="en-US" w:eastAsia="zh-CN"/>
        </w:rPr>
        <w:t>.5</w:t>
      </w:r>
      <w:r>
        <w:rPr>
          <w:color w:val="auto"/>
          <w:kern w:val="0"/>
          <w:highlight w:val="none"/>
        </w:rPr>
        <w:t>-</w:t>
      </w:r>
      <w:r>
        <w:rPr>
          <w:rFonts w:hint="eastAsia" w:ascii="Times New Roman" w:eastAsia="宋体"/>
          <w:color w:val="auto"/>
          <w:kern w:val="0"/>
          <w:highlight w:val="none"/>
          <w:lang w:val="en-US" w:eastAsia="zh-CN"/>
        </w:rPr>
        <w:t>1</w:t>
      </w:r>
      <w:r>
        <w:rPr>
          <w:color w:val="auto"/>
          <w:kern w:val="0"/>
          <w:highlight w:val="none"/>
        </w:rPr>
        <w:t>。</w:t>
      </w:r>
    </w:p>
    <w:p w14:paraId="0FA7D971">
      <w:pPr>
        <w:pageBreakBefore w:val="0"/>
        <w:kinsoku/>
        <w:wordWrap/>
        <w:overflowPunct/>
        <w:autoSpaceDE w:val="0"/>
        <w:autoSpaceDN w:val="0"/>
        <w:bidi w:val="0"/>
        <w:ind w:firstLine="0"/>
        <w:jc w:val="center"/>
        <w:rPr>
          <w:rFonts w:eastAsia="黑体"/>
          <w:color w:val="auto"/>
          <w:kern w:val="0"/>
          <w:sz w:val="21"/>
          <w:szCs w:val="20"/>
          <w:highlight w:val="none"/>
        </w:rPr>
      </w:pPr>
      <w:r>
        <w:rPr>
          <w:rFonts w:hint="eastAsia" w:eastAsia="黑体"/>
          <w:color w:val="auto"/>
          <w:kern w:val="0"/>
          <w:sz w:val="21"/>
          <w:szCs w:val="20"/>
          <w:highlight w:val="none"/>
        </w:rPr>
        <w:t>表</w:t>
      </w:r>
      <w:r>
        <w:rPr>
          <w:rFonts w:eastAsia="黑体"/>
          <w:color w:val="auto"/>
          <w:kern w:val="0"/>
          <w:sz w:val="21"/>
          <w:szCs w:val="20"/>
          <w:highlight w:val="none"/>
        </w:rPr>
        <w:t>2</w:t>
      </w:r>
      <w:r>
        <w:rPr>
          <w:rFonts w:hint="eastAsia" w:eastAsia="黑体"/>
          <w:color w:val="auto"/>
          <w:kern w:val="0"/>
          <w:sz w:val="21"/>
          <w:szCs w:val="20"/>
          <w:highlight w:val="none"/>
          <w:lang w:val="en-US" w:eastAsia="zh-CN"/>
        </w:rPr>
        <w:t>.5</w:t>
      </w:r>
      <w:r>
        <w:rPr>
          <w:rFonts w:eastAsia="黑体"/>
          <w:color w:val="auto"/>
          <w:kern w:val="0"/>
          <w:sz w:val="21"/>
          <w:szCs w:val="20"/>
          <w:highlight w:val="none"/>
        </w:rPr>
        <w:t>-</w:t>
      </w:r>
      <w:r>
        <w:rPr>
          <w:rFonts w:hint="eastAsia" w:eastAsia="黑体"/>
          <w:color w:val="auto"/>
          <w:kern w:val="0"/>
          <w:sz w:val="21"/>
          <w:szCs w:val="20"/>
          <w:highlight w:val="none"/>
          <w:lang w:val="en-US" w:eastAsia="zh-CN"/>
        </w:rPr>
        <w:t>1</w:t>
      </w:r>
      <w:r>
        <w:rPr>
          <w:rFonts w:eastAsia="黑体"/>
          <w:color w:val="auto"/>
          <w:kern w:val="0"/>
          <w:sz w:val="21"/>
          <w:szCs w:val="20"/>
          <w:highlight w:val="none"/>
        </w:rPr>
        <w:t xml:space="preserve">  </w:t>
      </w:r>
      <w:r>
        <w:rPr>
          <w:rFonts w:hint="eastAsia" w:eastAsia="黑体"/>
          <w:color w:val="auto"/>
          <w:kern w:val="0"/>
          <w:sz w:val="21"/>
          <w:szCs w:val="20"/>
          <w:highlight w:val="none"/>
        </w:rPr>
        <w:t>生态环境评价等级判定</w:t>
      </w:r>
    </w:p>
    <w:tbl>
      <w:tblPr>
        <w:tblStyle w:val="515"/>
        <w:tblW w:w="48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5327"/>
        <w:gridCol w:w="2260"/>
      </w:tblGrid>
      <w:tr w14:paraId="2CA2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71" w:type="pct"/>
            <w:vAlign w:val="center"/>
          </w:tcPr>
          <w:p w14:paraId="33E59711">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default"/>
                <w:color w:val="auto"/>
                <w:kern w:val="0"/>
                <w:sz w:val="21"/>
                <w:szCs w:val="20"/>
                <w:highlight w:val="none"/>
              </w:rPr>
            </w:pPr>
            <w:r>
              <w:rPr>
                <w:rFonts w:hint="eastAsia"/>
                <w:color w:val="auto"/>
                <w:kern w:val="0"/>
                <w:sz w:val="21"/>
                <w:szCs w:val="20"/>
                <w:highlight w:val="none"/>
              </w:rPr>
              <w:t>序号</w:t>
            </w:r>
          </w:p>
        </w:tc>
        <w:tc>
          <w:tcPr>
            <w:tcW w:w="3110" w:type="pct"/>
            <w:vAlign w:val="center"/>
          </w:tcPr>
          <w:p w14:paraId="76D69C4F">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default"/>
                <w:color w:val="auto"/>
                <w:kern w:val="0"/>
                <w:sz w:val="21"/>
                <w:szCs w:val="20"/>
                <w:highlight w:val="none"/>
              </w:rPr>
            </w:pPr>
            <w:r>
              <w:rPr>
                <w:rFonts w:hint="eastAsia"/>
                <w:b/>
                <w:bCs/>
                <w:color w:val="auto"/>
                <w:kern w:val="0"/>
                <w:sz w:val="21"/>
                <w:szCs w:val="20"/>
                <w:highlight w:val="none"/>
              </w:rPr>
              <w:t>HJ 19要求</w:t>
            </w:r>
          </w:p>
        </w:tc>
        <w:tc>
          <w:tcPr>
            <w:tcW w:w="1317" w:type="pct"/>
            <w:vAlign w:val="center"/>
          </w:tcPr>
          <w:p w14:paraId="5101AC37">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eastAsia" w:eastAsia="宋体"/>
                <w:color w:val="auto"/>
                <w:kern w:val="0"/>
                <w:sz w:val="21"/>
                <w:szCs w:val="20"/>
                <w:highlight w:val="none"/>
                <w:lang w:eastAsia="zh-CN"/>
              </w:rPr>
            </w:pPr>
            <w:r>
              <w:rPr>
                <w:rFonts w:hint="eastAsia"/>
                <w:color w:val="auto"/>
                <w:kern w:val="0"/>
                <w:sz w:val="21"/>
                <w:szCs w:val="20"/>
                <w:highlight w:val="none"/>
                <w:lang w:eastAsia="zh-CN"/>
              </w:rPr>
              <w:t>本项目</w:t>
            </w:r>
          </w:p>
        </w:tc>
      </w:tr>
      <w:tr w14:paraId="6590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1" w:type="pct"/>
            <w:vAlign w:val="center"/>
          </w:tcPr>
          <w:p w14:paraId="35BDE0D9">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default"/>
                <w:color w:val="auto"/>
                <w:kern w:val="0"/>
                <w:sz w:val="21"/>
                <w:szCs w:val="20"/>
                <w:highlight w:val="none"/>
              </w:rPr>
            </w:pPr>
            <w:r>
              <w:rPr>
                <w:rFonts w:hint="default"/>
                <w:color w:val="auto"/>
                <w:kern w:val="0"/>
                <w:sz w:val="21"/>
                <w:szCs w:val="20"/>
                <w:highlight w:val="none"/>
              </w:rPr>
              <w:t>a</w:t>
            </w:r>
          </w:p>
        </w:tc>
        <w:tc>
          <w:tcPr>
            <w:tcW w:w="3110" w:type="pct"/>
            <w:vAlign w:val="center"/>
          </w:tcPr>
          <w:p w14:paraId="3178C830">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left"/>
              <w:rPr>
                <w:rFonts w:hint="default"/>
                <w:color w:val="auto"/>
                <w:kern w:val="0"/>
                <w:sz w:val="21"/>
                <w:szCs w:val="20"/>
                <w:highlight w:val="none"/>
              </w:rPr>
            </w:pPr>
            <w:r>
              <w:rPr>
                <w:rFonts w:hint="eastAsia"/>
                <w:color w:val="auto"/>
                <w:kern w:val="0"/>
                <w:sz w:val="21"/>
                <w:szCs w:val="20"/>
                <w:highlight w:val="none"/>
              </w:rPr>
              <w:t>涉及国家公园、自然保护区、世界自然遗产、重要生境时，评价等级为一级</w:t>
            </w:r>
          </w:p>
        </w:tc>
        <w:tc>
          <w:tcPr>
            <w:tcW w:w="1317" w:type="pct"/>
            <w:vAlign w:val="center"/>
          </w:tcPr>
          <w:p w14:paraId="62A79C20">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default"/>
                <w:color w:val="auto"/>
                <w:kern w:val="0"/>
                <w:sz w:val="21"/>
                <w:szCs w:val="20"/>
                <w:highlight w:val="none"/>
              </w:rPr>
            </w:pPr>
            <w:r>
              <w:rPr>
                <w:rFonts w:hint="eastAsia"/>
                <w:color w:val="auto"/>
                <w:kern w:val="0"/>
                <w:sz w:val="21"/>
                <w:szCs w:val="20"/>
                <w:highlight w:val="none"/>
              </w:rPr>
              <w:t>不涉及</w:t>
            </w:r>
          </w:p>
        </w:tc>
      </w:tr>
      <w:tr w14:paraId="24B38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1" w:type="pct"/>
            <w:vAlign w:val="center"/>
          </w:tcPr>
          <w:p w14:paraId="70903E76">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default"/>
                <w:color w:val="auto"/>
                <w:kern w:val="0"/>
                <w:sz w:val="21"/>
                <w:szCs w:val="20"/>
                <w:highlight w:val="none"/>
              </w:rPr>
            </w:pPr>
            <w:r>
              <w:rPr>
                <w:rFonts w:hint="default"/>
                <w:color w:val="auto"/>
                <w:kern w:val="0"/>
                <w:sz w:val="21"/>
                <w:szCs w:val="20"/>
                <w:highlight w:val="none"/>
              </w:rPr>
              <w:t>b</w:t>
            </w:r>
          </w:p>
        </w:tc>
        <w:tc>
          <w:tcPr>
            <w:tcW w:w="3110" w:type="pct"/>
            <w:vAlign w:val="center"/>
          </w:tcPr>
          <w:p w14:paraId="767803FF">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left"/>
              <w:rPr>
                <w:rFonts w:hint="default"/>
                <w:color w:val="auto"/>
                <w:kern w:val="0"/>
                <w:sz w:val="21"/>
                <w:szCs w:val="20"/>
                <w:highlight w:val="none"/>
              </w:rPr>
            </w:pPr>
            <w:r>
              <w:rPr>
                <w:rFonts w:hint="eastAsia"/>
                <w:color w:val="auto"/>
                <w:kern w:val="0"/>
                <w:sz w:val="21"/>
                <w:szCs w:val="20"/>
                <w:highlight w:val="none"/>
              </w:rPr>
              <w:t>涉及自然公园时，评价等级为二级</w:t>
            </w:r>
          </w:p>
        </w:tc>
        <w:tc>
          <w:tcPr>
            <w:tcW w:w="1317" w:type="pct"/>
            <w:vAlign w:val="center"/>
          </w:tcPr>
          <w:p w14:paraId="06D4495F">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default"/>
                <w:color w:val="auto"/>
                <w:kern w:val="0"/>
                <w:sz w:val="21"/>
                <w:szCs w:val="20"/>
                <w:highlight w:val="none"/>
              </w:rPr>
            </w:pPr>
            <w:r>
              <w:rPr>
                <w:rFonts w:hint="eastAsia"/>
                <w:color w:val="auto"/>
                <w:kern w:val="0"/>
                <w:sz w:val="21"/>
                <w:szCs w:val="20"/>
                <w:highlight w:val="none"/>
              </w:rPr>
              <w:t>不涉及</w:t>
            </w:r>
          </w:p>
        </w:tc>
      </w:tr>
      <w:tr w14:paraId="0397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1" w:type="pct"/>
            <w:vAlign w:val="center"/>
          </w:tcPr>
          <w:p w14:paraId="53948B0A">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default"/>
                <w:color w:val="auto"/>
                <w:kern w:val="0"/>
                <w:sz w:val="21"/>
                <w:szCs w:val="20"/>
                <w:highlight w:val="none"/>
              </w:rPr>
            </w:pPr>
            <w:r>
              <w:rPr>
                <w:rFonts w:hint="eastAsia"/>
                <w:color w:val="auto"/>
                <w:kern w:val="0"/>
                <w:sz w:val="21"/>
                <w:szCs w:val="20"/>
                <w:highlight w:val="none"/>
              </w:rPr>
              <w:t>c</w:t>
            </w:r>
          </w:p>
        </w:tc>
        <w:tc>
          <w:tcPr>
            <w:tcW w:w="3110" w:type="pct"/>
            <w:vAlign w:val="center"/>
          </w:tcPr>
          <w:p w14:paraId="15569F3D">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left"/>
              <w:rPr>
                <w:rFonts w:hint="default"/>
                <w:color w:val="auto"/>
                <w:kern w:val="0"/>
                <w:sz w:val="21"/>
                <w:szCs w:val="20"/>
                <w:highlight w:val="none"/>
              </w:rPr>
            </w:pPr>
            <w:r>
              <w:rPr>
                <w:rFonts w:hint="eastAsia"/>
                <w:color w:val="auto"/>
                <w:kern w:val="0"/>
                <w:sz w:val="21"/>
                <w:szCs w:val="20"/>
                <w:highlight w:val="none"/>
              </w:rPr>
              <w:t>涉及生态保护红线时，评价等级不低于二级</w:t>
            </w:r>
          </w:p>
        </w:tc>
        <w:tc>
          <w:tcPr>
            <w:tcW w:w="1317" w:type="pct"/>
            <w:vAlign w:val="center"/>
          </w:tcPr>
          <w:p w14:paraId="040F6D3B">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default"/>
                <w:color w:val="auto"/>
                <w:kern w:val="0"/>
                <w:sz w:val="21"/>
                <w:szCs w:val="20"/>
                <w:highlight w:val="none"/>
              </w:rPr>
            </w:pPr>
            <w:r>
              <w:rPr>
                <w:rFonts w:hint="eastAsia"/>
                <w:color w:val="auto"/>
                <w:kern w:val="0"/>
                <w:sz w:val="21"/>
                <w:szCs w:val="20"/>
                <w:highlight w:val="none"/>
              </w:rPr>
              <w:t>不涉及</w:t>
            </w:r>
          </w:p>
        </w:tc>
      </w:tr>
      <w:tr w14:paraId="55FC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1" w:type="pct"/>
            <w:vAlign w:val="center"/>
          </w:tcPr>
          <w:p w14:paraId="5485C21F">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default"/>
                <w:color w:val="auto"/>
                <w:kern w:val="0"/>
                <w:sz w:val="21"/>
                <w:szCs w:val="20"/>
                <w:highlight w:val="none"/>
              </w:rPr>
            </w:pPr>
            <w:r>
              <w:rPr>
                <w:rFonts w:hint="eastAsia"/>
                <w:color w:val="auto"/>
                <w:kern w:val="0"/>
                <w:sz w:val="21"/>
                <w:szCs w:val="20"/>
                <w:highlight w:val="none"/>
              </w:rPr>
              <w:t>d</w:t>
            </w:r>
          </w:p>
        </w:tc>
        <w:tc>
          <w:tcPr>
            <w:tcW w:w="3110" w:type="pct"/>
            <w:vAlign w:val="center"/>
          </w:tcPr>
          <w:p w14:paraId="474480CA">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left"/>
              <w:rPr>
                <w:rFonts w:hint="default"/>
                <w:color w:val="auto"/>
                <w:kern w:val="0"/>
                <w:sz w:val="21"/>
                <w:szCs w:val="20"/>
                <w:highlight w:val="none"/>
              </w:rPr>
            </w:pPr>
            <w:r>
              <w:rPr>
                <w:rFonts w:hint="eastAsia"/>
                <w:color w:val="auto"/>
                <w:kern w:val="0"/>
                <w:sz w:val="21"/>
                <w:szCs w:val="20"/>
                <w:highlight w:val="none"/>
              </w:rPr>
              <w:t>根据H</w:t>
            </w:r>
            <w:r>
              <w:rPr>
                <w:rFonts w:hint="default"/>
                <w:color w:val="auto"/>
                <w:kern w:val="0"/>
                <w:sz w:val="21"/>
                <w:szCs w:val="20"/>
                <w:highlight w:val="none"/>
              </w:rPr>
              <w:t>J</w:t>
            </w:r>
            <w:r>
              <w:rPr>
                <w:rFonts w:hint="eastAsia"/>
                <w:color w:val="auto"/>
                <w:kern w:val="0"/>
                <w:sz w:val="21"/>
                <w:szCs w:val="20"/>
                <w:highlight w:val="none"/>
              </w:rPr>
              <w:t>2.3判断属于水文要素影响型且地表水评价等级不低于二级的建设项目，生态影响评价等级不低于二级</w:t>
            </w:r>
          </w:p>
        </w:tc>
        <w:tc>
          <w:tcPr>
            <w:tcW w:w="1317" w:type="pct"/>
            <w:vAlign w:val="center"/>
          </w:tcPr>
          <w:p w14:paraId="34950F98">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default"/>
                <w:color w:val="auto"/>
                <w:kern w:val="0"/>
                <w:sz w:val="21"/>
                <w:szCs w:val="20"/>
                <w:highlight w:val="none"/>
              </w:rPr>
            </w:pPr>
            <w:r>
              <w:rPr>
                <w:rFonts w:hint="eastAsia"/>
                <w:color w:val="auto"/>
                <w:kern w:val="0"/>
                <w:sz w:val="21"/>
                <w:szCs w:val="20"/>
                <w:highlight w:val="none"/>
              </w:rPr>
              <w:t>地表水为三级B</w:t>
            </w:r>
          </w:p>
        </w:tc>
      </w:tr>
      <w:tr w14:paraId="70BF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1" w:type="pct"/>
            <w:vAlign w:val="center"/>
          </w:tcPr>
          <w:p w14:paraId="632560DE">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default"/>
                <w:color w:val="auto"/>
                <w:kern w:val="0"/>
                <w:sz w:val="21"/>
                <w:szCs w:val="20"/>
                <w:highlight w:val="none"/>
              </w:rPr>
            </w:pPr>
            <w:r>
              <w:rPr>
                <w:rFonts w:hint="eastAsia"/>
                <w:color w:val="auto"/>
                <w:kern w:val="0"/>
                <w:sz w:val="21"/>
                <w:szCs w:val="20"/>
                <w:highlight w:val="none"/>
              </w:rPr>
              <w:t>e</w:t>
            </w:r>
          </w:p>
        </w:tc>
        <w:tc>
          <w:tcPr>
            <w:tcW w:w="3110" w:type="pct"/>
            <w:vAlign w:val="center"/>
          </w:tcPr>
          <w:p w14:paraId="30605247">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left"/>
              <w:rPr>
                <w:rFonts w:hint="default"/>
                <w:color w:val="auto"/>
                <w:kern w:val="0"/>
                <w:sz w:val="21"/>
                <w:szCs w:val="20"/>
                <w:highlight w:val="none"/>
              </w:rPr>
            </w:pPr>
            <w:r>
              <w:rPr>
                <w:rFonts w:hint="eastAsia"/>
                <w:color w:val="auto"/>
                <w:kern w:val="0"/>
                <w:sz w:val="21"/>
                <w:szCs w:val="20"/>
                <w:highlight w:val="none"/>
              </w:rPr>
              <w:t>根据HJ 610、HJ 964判断地下水水位或土壤影响范围内分布有天然林、公益林、湿地等生态保护目标的建设项目，生态影响评价等级不低于二级</w:t>
            </w:r>
          </w:p>
        </w:tc>
        <w:tc>
          <w:tcPr>
            <w:tcW w:w="1317" w:type="pct"/>
            <w:vAlign w:val="center"/>
          </w:tcPr>
          <w:p w14:paraId="7E10F48F">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eastAsia" w:eastAsia="宋体"/>
                <w:color w:val="auto"/>
                <w:kern w:val="0"/>
                <w:sz w:val="21"/>
                <w:szCs w:val="20"/>
                <w:highlight w:val="none"/>
                <w:lang w:eastAsia="zh-CN"/>
              </w:rPr>
            </w:pPr>
            <w:r>
              <w:rPr>
                <w:rFonts w:hint="eastAsia" w:ascii="Times New Roman" w:eastAsia="宋体"/>
                <w:color w:val="auto"/>
                <w:kern w:val="0"/>
                <w:sz w:val="21"/>
                <w:szCs w:val="20"/>
                <w:highlight w:val="none"/>
                <w:lang w:val="en-US" w:eastAsia="zh-CN"/>
              </w:rPr>
              <w:t>影响范围内分布有公益林，生态影响评价等级不低于二级</w:t>
            </w:r>
          </w:p>
        </w:tc>
      </w:tr>
      <w:tr w14:paraId="3D82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1" w:type="pct"/>
            <w:vAlign w:val="center"/>
          </w:tcPr>
          <w:p w14:paraId="16F04611">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default"/>
                <w:color w:val="auto"/>
                <w:kern w:val="0"/>
                <w:sz w:val="21"/>
                <w:szCs w:val="20"/>
                <w:highlight w:val="none"/>
              </w:rPr>
            </w:pPr>
            <w:r>
              <w:rPr>
                <w:rFonts w:hint="eastAsia"/>
                <w:color w:val="auto"/>
                <w:kern w:val="0"/>
                <w:sz w:val="21"/>
                <w:szCs w:val="20"/>
                <w:highlight w:val="none"/>
              </w:rPr>
              <w:t>f</w:t>
            </w:r>
          </w:p>
        </w:tc>
        <w:tc>
          <w:tcPr>
            <w:tcW w:w="3110" w:type="pct"/>
            <w:vAlign w:val="center"/>
          </w:tcPr>
          <w:p w14:paraId="0C5A82BE">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left"/>
              <w:rPr>
                <w:rFonts w:hint="default"/>
                <w:color w:val="auto"/>
                <w:kern w:val="0"/>
                <w:sz w:val="21"/>
                <w:szCs w:val="20"/>
                <w:highlight w:val="none"/>
              </w:rPr>
            </w:pPr>
            <w:r>
              <w:rPr>
                <w:rFonts w:hint="eastAsia"/>
                <w:color w:val="auto"/>
                <w:kern w:val="0"/>
                <w:sz w:val="21"/>
                <w:szCs w:val="20"/>
                <w:highlight w:val="none"/>
              </w:rPr>
              <w:t>当工程占地规模大于20km</w:t>
            </w:r>
            <w:r>
              <w:rPr>
                <w:rFonts w:hint="eastAsia"/>
                <w:color w:val="auto"/>
                <w:kern w:val="0"/>
                <w:sz w:val="21"/>
                <w:szCs w:val="20"/>
                <w:highlight w:val="none"/>
                <w:vertAlign w:val="superscript"/>
              </w:rPr>
              <w:t>2</w:t>
            </w:r>
            <w:r>
              <w:rPr>
                <w:rFonts w:hint="eastAsia"/>
                <w:color w:val="auto"/>
                <w:kern w:val="0"/>
                <w:sz w:val="21"/>
                <w:szCs w:val="20"/>
                <w:highlight w:val="none"/>
              </w:rPr>
              <w:t>时（包括永久和临时占用陆域和水域），评价等级不低于二级；改扩建项目的占地范围以新增占地（包括陆域和水域）确定</w:t>
            </w:r>
          </w:p>
        </w:tc>
        <w:tc>
          <w:tcPr>
            <w:tcW w:w="1317" w:type="pct"/>
            <w:vAlign w:val="center"/>
          </w:tcPr>
          <w:p w14:paraId="01FB0356">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default"/>
                <w:color w:val="auto"/>
                <w:kern w:val="0"/>
                <w:sz w:val="21"/>
                <w:szCs w:val="20"/>
                <w:highlight w:val="none"/>
              </w:rPr>
            </w:pPr>
            <w:r>
              <w:rPr>
                <w:rFonts w:hint="eastAsia"/>
                <w:color w:val="auto"/>
                <w:kern w:val="0"/>
                <w:sz w:val="21"/>
                <w:szCs w:val="20"/>
                <w:highlight w:val="none"/>
              </w:rPr>
              <w:t>工程</w:t>
            </w:r>
            <w:r>
              <w:rPr>
                <w:rFonts w:hint="eastAsia"/>
                <w:color w:val="auto"/>
                <w:kern w:val="0"/>
                <w:sz w:val="21"/>
                <w:szCs w:val="20"/>
                <w:highlight w:val="none"/>
                <w:lang w:val="en-US" w:eastAsia="zh-CN"/>
              </w:rPr>
              <w:t>新增</w:t>
            </w:r>
            <w:r>
              <w:rPr>
                <w:rFonts w:hint="eastAsia"/>
                <w:color w:val="auto"/>
                <w:kern w:val="0"/>
                <w:sz w:val="21"/>
                <w:szCs w:val="20"/>
                <w:highlight w:val="none"/>
              </w:rPr>
              <w:t>占地</w:t>
            </w:r>
            <w:r>
              <w:rPr>
                <w:rFonts w:hint="eastAsia"/>
                <w:color w:val="auto"/>
                <w:kern w:val="0"/>
                <w:sz w:val="21"/>
                <w:szCs w:val="20"/>
                <w:highlight w:val="none"/>
                <w:lang w:val="en-US" w:eastAsia="zh-CN"/>
              </w:rPr>
              <w:t>面积0.65km</w:t>
            </w:r>
            <w:r>
              <w:rPr>
                <w:rFonts w:hint="eastAsia"/>
                <w:color w:val="auto"/>
                <w:kern w:val="0"/>
                <w:sz w:val="21"/>
                <w:szCs w:val="20"/>
                <w:highlight w:val="none"/>
                <w:vertAlign w:val="superscript"/>
                <w:lang w:val="en-US" w:eastAsia="zh-CN"/>
              </w:rPr>
              <w:t>2</w:t>
            </w:r>
            <w:r>
              <w:rPr>
                <w:rFonts w:hint="eastAsia"/>
                <w:color w:val="auto"/>
                <w:kern w:val="0"/>
                <w:sz w:val="21"/>
                <w:szCs w:val="20"/>
                <w:highlight w:val="none"/>
                <w:vertAlign w:val="baseline"/>
                <w:lang w:val="en-US" w:eastAsia="zh-CN"/>
              </w:rPr>
              <w:t>，</w:t>
            </w:r>
            <w:r>
              <w:rPr>
                <w:rFonts w:hint="eastAsia"/>
                <w:color w:val="auto"/>
                <w:kern w:val="0"/>
                <w:sz w:val="21"/>
                <w:szCs w:val="20"/>
                <w:highlight w:val="none"/>
              </w:rPr>
              <w:t>规模</w:t>
            </w:r>
            <w:r>
              <w:rPr>
                <w:rFonts w:hint="eastAsia" w:ascii="Times New Roman" w:eastAsia="宋体"/>
                <w:color w:val="auto"/>
                <w:kern w:val="0"/>
                <w:sz w:val="21"/>
                <w:szCs w:val="20"/>
                <w:highlight w:val="none"/>
                <w:lang w:val="en-US" w:eastAsia="zh-CN"/>
              </w:rPr>
              <w:t>不足</w:t>
            </w:r>
            <w:r>
              <w:rPr>
                <w:rFonts w:hint="eastAsia"/>
                <w:color w:val="auto"/>
                <w:kern w:val="0"/>
                <w:sz w:val="21"/>
                <w:szCs w:val="20"/>
                <w:highlight w:val="none"/>
              </w:rPr>
              <w:t>20km</w:t>
            </w:r>
            <w:r>
              <w:rPr>
                <w:rFonts w:hint="eastAsia"/>
                <w:color w:val="auto"/>
                <w:kern w:val="0"/>
                <w:sz w:val="21"/>
                <w:szCs w:val="20"/>
                <w:highlight w:val="none"/>
                <w:vertAlign w:val="superscript"/>
              </w:rPr>
              <w:t>2</w:t>
            </w:r>
          </w:p>
        </w:tc>
      </w:tr>
      <w:tr w14:paraId="1ABF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1" w:type="pct"/>
            <w:vAlign w:val="center"/>
          </w:tcPr>
          <w:p w14:paraId="25AD2021">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default"/>
                <w:color w:val="auto"/>
                <w:kern w:val="0"/>
                <w:sz w:val="21"/>
                <w:szCs w:val="20"/>
                <w:highlight w:val="none"/>
              </w:rPr>
            </w:pPr>
            <w:r>
              <w:rPr>
                <w:rFonts w:hint="eastAsia"/>
                <w:color w:val="auto"/>
                <w:kern w:val="0"/>
                <w:sz w:val="21"/>
                <w:szCs w:val="20"/>
                <w:highlight w:val="none"/>
              </w:rPr>
              <w:t>g</w:t>
            </w:r>
          </w:p>
        </w:tc>
        <w:tc>
          <w:tcPr>
            <w:tcW w:w="3110" w:type="pct"/>
            <w:vAlign w:val="center"/>
          </w:tcPr>
          <w:p w14:paraId="47B02618">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left"/>
              <w:rPr>
                <w:rFonts w:hint="default"/>
                <w:color w:val="auto"/>
                <w:kern w:val="0"/>
                <w:sz w:val="21"/>
                <w:szCs w:val="20"/>
                <w:highlight w:val="none"/>
              </w:rPr>
            </w:pPr>
            <w:r>
              <w:rPr>
                <w:rFonts w:hint="eastAsia"/>
                <w:color w:val="auto"/>
                <w:kern w:val="0"/>
                <w:sz w:val="21"/>
                <w:szCs w:val="20"/>
                <w:highlight w:val="none"/>
              </w:rPr>
              <w:t>除本条a）、b）、c）、d）、e）、f）以外的情况，评价等级为三级</w:t>
            </w:r>
          </w:p>
        </w:tc>
        <w:tc>
          <w:tcPr>
            <w:tcW w:w="1317" w:type="pct"/>
            <w:vAlign w:val="center"/>
          </w:tcPr>
          <w:p w14:paraId="04A4314B">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eastAsia" w:eastAsia="宋体"/>
                <w:color w:val="auto"/>
                <w:kern w:val="0"/>
                <w:sz w:val="21"/>
                <w:szCs w:val="20"/>
                <w:highlight w:val="none"/>
                <w:lang w:eastAsia="zh-CN"/>
              </w:rPr>
            </w:pPr>
            <w:r>
              <w:rPr>
                <w:rFonts w:hint="eastAsia"/>
                <w:color w:val="auto"/>
                <w:kern w:val="0"/>
                <w:sz w:val="21"/>
                <w:szCs w:val="20"/>
                <w:highlight w:val="none"/>
                <w:lang w:val="en-US" w:eastAsia="zh-CN"/>
              </w:rPr>
              <w:t>e)</w:t>
            </w:r>
          </w:p>
        </w:tc>
      </w:tr>
      <w:tr w14:paraId="7269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1" w:type="pct"/>
            <w:vAlign w:val="center"/>
          </w:tcPr>
          <w:p w14:paraId="412D44C4">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default"/>
                <w:color w:val="auto"/>
                <w:kern w:val="0"/>
                <w:sz w:val="21"/>
                <w:szCs w:val="20"/>
                <w:highlight w:val="none"/>
              </w:rPr>
            </w:pPr>
            <w:r>
              <w:rPr>
                <w:rFonts w:hint="eastAsia"/>
                <w:color w:val="auto"/>
                <w:kern w:val="0"/>
                <w:sz w:val="21"/>
                <w:szCs w:val="20"/>
                <w:highlight w:val="none"/>
              </w:rPr>
              <w:t>h</w:t>
            </w:r>
          </w:p>
        </w:tc>
        <w:tc>
          <w:tcPr>
            <w:tcW w:w="3110" w:type="pct"/>
            <w:vAlign w:val="center"/>
          </w:tcPr>
          <w:p w14:paraId="0F8550ED">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left"/>
              <w:rPr>
                <w:rFonts w:hint="default"/>
                <w:color w:val="auto"/>
                <w:kern w:val="0"/>
                <w:sz w:val="21"/>
                <w:szCs w:val="20"/>
                <w:highlight w:val="none"/>
              </w:rPr>
            </w:pPr>
            <w:r>
              <w:rPr>
                <w:rFonts w:hint="eastAsia"/>
                <w:color w:val="auto"/>
                <w:kern w:val="0"/>
                <w:sz w:val="21"/>
                <w:szCs w:val="20"/>
                <w:highlight w:val="none"/>
              </w:rPr>
              <w:t>当评价等级判定同时符合上述多种情况时，应采用其中最高的评价等级</w:t>
            </w:r>
          </w:p>
        </w:tc>
        <w:tc>
          <w:tcPr>
            <w:tcW w:w="1317" w:type="pct"/>
            <w:vAlign w:val="center"/>
          </w:tcPr>
          <w:p w14:paraId="2EA60883">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default"/>
                <w:color w:val="auto"/>
                <w:kern w:val="0"/>
                <w:sz w:val="21"/>
                <w:szCs w:val="20"/>
                <w:highlight w:val="none"/>
              </w:rPr>
            </w:pPr>
            <w:r>
              <w:rPr>
                <w:rFonts w:hint="eastAsia"/>
                <w:color w:val="auto"/>
                <w:kern w:val="0"/>
                <w:sz w:val="21"/>
                <w:szCs w:val="20"/>
                <w:highlight w:val="none"/>
              </w:rPr>
              <w:t>二级</w:t>
            </w:r>
          </w:p>
        </w:tc>
      </w:tr>
      <w:tr w14:paraId="1B59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3"/>
            <w:vAlign w:val="center"/>
          </w:tcPr>
          <w:p w14:paraId="6D1694EE">
            <w:pPr>
              <w:keepNext w:val="0"/>
              <w:keepLines w:val="0"/>
              <w:pageBreakBefore w:val="0"/>
              <w:suppressLineNumbers w:val="0"/>
              <w:kinsoku/>
              <w:wordWrap/>
              <w:overflowPunct/>
              <w:autoSpaceDE w:val="0"/>
              <w:autoSpaceDN w:val="0"/>
              <w:bidi w:val="0"/>
              <w:spacing w:before="0" w:beforeAutospacing="0" w:after="0" w:afterAutospacing="0" w:line="240" w:lineRule="auto"/>
              <w:ind w:left="0" w:leftChars="0" w:right="0" w:rightChars="0" w:firstLine="0" w:firstLineChars="0"/>
              <w:jc w:val="center"/>
              <w:rPr>
                <w:rFonts w:hint="eastAsia" w:eastAsia="宋体"/>
                <w:color w:val="auto"/>
                <w:kern w:val="0"/>
                <w:sz w:val="21"/>
                <w:szCs w:val="20"/>
                <w:highlight w:val="none"/>
                <w:lang w:val="en-US" w:eastAsia="zh-CN"/>
              </w:rPr>
            </w:pPr>
            <w:r>
              <w:rPr>
                <w:rFonts w:hint="eastAsia"/>
                <w:b/>
                <w:bCs/>
                <w:color w:val="auto"/>
                <w:kern w:val="0"/>
                <w:sz w:val="21"/>
                <w:szCs w:val="20"/>
                <w:highlight w:val="none"/>
              </w:rPr>
              <w:t>HJ87-2023</w:t>
            </w:r>
            <w:r>
              <w:rPr>
                <w:rFonts w:hint="eastAsia" w:ascii="Times New Roman" w:eastAsia="宋体"/>
                <w:b/>
                <w:bCs/>
                <w:color w:val="auto"/>
                <w:kern w:val="0"/>
                <w:sz w:val="21"/>
                <w:szCs w:val="20"/>
                <w:highlight w:val="none"/>
                <w:lang w:val="en-US" w:eastAsia="zh-CN"/>
              </w:rPr>
              <w:t>要求</w:t>
            </w:r>
          </w:p>
        </w:tc>
      </w:tr>
      <w:tr w14:paraId="73A1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1" w:type="pct"/>
            <w:vAlign w:val="center"/>
          </w:tcPr>
          <w:p w14:paraId="3B2032BE">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eastAsia" w:eastAsia="宋体"/>
                <w:color w:val="auto"/>
                <w:kern w:val="0"/>
                <w:sz w:val="21"/>
                <w:szCs w:val="20"/>
                <w:highlight w:val="none"/>
                <w:lang w:val="en-US" w:eastAsia="zh-CN"/>
              </w:rPr>
            </w:pPr>
            <w:r>
              <w:rPr>
                <w:rFonts w:hint="eastAsia" w:ascii="Times New Roman" w:eastAsia="宋体"/>
                <w:color w:val="auto"/>
                <w:kern w:val="0"/>
                <w:sz w:val="21"/>
                <w:szCs w:val="20"/>
                <w:highlight w:val="none"/>
                <w:lang w:val="en-US" w:eastAsia="zh-CN"/>
              </w:rPr>
              <w:t>a</w:t>
            </w:r>
          </w:p>
        </w:tc>
        <w:tc>
          <w:tcPr>
            <w:tcW w:w="3110" w:type="pct"/>
            <w:vAlign w:val="center"/>
          </w:tcPr>
          <w:p w14:paraId="1642267E">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left"/>
              <w:rPr>
                <w:rFonts w:hint="eastAsia"/>
                <w:color w:val="auto"/>
                <w:kern w:val="0"/>
                <w:sz w:val="21"/>
                <w:szCs w:val="20"/>
                <w:highlight w:val="none"/>
              </w:rPr>
            </w:pPr>
            <w:r>
              <w:rPr>
                <w:rFonts w:hint="eastAsia"/>
                <w:color w:val="auto"/>
                <w:kern w:val="0"/>
                <w:sz w:val="21"/>
                <w:szCs w:val="20"/>
                <w:highlight w:val="none"/>
              </w:rPr>
              <w:t>机场航空器爬升或进近航线（至1000米离地高度）下方区域内有以鸟类为重点保护对象的自然保护地和鸟类重要生境的，生态影响评价等级为一级</w:t>
            </w:r>
          </w:p>
        </w:tc>
        <w:tc>
          <w:tcPr>
            <w:tcW w:w="1317" w:type="pct"/>
            <w:vAlign w:val="center"/>
          </w:tcPr>
          <w:p w14:paraId="628F6B2F">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both"/>
              <w:rPr>
                <w:rFonts w:hint="default" w:eastAsia="宋体"/>
                <w:color w:val="auto"/>
                <w:kern w:val="0"/>
                <w:sz w:val="21"/>
                <w:szCs w:val="20"/>
                <w:highlight w:val="none"/>
                <w:lang w:val="en-US" w:eastAsia="zh-CN"/>
              </w:rPr>
            </w:pPr>
            <w:r>
              <w:rPr>
                <w:rFonts w:hint="eastAsia"/>
                <w:color w:val="auto"/>
                <w:kern w:val="0"/>
                <w:sz w:val="21"/>
                <w:szCs w:val="20"/>
                <w:highlight w:val="none"/>
                <w:lang w:val="en-US" w:eastAsia="zh-CN"/>
              </w:rPr>
              <w:t>经核实，本机场航空器爬升及进近航线（至1000米离地高度）下方与艾比湖湿地均无交叠</w:t>
            </w:r>
          </w:p>
        </w:tc>
      </w:tr>
      <w:tr w14:paraId="15F1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1" w:type="pct"/>
            <w:vAlign w:val="center"/>
          </w:tcPr>
          <w:p w14:paraId="1B58AC23">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eastAsia" w:eastAsia="宋体"/>
                <w:color w:val="auto"/>
                <w:kern w:val="0"/>
                <w:sz w:val="21"/>
                <w:szCs w:val="20"/>
                <w:highlight w:val="none"/>
                <w:lang w:val="en-US" w:eastAsia="zh-CN"/>
              </w:rPr>
            </w:pPr>
            <w:r>
              <w:rPr>
                <w:rFonts w:hint="eastAsia" w:ascii="Times New Roman" w:eastAsia="宋体"/>
                <w:color w:val="auto"/>
                <w:kern w:val="0"/>
                <w:sz w:val="21"/>
                <w:szCs w:val="20"/>
                <w:highlight w:val="none"/>
                <w:lang w:val="en-US" w:eastAsia="zh-CN"/>
              </w:rPr>
              <w:t>b</w:t>
            </w:r>
          </w:p>
        </w:tc>
        <w:tc>
          <w:tcPr>
            <w:tcW w:w="3110" w:type="pct"/>
            <w:vAlign w:val="center"/>
          </w:tcPr>
          <w:p w14:paraId="49831F5F">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left"/>
              <w:rPr>
                <w:rFonts w:hint="eastAsia"/>
                <w:color w:val="auto"/>
                <w:kern w:val="0"/>
                <w:sz w:val="21"/>
                <w:szCs w:val="20"/>
                <w:highlight w:val="none"/>
              </w:rPr>
            </w:pPr>
            <w:r>
              <w:rPr>
                <w:rFonts w:hint="eastAsia"/>
                <w:color w:val="auto"/>
                <w:kern w:val="0"/>
                <w:sz w:val="21"/>
                <w:szCs w:val="20"/>
                <w:highlight w:val="none"/>
              </w:rPr>
              <w:t>进行削山填谷的山区机场，生态影响评价等级不低于二级</w:t>
            </w:r>
          </w:p>
        </w:tc>
        <w:tc>
          <w:tcPr>
            <w:tcW w:w="1317" w:type="pct"/>
            <w:vAlign w:val="center"/>
          </w:tcPr>
          <w:p w14:paraId="5803FA8B">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default" w:eastAsia="宋体"/>
                <w:color w:val="auto"/>
                <w:kern w:val="0"/>
                <w:sz w:val="21"/>
                <w:szCs w:val="20"/>
                <w:highlight w:val="none"/>
                <w:lang w:val="en-US" w:eastAsia="zh-CN"/>
              </w:rPr>
            </w:pPr>
            <w:r>
              <w:rPr>
                <w:rFonts w:hint="eastAsia" w:ascii="Times New Roman" w:eastAsia="宋体"/>
                <w:color w:val="auto"/>
                <w:kern w:val="0"/>
                <w:sz w:val="21"/>
                <w:szCs w:val="20"/>
                <w:highlight w:val="none"/>
                <w:lang w:val="en-US" w:eastAsia="zh-CN"/>
              </w:rPr>
              <w:t>不涉及</w:t>
            </w:r>
          </w:p>
        </w:tc>
      </w:tr>
      <w:tr w14:paraId="387F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1" w:type="pct"/>
            <w:vAlign w:val="center"/>
          </w:tcPr>
          <w:p w14:paraId="1F15E663">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eastAsia" w:eastAsia="宋体"/>
                <w:color w:val="auto"/>
                <w:kern w:val="0"/>
                <w:sz w:val="21"/>
                <w:szCs w:val="20"/>
                <w:highlight w:val="none"/>
                <w:lang w:val="en-US" w:eastAsia="zh-CN"/>
              </w:rPr>
            </w:pPr>
            <w:r>
              <w:rPr>
                <w:rFonts w:hint="eastAsia" w:ascii="Times New Roman" w:eastAsia="宋体"/>
                <w:color w:val="auto"/>
                <w:kern w:val="0"/>
                <w:sz w:val="21"/>
                <w:szCs w:val="20"/>
                <w:highlight w:val="none"/>
                <w:lang w:val="en-US" w:eastAsia="zh-CN"/>
              </w:rPr>
              <w:t>c</w:t>
            </w:r>
          </w:p>
        </w:tc>
        <w:tc>
          <w:tcPr>
            <w:tcW w:w="3110" w:type="pct"/>
            <w:vAlign w:val="center"/>
          </w:tcPr>
          <w:p w14:paraId="24D4AAD3">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left"/>
              <w:rPr>
                <w:rFonts w:hint="eastAsia"/>
                <w:color w:val="auto"/>
                <w:kern w:val="0"/>
                <w:sz w:val="21"/>
                <w:szCs w:val="20"/>
                <w:highlight w:val="none"/>
              </w:rPr>
            </w:pPr>
            <w:r>
              <w:rPr>
                <w:rFonts w:hint="eastAsia"/>
                <w:color w:val="auto"/>
                <w:kern w:val="0"/>
                <w:sz w:val="21"/>
                <w:szCs w:val="20"/>
                <w:highlight w:val="none"/>
              </w:rPr>
              <w:t>涉海机场的海洋工程生态影响评价等级判定参照GB/T 19485</w:t>
            </w:r>
          </w:p>
        </w:tc>
        <w:tc>
          <w:tcPr>
            <w:tcW w:w="1317" w:type="pct"/>
            <w:vAlign w:val="center"/>
          </w:tcPr>
          <w:p w14:paraId="0D5DF36A">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eastAsia" w:eastAsia="宋体"/>
                <w:color w:val="auto"/>
                <w:kern w:val="0"/>
                <w:sz w:val="21"/>
                <w:szCs w:val="20"/>
                <w:highlight w:val="none"/>
                <w:lang w:val="en-US" w:eastAsia="zh-CN"/>
              </w:rPr>
            </w:pPr>
            <w:r>
              <w:rPr>
                <w:rFonts w:hint="eastAsia" w:ascii="Times New Roman" w:eastAsia="宋体"/>
                <w:color w:val="auto"/>
                <w:kern w:val="0"/>
                <w:sz w:val="21"/>
                <w:szCs w:val="20"/>
                <w:highlight w:val="none"/>
                <w:lang w:val="en-US" w:eastAsia="zh-CN"/>
              </w:rPr>
              <w:t>不涉及</w:t>
            </w:r>
          </w:p>
        </w:tc>
      </w:tr>
    </w:tbl>
    <w:p w14:paraId="4F3FE9BF">
      <w:pPr>
        <w:pageBreakBefore w:val="0"/>
        <w:widowControl/>
        <w:kinsoku/>
        <w:wordWrap/>
        <w:overflowPunct/>
        <w:bidi w:val="0"/>
        <w:ind w:firstLine="480" w:firstLineChars="200"/>
        <w:jc w:val="both"/>
        <w:rPr>
          <w:rFonts w:hint="eastAsia" w:cs="Times New Roman"/>
          <w:color w:val="auto"/>
          <w:szCs w:val="21"/>
          <w:highlight w:val="none"/>
          <w:lang w:val="en-US" w:eastAsia="zh-CN"/>
        </w:rPr>
      </w:pPr>
      <w:r>
        <w:rPr>
          <w:rFonts w:hint="eastAsia"/>
          <w:color w:val="auto"/>
          <w:kern w:val="0"/>
          <w:szCs w:val="20"/>
          <w:highlight w:val="none"/>
        </w:rPr>
        <w:t>综上，</w:t>
      </w:r>
      <w:r>
        <w:rPr>
          <w:rFonts w:hint="eastAsia"/>
          <w:color w:val="auto"/>
          <w:kern w:val="0"/>
          <w:szCs w:val="20"/>
          <w:highlight w:val="none"/>
          <w:lang w:eastAsia="zh-CN"/>
        </w:rPr>
        <w:t>本项目</w:t>
      </w:r>
      <w:r>
        <w:rPr>
          <w:rFonts w:hint="eastAsia"/>
          <w:color w:val="auto"/>
          <w:kern w:val="0"/>
          <w:szCs w:val="20"/>
          <w:highlight w:val="none"/>
        </w:rPr>
        <w:t>生态影响评价工作等级为</w:t>
      </w:r>
      <w:r>
        <w:rPr>
          <w:rFonts w:hint="eastAsia"/>
          <w:color w:val="auto"/>
          <w:kern w:val="0"/>
          <w:szCs w:val="20"/>
          <w:highlight w:val="none"/>
          <w:lang w:val="en-US" w:eastAsia="zh-CN"/>
        </w:rPr>
        <w:t>二</w:t>
      </w:r>
      <w:r>
        <w:rPr>
          <w:rFonts w:hint="eastAsia"/>
          <w:color w:val="auto"/>
          <w:kern w:val="0"/>
          <w:szCs w:val="20"/>
          <w:highlight w:val="none"/>
        </w:rPr>
        <w:t>级</w:t>
      </w:r>
      <w:r>
        <w:rPr>
          <w:rFonts w:hint="eastAsia" w:eastAsia="宋体"/>
          <w:color w:val="auto"/>
          <w:kern w:val="0"/>
          <w:szCs w:val="20"/>
          <w:highlight w:val="none"/>
          <w:lang w:eastAsia="zh-CN"/>
        </w:rPr>
        <w:t>。</w:t>
      </w:r>
    </w:p>
    <w:p w14:paraId="30936CDB">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outlineLvl w:val="3"/>
        <w:rPr>
          <w:rFonts w:ascii="Times New Roman" w:hAnsi="Times New Roman" w:eastAsia="宋体" w:cs="Times New Roman"/>
          <w:b/>
          <w:bCs/>
          <w:color w:val="auto"/>
          <w:szCs w:val="21"/>
          <w:highlight w:val="none"/>
        </w:rPr>
      </w:pPr>
      <w:r>
        <w:rPr>
          <w:rFonts w:hint="eastAsia" w:cs="Times New Roman"/>
          <w:b/>
          <w:bCs/>
          <w:color w:val="auto"/>
          <w:szCs w:val="21"/>
          <w:highlight w:val="none"/>
          <w:lang w:val="en-US" w:eastAsia="zh-CN"/>
        </w:rPr>
        <w:t>2.5.1.3大气环境</w:t>
      </w:r>
      <w:r>
        <w:rPr>
          <w:rFonts w:hint="eastAsia" w:ascii="Times New Roman" w:hAnsi="Times New Roman" w:eastAsia="宋体" w:cs="Times New Roman"/>
          <w:b/>
          <w:bCs/>
          <w:color w:val="auto"/>
          <w:szCs w:val="21"/>
          <w:highlight w:val="none"/>
        </w:rPr>
        <w:t>影响评价等级</w:t>
      </w:r>
    </w:p>
    <w:p w14:paraId="4ABB0458">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eastAsia="宋体" w:cs="Times New Roman"/>
          <w:color w:val="auto"/>
          <w:szCs w:val="21"/>
          <w:highlight w:val="none"/>
          <w:lang w:val="en-US" w:eastAsia="zh-CN"/>
        </w:rPr>
      </w:pPr>
      <w:r>
        <w:rPr>
          <w:rFonts w:hint="eastAsia"/>
          <w:color w:val="auto"/>
          <w:kern w:val="0"/>
          <w:highlight w:val="none"/>
        </w:rPr>
        <w:t>根据《环境影响评价技术导则 民用机场建设工程》（HJ87-2023）</w:t>
      </w:r>
      <w:r>
        <w:rPr>
          <w:rFonts w:hint="eastAsia"/>
          <w:color w:val="auto"/>
          <w:kern w:val="0"/>
          <w:highlight w:val="none"/>
          <w:lang w:eastAsia="zh-CN"/>
        </w:rPr>
        <w:t>，“新（迁）建和飞行架次较上期环评目标年增加的改扩建的</w:t>
      </w:r>
      <w:r>
        <w:rPr>
          <w:rFonts w:hint="eastAsia"/>
          <w:color w:val="auto"/>
          <w:kern w:val="0"/>
          <w:highlight w:val="none"/>
          <w:lang w:val="en-US" w:eastAsia="zh-CN"/>
        </w:rPr>
        <w:t>枢纽</w:t>
      </w:r>
      <w:r>
        <w:rPr>
          <w:rFonts w:hint="eastAsia"/>
          <w:color w:val="auto"/>
          <w:kern w:val="0"/>
          <w:highlight w:val="none"/>
          <w:lang w:eastAsia="zh-CN"/>
        </w:rPr>
        <w:t>及</w:t>
      </w:r>
      <w:r>
        <w:rPr>
          <w:rFonts w:hint="eastAsia"/>
          <w:color w:val="auto"/>
          <w:kern w:val="0"/>
          <w:highlight w:val="none"/>
          <w:lang w:val="en-US" w:eastAsia="zh-CN"/>
        </w:rPr>
        <w:t>干</w:t>
      </w:r>
      <w:r>
        <w:rPr>
          <w:rFonts w:hint="eastAsia"/>
          <w:color w:val="auto"/>
          <w:kern w:val="0"/>
          <w:highlight w:val="none"/>
          <w:lang w:eastAsia="zh-CN"/>
        </w:rPr>
        <w:t>线机场，大气环境影响评价等级为一级。其他机场工程不考虑飞机尾气、APU及GSE的影响，依据</w:t>
      </w:r>
      <w:r>
        <w:rPr>
          <w:rFonts w:hint="eastAsia"/>
          <w:color w:val="auto"/>
          <w:kern w:val="0"/>
          <w:highlight w:val="none"/>
          <w:lang w:val="en-US" w:eastAsia="zh-CN"/>
        </w:rPr>
        <w:t>H</w:t>
      </w:r>
      <w:r>
        <w:rPr>
          <w:rFonts w:hint="eastAsia"/>
          <w:color w:val="auto"/>
          <w:kern w:val="0"/>
          <w:highlight w:val="none"/>
          <w:lang w:eastAsia="zh-CN"/>
        </w:rPr>
        <w:t>J2.2判定大气环境影响评价等级”。</w:t>
      </w:r>
    </w:p>
    <w:p w14:paraId="329F5B70">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default" w:cs="Times New Roman"/>
          <w:color w:val="auto"/>
          <w:szCs w:val="24"/>
          <w:highlight w:val="none"/>
          <w:lang w:val="en-US" w:eastAsia="zh-CN"/>
        </w:rPr>
      </w:pPr>
      <w:r>
        <w:rPr>
          <w:rFonts w:hint="eastAsia" w:cs="Times New Roman"/>
          <w:color w:val="auto"/>
          <w:szCs w:val="24"/>
          <w:highlight w:val="none"/>
          <w:lang w:val="en-US" w:eastAsia="zh-CN"/>
        </w:rPr>
        <w:t>本项目为新建通用机场，不属于枢纽及干线机场，因此依据HJ2.2判定大气环境影响评价等级：</w:t>
      </w:r>
    </w:p>
    <w:p w14:paraId="5C336001">
      <w:pPr>
        <w:keepNext w:val="0"/>
        <w:keepLines w:val="0"/>
        <w:pageBreakBefore w:val="0"/>
        <w:kinsoku/>
        <w:wordWrap/>
        <w:overflowPunct/>
        <w:topLinePunct w:val="0"/>
        <w:autoSpaceDE/>
        <w:autoSpaceDN/>
        <w:bidi w:val="0"/>
        <w:adjustRightInd/>
        <w:snapToGrid/>
        <w:ind w:firstLine="480" w:firstLineChars="200"/>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本项目</w:t>
      </w:r>
      <w:r>
        <w:rPr>
          <w:rFonts w:ascii="Times New Roman" w:hAnsi="Times New Roman" w:eastAsia="宋体" w:cs="Times New Roman"/>
          <w:color w:val="auto"/>
          <w:highlight w:val="none"/>
        </w:rPr>
        <w:t>建成后废气污染源主要为飞机尾气、汽车尾气、</w:t>
      </w:r>
      <w:r>
        <w:rPr>
          <w:rFonts w:hint="eastAsia" w:ascii="Times New Roman" w:hAnsi="Times New Roman" w:eastAsia="宋体" w:cs="Times New Roman"/>
          <w:color w:val="auto"/>
          <w:highlight w:val="none"/>
          <w:lang w:val="en-US" w:eastAsia="zh-CN"/>
        </w:rPr>
        <w:t>罐式加油车</w:t>
      </w:r>
      <w:r>
        <w:rPr>
          <w:rFonts w:hint="eastAsia" w:cs="Times New Roman"/>
          <w:color w:val="auto"/>
          <w:highlight w:val="none"/>
          <w:lang w:val="en-US" w:eastAsia="zh-CN"/>
        </w:rPr>
        <w:t>无组织</w:t>
      </w:r>
      <w:r>
        <w:rPr>
          <w:rFonts w:ascii="Times New Roman" w:hAnsi="Times New Roman" w:eastAsia="宋体" w:cs="Times New Roman"/>
          <w:color w:val="auto"/>
          <w:highlight w:val="none"/>
        </w:rPr>
        <w:t>非甲烷总烃</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食堂油烟</w:t>
      </w:r>
      <w:r>
        <w:rPr>
          <w:rFonts w:ascii="Times New Roman" w:hAnsi="Times New Roman" w:eastAsia="宋体" w:cs="Times New Roman"/>
          <w:color w:val="auto"/>
          <w:highlight w:val="none"/>
        </w:rPr>
        <w:t>以及污水处理站</w:t>
      </w:r>
      <w:r>
        <w:rPr>
          <w:rFonts w:hint="eastAsia" w:ascii="Times New Roman" w:hAnsi="Times New Roman" w:eastAsia="宋体" w:cs="Times New Roman"/>
          <w:color w:val="auto"/>
          <w:highlight w:val="none"/>
        </w:rPr>
        <w:t>恶臭污染物；</w:t>
      </w:r>
      <w:r>
        <w:rPr>
          <w:rFonts w:ascii="Times New Roman" w:hAnsi="Times New Roman" w:eastAsia="宋体" w:cs="Times New Roman"/>
          <w:color w:val="auto"/>
          <w:highlight w:val="none"/>
        </w:rPr>
        <w:t>项目不排放对人体健康或生态环境有严重危害的特殊污染物。采用大气导则要求的估算模式对评价工作等级进行确定，估算模型参数见表</w:t>
      </w:r>
      <w:r>
        <w:rPr>
          <w:rFonts w:hint="eastAsia" w:ascii="Times New Roman" w:hAnsi="Times New Roman" w:eastAsia="宋体" w:cs="Times New Roman"/>
          <w:color w:val="auto"/>
          <w:highlight w:val="none"/>
          <w:lang w:val="en-US" w:eastAsia="zh-CN"/>
        </w:rPr>
        <w:t>2.5</w:t>
      </w: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2</w:t>
      </w:r>
      <w:r>
        <w:rPr>
          <w:rFonts w:ascii="Times New Roman" w:hAnsi="Times New Roman" w:eastAsia="宋体" w:cs="Times New Roman"/>
          <w:color w:val="auto"/>
          <w:highlight w:val="none"/>
        </w:rPr>
        <w:t>。</w:t>
      </w:r>
    </w:p>
    <w:p w14:paraId="63E8E2E1">
      <w:pPr>
        <w:spacing w:line="336"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各污染源估算结果汇总见表2</w:t>
      </w:r>
      <w:r>
        <w:rPr>
          <w:rFonts w:hint="eastAsia" w:ascii="Times New Roman" w:hAnsi="Times New Roman" w:eastAsia="宋体" w:cs="Times New Roman"/>
          <w:color w:val="auto"/>
          <w:highlight w:val="none"/>
          <w:lang w:val="en-US" w:eastAsia="zh-CN"/>
        </w:rPr>
        <w:t>.5-3</w:t>
      </w:r>
      <w:r>
        <w:rPr>
          <w:rFonts w:ascii="Times New Roman" w:hAnsi="Times New Roman" w:eastAsia="宋体" w:cs="Times New Roman"/>
          <w:color w:val="auto"/>
          <w:highlight w:val="none"/>
        </w:rPr>
        <w:t>。</w:t>
      </w:r>
    </w:p>
    <w:p w14:paraId="63BD2AAC">
      <w:pPr>
        <w:pageBreakBefore w:val="0"/>
        <w:widowControl/>
        <w:kinsoku/>
        <w:wordWrap/>
        <w:overflowPunct/>
        <w:bidi w:val="0"/>
        <w:adjustRightInd w:val="0"/>
        <w:snapToGrid w:val="0"/>
        <w:ind w:firstLine="480" w:firstLineChars="200"/>
        <w:jc w:val="both"/>
        <w:rPr>
          <w:rFonts w:hint="default" w:ascii="Times New Roman" w:hAnsi="Times New Roman" w:eastAsia="宋体" w:cs="Times New Roman"/>
          <w:color w:val="auto"/>
          <w:spacing w:val="0"/>
          <w:sz w:val="24"/>
          <w:szCs w:val="21"/>
          <w:highlight w:val="none"/>
          <w:lang w:val="en-US" w:eastAsia="zh-CN"/>
        </w:rPr>
      </w:pPr>
      <w:r>
        <w:rPr>
          <w:rFonts w:hint="eastAsia" w:ascii="Times New Roman" w:hAnsi="Times New Roman" w:eastAsia="宋体" w:cs="Times New Roman"/>
          <w:color w:val="auto"/>
          <w:spacing w:val="0"/>
          <w:sz w:val="24"/>
          <w:highlight w:val="none"/>
        </w:rPr>
        <w:t>结果显示</w:t>
      </w:r>
      <w:r>
        <w:rPr>
          <w:rFonts w:ascii="Times New Roman" w:hAnsi="Times New Roman" w:eastAsia="宋体" w:cs="Times New Roman"/>
          <w:color w:val="auto"/>
          <w:spacing w:val="0"/>
          <w:sz w:val="24"/>
          <w:highlight w:val="none"/>
        </w:rPr>
        <w:t>，本项目</w:t>
      </w:r>
      <w:r>
        <w:rPr>
          <w:rFonts w:ascii="Times New Roman" w:hAnsi="Times New Roman" w:eastAsia="宋体" w:cs="Times New Roman"/>
          <w:i/>
          <w:color w:val="auto"/>
          <w:spacing w:val="0"/>
          <w:sz w:val="24"/>
          <w:highlight w:val="none"/>
        </w:rPr>
        <w:t>P</w:t>
      </w:r>
      <w:r>
        <w:rPr>
          <w:rFonts w:ascii="Times New Roman" w:hAnsi="Times New Roman" w:eastAsia="宋体" w:cs="Times New Roman"/>
          <w:i/>
          <w:color w:val="auto"/>
          <w:spacing w:val="0"/>
          <w:sz w:val="24"/>
          <w:highlight w:val="none"/>
          <w:vertAlign w:val="subscript"/>
        </w:rPr>
        <w:t>max</w:t>
      </w:r>
      <w:r>
        <w:rPr>
          <w:rFonts w:ascii="Times New Roman" w:hAnsi="Times New Roman" w:eastAsia="宋体" w:cs="Times New Roman"/>
          <w:color w:val="auto"/>
          <w:spacing w:val="0"/>
          <w:sz w:val="24"/>
          <w:highlight w:val="none"/>
        </w:rPr>
        <w:t>最大值为</w:t>
      </w:r>
      <w:r>
        <w:rPr>
          <w:rFonts w:hint="eastAsia" w:ascii="Times New Roman" w:hAnsi="Times New Roman" w:eastAsia="宋体" w:cs="Times New Roman"/>
          <w:color w:val="auto"/>
          <w:spacing w:val="0"/>
          <w:sz w:val="24"/>
          <w:highlight w:val="none"/>
        </w:rPr>
        <w:t>罐式加油车</w:t>
      </w:r>
      <w:r>
        <w:rPr>
          <w:rFonts w:ascii="Times New Roman" w:hAnsi="Times New Roman" w:eastAsia="宋体" w:cs="Times New Roman"/>
          <w:color w:val="auto"/>
          <w:spacing w:val="0"/>
          <w:sz w:val="24"/>
          <w:highlight w:val="none"/>
        </w:rPr>
        <w:t>无组织排放的</w:t>
      </w:r>
      <w:r>
        <w:rPr>
          <w:rFonts w:hint="eastAsia" w:ascii="Times New Roman" w:hAnsi="Times New Roman" w:eastAsia="宋体" w:cs="Times New Roman"/>
          <w:color w:val="auto"/>
          <w:spacing w:val="0"/>
          <w:sz w:val="24"/>
          <w:highlight w:val="none"/>
        </w:rPr>
        <w:t>NMHC</w:t>
      </w:r>
      <w:r>
        <w:rPr>
          <w:rFonts w:ascii="Times New Roman" w:hAnsi="Times New Roman" w:eastAsia="宋体" w:cs="Times New Roman"/>
          <w:color w:val="auto"/>
          <w:spacing w:val="0"/>
          <w:sz w:val="24"/>
          <w:highlight w:val="none"/>
        </w:rPr>
        <w:t>，</w:t>
      </w:r>
      <w:r>
        <w:rPr>
          <w:rFonts w:ascii="Times New Roman" w:hAnsi="Times New Roman" w:eastAsia="宋体" w:cs="Times New Roman"/>
          <w:i/>
          <w:color w:val="auto"/>
          <w:spacing w:val="0"/>
          <w:sz w:val="24"/>
          <w:highlight w:val="none"/>
        </w:rPr>
        <w:t>P</w:t>
      </w:r>
      <w:r>
        <w:rPr>
          <w:rFonts w:ascii="Times New Roman" w:hAnsi="Times New Roman" w:eastAsia="宋体" w:cs="Times New Roman"/>
          <w:i/>
          <w:color w:val="auto"/>
          <w:spacing w:val="0"/>
          <w:sz w:val="24"/>
          <w:highlight w:val="none"/>
          <w:vertAlign w:val="subscript"/>
        </w:rPr>
        <w:t>max</w:t>
      </w:r>
      <w:r>
        <w:rPr>
          <w:rFonts w:ascii="Times New Roman" w:hAnsi="Times New Roman" w:eastAsia="宋体" w:cs="Times New Roman"/>
          <w:color w:val="auto"/>
          <w:spacing w:val="0"/>
          <w:sz w:val="24"/>
          <w:highlight w:val="none"/>
        </w:rPr>
        <w:t>=1.05%，根据《环境影响评价技术导则  大气环境》（HJ2.2-2018）分级判据，确定本项目大气环境影响评价工作等级为</w:t>
      </w:r>
      <w:r>
        <w:rPr>
          <w:rFonts w:hint="eastAsia" w:ascii="Times New Roman" w:hAnsi="Times New Roman" w:eastAsia="宋体" w:cs="Times New Roman"/>
          <w:color w:val="auto"/>
          <w:spacing w:val="0"/>
          <w:sz w:val="24"/>
          <w:highlight w:val="none"/>
        </w:rPr>
        <w:t>二</w:t>
      </w:r>
      <w:r>
        <w:rPr>
          <w:rFonts w:ascii="Times New Roman" w:hAnsi="Times New Roman" w:eastAsia="宋体" w:cs="Times New Roman"/>
          <w:color w:val="auto"/>
          <w:spacing w:val="0"/>
          <w:sz w:val="24"/>
          <w:highlight w:val="none"/>
        </w:rPr>
        <w:t>级</w:t>
      </w:r>
      <w:r>
        <w:rPr>
          <w:rFonts w:hint="eastAsia" w:cs="Times New Roman"/>
          <w:color w:val="auto"/>
          <w:spacing w:val="0"/>
          <w:sz w:val="24"/>
          <w:szCs w:val="21"/>
          <w:highlight w:val="none"/>
          <w:lang w:val="en-US" w:eastAsia="zh-CN"/>
        </w:rPr>
        <w:t>。</w:t>
      </w:r>
    </w:p>
    <w:p w14:paraId="021B3BF6">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outlineLvl w:val="3"/>
        <w:rPr>
          <w:rFonts w:ascii="Times New Roman" w:hAnsi="Times New Roman" w:eastAsia="宋体" w:cs="Times New Roman"/>
          <w:b/>
          <w:bCs/>
          <w:color w:val="auto"/>
          <w:szCs w:val="21"/>
          <w:highlight w:val="none"/>
        </w:rPr>
      </w:pPr>
      <w:r>
        <w:rPr>
          <w:rFonts w:hint="eastAsia" w:cs="Times New Roman"/>
          <w:b/>
          <w:bCs/>
          <w:color w:val="auto"/>
          <w:szCs w:val="21"/>
          <w:highlight w:val="none"/>
          <w:lang w:val="en-US" w:eastAsia="zh-CN"/>
        </w:rPr>
        <w:t>2.5.1.4地表水环境</w:t>
      </w:r>
      <w:r>
        <w:rPr>
          <w:rFonts w:hint="eastAsia" w:ascii="Times New Roman" w:hAnsi="Times New Roman" w:eastAsia="宋体" w:cs="Times New Roman"/>
          <w:b/>
          <w:bCs/>
          <w:color w:val="auto"/>
          <w:szCs w:val="21"/>
          <w:highlight w:val="none"/>
        </w:rPr>
        <w:t>影响评价等级</w:t>
      </w:r>
    </w:p>
    <w:p w14:paraId="30398872">
      <w:pPr>
        <w:pageBreakBefore w:val="0"/>
        <w:widowControl/>
        <w:kinsoku/>
        <w:wordWrap/>
        <w:overflowPunct/>
        <w:bidi w:val="0"/>
        <w:ind w:firstLine="480" w:firstLineChars="200"/>
        <w:jc w:val="both"/>
        <w:rPr>
          <w:rFonts w:hint="default"/>
          <w:color w:val="auto"/>
          <w:kern w:val="0"/>
          <w:sz w:val="24"/>
          <w:highlight w:val="none"/>
          <w:lang w:val="en-US" w:eastAsia="zh-CN"/>
        </w:rPr>
      </w:pPr>
      <w:r>
        <w:rPr>
          <w:rFonts w:hint="eastAsia"/>
          <w:color w:val="auto"/>
          <w:kern w:val="0"/>
          <w:sz w:val="24"/>
          <w:highlight w:val="none"/>
        </w:rPr>
        <w:t>根据《环境影响评价技术导则 民用机场建设工程》（HJ87-2023），机场工程一般作为水污染影响型建设项目，依据</w:t>
      </w:r>
      <w:r>
        <w:rPr>
          <w:rFonts w:hint="eastAsia"/>
          <w:color w:val="auto"/>
          <w:kern w:val="0"/>
          <w:sz w:val="24"/>
          <w:highlight w:val="none"/>
          <w:lang w:val="en-US" w:eastAsia="zh-CN"/>
        </w:rPr>
        <w:t>H</w:t>
      </w:r>
      <w:r>
        <w:rPr>
          <w:rFonts w:hint="eastAsia"/>
          <w:color w:val="auto"/>
          <w:kern w:val="0"/>
          <w:sz w:val="24"/>
          <w:highlight w:val="none"/>
        </w:rPr>
        <w:t>J2.3开展地表水环境影响评价</w:t>
      </w:r>
      <w:r>
        <w:rPr>
          <w:rFonts w:hint="eastAsia"/>
          <w:color w:val="auto"/>
          <w:kern w:val="0"/>
          <w:sz w:val="24"/>
          <w:highlight w:val="none"/>
          <w:lang w:eastAsia="zh-CN"/>
        </w:rPr>
        <w:t>。</w:t>
      </w:r>
      <w:r>
        <w:rPr>
          <w:rFonts w:hint="eastAsia"/>
          <w:color w:val="auto"/>
          <w:kern w:val="0"/>
          <w:sz w:val="24"/>
          <w:highlight w:val="none"/>
          <w:lang w:val="en-US" w:eastAsia="zh-CN"/>
        </w:rPr>
        <w:t>对标导则，本项目不属于“向地表水体排放污染物的机场工程”，机场运营期污（废）水经配套污水处理站处理后进入中水蓄水池，冬储夏灌，不外排，属于“污（废）水处理后作为中水回用、不排放到外环境的机场工程，评价等级为三级B”。因此，本项目地表水环境影响评价等级为三级B。</w:t>
      </w:r>
    </w:p>
    <w:p w14:paraId="2919D836">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outlineLvl w:val="3"/>
        <w:rPr>
          <w:rFonts w:ascii="Times New Roman" w:hAnsi="Times New Roman" w:eastAsia="宋体" w:cs="Times New Roman"/>
          <w:b/>
          <w:bCs/>
          <w:color w:val="auto"/>
          <w:szCs w:val="21"/>
          <w:highlight w:val="none"/>
        </w:rPr>
      </w:pPr>
      <w:r>
        <w:rPr>
          <w:rFonts w:hint="eastAsia" w:cs="Times New Roman"/>
          <w:b/>
          <w:bCs/>
          <w:color w:val="auto"/>
          <w:szCs w:val="21"/>
          <w:highlight w:val="none"/>
          <w:lang w:val="en-US" w:eastAsia="zh-CN"/>
        </w:rPr>
        <w:t>2.5.1.5地下水环境</w:t>
      </w:r>
      <w:r>
        <w:rPr>
          <w:rFonts w:hint="eastAsia" w:ascii="Times New Roman" w:hAnsi="Times New Roman" w:eastAsia="宋体" w:cs="Times New Roman"/>
          <w:b/>
          <w:bCs/>
          <w:color w:val="auto"/>
          <w:szCs w:val="21"/>
          <w:highlight w:val="none"/>
        </w:rPr>
        <w:t>影响评价等级</w:t>
      </w:r>
    </w:p>
    <w:p w14:paraId="789DA0AD">
      <w:pPr>
        <w:keepNext w:val="0"/>
        <w:keepLines w:val="0"/>
        <w:pageBreakBefore w:val="0"/>
        <w:widowControl/>
        <w:kinsoku/>
        <w:wordWrap/>
        <w:overflowPunct/>
        <w:topLinePunct w:val="0"/>
        <w:bidi w:val="0"/>
        <w:adjustRightInd/>
        <w:snapToGrid/>
        <w:ind w:firstLine="480" w:firstLineChars="200"/>
        <w:jc w:val="both"/>
        <w:textAlignment w:val="auto"/>
        <w:rPr>
          <w:rFonts w:hint="eastAsia"/>
          <w:color w:val="auto"/>
          <w:kern w:val="0"/>
          <w:highlight w:val="none"/>
          <w:lang w:eastAsia="zh-CN"/>
        </w:rPr>
      </w:pPr>
      <w:r>
        <w:rPr>
          <w:rFonts w:hint="eastAsia"/>
          <w:color w:val="auto"/>
          <w:kern w:val="0"/>
          <w:highlight w:val="none"/>
        </w:rPr>
        <w:t>根据《环境影响评价技术导则 民用机场建设工程》（HJ87-2023）</w:t>
      </w:r>
      <w:r>
        <w:rPr>
          <w:rFonts w:hint="eastAsia"/>
          <w:color w:val="auto"/>
          <w:kern w:val="0"/>
          <w:highlight w:val="none"/>
          <w:lang w:val="en-US" w:eastAsia="zh-CN"/>
        </w:rPr>
        <w:t>及《环境影响评价技术导则 地下水环境》（HJ610-2016）</w:t>
      </w:r>
      <w:r>
        <w:rPr>
          <w:rFonts w:hint="eastAsia"/>
          <w:color w:val="auto"/>
          <w:kern w:val="0"/>
          <w:highlight w:val="none"/>
        </w:rPr>
        <w:t>，</w:t>
      </w:r>
      <w:r>
        <w:rPr>
          <w:rFonts w:hint="eastAsia"/>
          <w:color w:val="auto"/>
          <w:kern w:val="0"/>
          <w:highlight w:val="none"/>
          <w:lang w:val="en-US" w:eastAsia="zh-CN"/>
        </w:rPr>
        <w:t>项目本期配置2辆罐式加油车为机场进行油料保障及储存使用</w:t>
      </w:r>
      <w:r>
        <w:rPr>
          <w:rFonts w:hint="eastAsia"/>
          <w:color w:val="auto"/>
          <w:kern w:val="0"/>
          <w:highlight w:val="none"/>
          <w:lang w:eastAsia="zh-CN"/>
        </w:rPr>
        <w:t>，</w:t>
      </w:r>
      <w:r>
        <w:rPr>
          <w:rFonts w:hint="eastAsia"/>
          <w:color w:val="auto"/>
          <w:kern w:val="0"/>
          <w:highlight w:val="none"/>
        </w:rPr>
        <w:t>不</w:t>
      </w:r>
      <w:r>
        <w:rPr>
          <w:rFonts w:hint="eastAsia"/>
          <w:color w:val="auto"/>
          <w:kern w:val="0"/>
          <w:highlight w:val="none"/>
          <w:lang w:val="en-US" w:eastAsia="zh-CN"/>
        </w:rPr>
        <w:t>涉及</w:t>
      </w:r>
      <w:r>
        <w:rPr>
          <w:rFonts w:hint="eastAsia"/>
          <w:color w:val="auto"/>
          <w:kern w:val="0"/>
          <w:highlight w:val="none"/>
        </w:rPr>
        <w:t>地下油库</w:t>
      </w:r>
      <w:r>
        <w:rPr>
          <w:rFonts w:hint="eastAsia"/>
          <w:color w:val="auto"/>
          <w:kern w:val="0"/>
          <w:highlight w:val="none"/>
          <w:lang w:val="en-US" w:eastAsia="zh-CN"/>
        </w:rPr>
        <w:t>建设</w:t>
      </w:r>
      <w:r>
        <w:rPr>
          <w:rFonts w:hint="eastAsia"/>
          <w:color w:val="auto"/>
          <w:kern w:val="0"/>
          <w:highlight w:val="none"/>
          <w:lang w:eastAsia="zh-CN"/>
        </w:rPr>
        <w:t>，按照Ⅱ类建设项目开展地下水环境影响评价。</w:t>
      </w:r>
    </w:p>
    <w:p w14:paraId="16FCAC97">
      <w:pPr>
        <w:keepNext w:val="0"/>
        <w:keepLines w:val="0"/>
        <w:pageBreakBefore w:val="0"/>
        <w:kinsoku/>
        <w:wordWrap/>
        <w:overflowPunct/>
        <w:topLinePunct w:val="0"/>
        <w:autoSpaceDE w:val="0"/>
        <w:autoSpaceDN w:val="0"/>
        <w:bidi w:val="0"/>
        <w:adjustRightInd/>
        <w:snapToGrid/>
        <w:ind w:firstLine="480" w:firstLineChars="200"/>
        <w:textAlignment w:val="auto"/>
        <w:rPr>
          <w:rFonts w:ascii="Times New Roman" w:hAnsi="Times New Roman" w:eastAsia="宋体" w:cs="Times New Roman"/>
          <w:color w:val="auto"/>
          <w:kern w:val="0"/>
          <w:szCs w:val="20"/>
          <w:highlight w:val="none"/>
        </w:rPr>
      </w:pPr>
      <w:r>
        <w:rPr>
          <w:rFonts w:ascii="Times New Roman" w:hAnsi="Times New Roman" w:eastAsia="宋体" w:cs="Times New Roman"/>
          <w:color w:val="auto"/>
          <w:kern w:val="0"/>
          <w:szCs w:val="20"/>
          <w:highlight w:val="none"/>
        </w:rPr>
        <w:t>根据《环境影响评价技术导则</w:t>
      </w:r>
      <w:r>
        <w:rPr>
          <w:rFonts w:hint="eastAsia" w:ascii="Times New Roman" w:hAnsi="Times New Roman" w:eastAsia="宋体" w:cs="Times New Roman"/>
          <w:color w:val="auto"/>
          <w:kern w:val="0"/>
          <w:szCs w:val="20"/>
          <w:highlight w:val="none"/>
        </w:rPr>
        <w:t xml:space="preserve"> </w:t>
      </w:r>
      <w:r>
        <w:rPr>
          <w:rFonts w:ascii="Times New Roman" w:hAnsi="Times New Roman" w:eastAsia="宋体" w:cs="Times New Roman"/>
          <w:color w:val="auto"/>
          <w:kern w:val="0"/>
          <w:szCs w:val="20"/>
          <w:highlight w:val="none"/>
        </w:rPr>
        <w:t xml:space="preserve"> 地下水环境》（</w:t>
      </w:r>
      <w:r>
        <w:rPr>
          <w:rFonts w:ascii="Times New Roman" w:hAnsi="Times New Roman" w:eastAsia="Times New Roman" w:cs="Times New Roman"/>
          <w:color w:val="auto"/>
          <w:kern w:val="0"/>
          <w:szCs w:val="20"/>
          <w:highlight w:val="none"/>
        </w:rPr>
        <w:t>HJ610-2016</w:t>
      </w:r>
      <w:r>
        <w:rPr>
          <w:rFonts w:ascii="Times New Roman" w:hAnsi="Times New Roman" w:eastAsia="宋体" w:cs="Times New Roman"/>
          <w:color w:val="auto"/>
          <w:kern w:val="0"/>
          <w:szCs w:val="20"/>
          <w:highlight w:val="none"/>
        </w:rPr>
        <w:t>）表</w:t>
      </w:r>
      <w:r>
        <w:rPr>
          <w:rFonts w:ascii="Times New Roman" w:hAnsi="Times New Roman" w:eastAsia="Times New Roman" w:cs="Times New Roman"/>
          <w:color w:val="auto"/>
          <w:kern w:val="0"/>
          <w:szCs w:val="20"/>
          <w:highlight w:val="none"/>
        </w:rPr>
        <w:t>1</w:t>
      </w:r>
      <w:r>
        <w:rPr>
          <w:rFonts w:ascii="Times New Roman" w:hAnsi="Times New Roman" w:eastAsia="宋体" w:cs="Times New Roman"/>
          <w:color w:val="auto"/>
          <w:kern w:val="0"/>
          <w:szCs w:val="20"/>
          <w:highlight w:val="none"/>
        </w:rPr>
        <w:t>，建设项目的地下水环境敏感程度可分为</w:t>
      </w:r>
      <w:r>
        <w:rPr>
          <w:rFonts w:hint="eastAsia" w:ascii="Times New Roman" w:hAnsi="Times New Roman" w:eastAsia="宋体" w:cs="Times New Roman"/>
          <w:color w:val="auto"/>
          <w:kern w:val="0"/>
          <w:szCs w:val="20"/>
          <w:highlight w:val="none"/>
        </w:rPr>
        <w:t>“</w:t>
      </w:r>
      <w:r>
        <w:rPr>
          <w:rFonts w:ascii="Times New Roman" w:hAnsi="Times New Roman" w:eastAsia="宋体" w:cs="Times New Roman"/>
          <w:color w:val="auto"/>
          <w:kern w:val="0"/>
          <w:szCs w:val="20"/>
          <w:highlight w:val="none"/>
        </w:rPr>
        <w:t>敏感、较敏感、不敏感</w:t>
      </w:r>
      <w:r>
        <w:rPr>
          <w:rFonts w:hint="eastAsia" w:ascii="Times New Roman" w:hAnsi="Times New Roman" w:eastAsia="宋体" w:cs="Times New Roman"/>
          <w:color w:val="auto"/>
          <w:kern w:val="0"/>
          <w:szCs w:val="20"/>
          <w:highlight w:val="none"/>
        </w:rPr>
        <w:t>”等</w:t>
      </w:r>
      <w:r>
        <w:rPr>
          <w:rFonts w:ascii="Times New Roman" w:hAnsi="Times New Roman" w:eastAsia="宋体" w:cs="Times New Roman"/>
          <w:color w:val="auto"/>
          <w:kern w:val="0"/>
          <w:szCs w:val="20"/>
          <w:highlight w:val="none"/>
        </w:rPr>
        <w:t>，分级原则见下表</w:t>
      </w:r>
      <w:r>
        <w:rPr>
          <w:rFonts w:hint="eastAsia" w:ascii="Times New Roman" w:hAnsi="Times New Roman" w:eastAsia="宋体" w:cs="Times New Roman"/>
          <w:color w:val="auto"/>
          <w:kern w:val="0"/>
          <w:szCs w:val="20"/>
          <w:highlight w:val="none"/>
        </w:rPr>
        <w:t>2.5-</w:t>
      </w:r>
      <w:r>
        <w:rPr>
          <w:rFonts w:hint="eastAsia" w:ascii="Times New Roman" w:hAnsi="Times New Roman" w:eastAsia="宋体" w:cs="Times New Roman"/>
          <w:color w:val="auto"/>
          <w:kern w:val="0"/>
          <w:szCs w:val="20"/>
          <w:highlight w:val="none"/>
          <w:lang w:val="en-US" w:eastAsia="zh-CN"/>
        </w:rPr>
        <w:t>4</w:t>
      </w:r>
      <w:r>
        <w:rPr>
          <w:rFonts w:ascii="Times New Roman" w:hAnsi="Times New Roman" w:eastAsia="宋体" w:cs="Times New Roman"/>
          <w:color w:val="auto"/>
          <w:kern w:val="0"/>
          <w:szCs w:val="20"/>
          <w:highlight w:val="none"/>
        </w:rPr>
        <w:t>。</w:t>
      </w:r>
    </w:p>
    <w:p w14:paraId="2E00C678">
      <w:pPr>
        <w:ind w:firstLine="0"/>
        <w:jc w:val="center"/>
        <w:rPr>
          <w:rFonts w:ascii="黑体" w:hAnsi="黑体" w:eastAsia="黑体" w:cs="Times New Roman"/>
          <w:color w:val="auto"/>
          <w:sz w:val="21"/>
          <w:highlight w:val="none"/>
        </w:rPr>
      </w:pPr>
      <w:r>
        <w:rPr>
          <w:rFonts w:ascii="黑体" w:hAnsi="黑体" w:eastAsia="黑体" w:cs="Times New Roman"/>
          <w:color w:val="auto"/>
          <w:sz w:val="21"/>
          <w:highlight w:val="none"/>
        </w:rPr>
        <w:t>表</w:t>
      </w:r>
      <w:r>
        <w:rPr>
          <w:rFonts w:hint="eastAsia" w:ascii="黑体" w:hAnsi="黑体" w:eastAsia="黑体" w:cs="Times New Roman"/>
          <w:color w:val="auto"/>
          <w:sz w:val="21"/>
          <w:highlight w:val="none"/>
        </w:rPr>
        <w:t>2.5-</w:t>
      </w:r>
      <w:r>
        <w:rPr>
          <w:rFonts w:hint="eastAsia" w:ascii="黑体" w:hAnsi="黑体" w:eastAsia="黑体" w:cs="Times New Roman"/>
          <w:color w:val="auto"/>
          <w:sz w:val="21"/>
          <w:highlight w:val="none"/>
          <w:lang w:val="en-US" w:eastAsia="zh-CN"/>
        </w:rPr>
        <w:t xml:space="preserve">4  </w:t>
      </w:r>
      <w:r>
        <w:rPr>
          <w:rFonts w:ascii="黑体" w:hAnsi="黑体" w:eastAsia="黑体" w:cs="Times New Roman"/>
          <w:color w:val="auto"/>
          <w:sz w:val="21"/>
          <w:highlight w:val="none"/>
        </w:rPr>
        <w:t>地下水环境敏感程度分级表</w:t>
      </w:r>
    </w:p>
    <w:tbl>
      <w:tblPr>
        <w:tblStyle w:val="5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7809"/>
      </w:tblGrid>
      <w:tr w14:paraId="07C9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0" w:type="pct"/>
            <w:vAlign w:val="center"/>
          </w:tcPr>
          <w:p w14:paraId="5B75C854">
            <w:pPr>
              <w:keepNext w:val="0"/>
              <w:keepLines w:val="0"/>
              <w:suppressLineNumbers w:val="0"/>
              <w:kinsoku w:val="0"/>
              <w:overflowPunct w:val="0"/>
              <w:autoSpaceDE w:val="0"/>
              <w:autoSpaceDN w:val="0"/>
              <w:adjustRightInd w:val="0"/>
              <w:spacing w:before="0" w:beforeAutospacing="0" w:after="0" w:afterAutospacing="0" w:line="240" w:lineRule="auto"/>
              <w:ind w:left="0" w:right="0"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敏感程度</w:t>
            </w:r>
          </w:p>
        </w:tc>
        <w:tc>
          <w:tcPr>
            <w:tcW w:w="4419" w:type="pct"/>
            <w:vAlign w:val="center"/>
          </w:tcPr>
          <w:p w14:paraId="25454229">
            <w:pPr>
              <w:keepNext w:val="0"/>
              <w:keepLines w:val="0"/>
              <w:suppressLineNumbers w:val="0"/>
              <w:kinsoku w:val="0"/>
              <w:overflowPunct w:val="0"/>
              <w:autoSpaceDE w:val="0"/>
              <w:autoSpaceDN w:val="0"/>
              <w:spacing w:before="0" w:beforeAutospacing="0" w:after="0" w:afterAutospacing="0" w:line="240" w:lineRule="auto"/>
              <w:ind w:left="0" w:right="0"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地下水环境敏感特征</w:t>
            </w:r>
          </w:p>
        </w:tc>
      </w:tr>
      <w:tr w14:paraId="77F0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0" w:type="pct"/>
            <w:vAlign w:val="center"/>
          </w:tcPr>
          <w:p w14:paraId="729AC69A">
            <w:pPr>
              <w:keepNext w:val="0"/>
              <w:keepLines w:val="0"/>
              <w:suppressLineNumbers w:val="0"/>
              <w:kinsoku w:val="0"/>
              <w:overflowPunct w:val="0"/>
              <w:autoSpaceDE w:val="0"/>
              <w:autoSpaceDN w:val="0"/>
              <w:adjustRightInd w:val="0"/>
              <w:spacing w:before="0" w:beforeAutospacing="0" w:after="0" w:afterAutospacing="0" w:line="240" w:lineRule="auto"/>
              <w:ind w:left="0" w:right="0"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敏感</w:t>
            </w:r>
          </w:p>
        </w:tc>
        <w:tc>
          <w:tcPr>
            <w:tcW w:w="4419" w:type="pct"/>
            <w:vAlign w:val="center"/>
          </w:tcPr>
          <w:p w14:paraId="5AF33E2B">
            <w:pPr>
              <w:keepNext w:val="0"/>
              <w:keepLines w:val="0"/>
              <w:suppressLineNumbers w:val="0"/>
              <w:kinsoku w:val="0"/>
              <w:overflowPunct w:val="0"/>
              <w:autoSpaceDE w:val="0"/>
              <w:autoSpaceDN w:val="0"/>
              <w:spacing w:before="0" w:beforeAutospacing="0" w:after="0" w:afterAutospacing="0" w:line="256" w:lineRule="auto"/>
              <w:ind w:left="0" w:right="0" w:firstLine="0"/>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集中式饮用水水源（包括已建成的在用、备用、应急水源，在建和规划的饮用水水源）准保护区；除集中式饮用水水源以外的国家或地方政府设定的与地下水环境相关的其他保护区，如热水、矿泉水、温泉等特殊地下水资源保护区。</w:t>
            </w:r>
          </w:p>
        </w:tc>
      </w:tr>
      <w:tr w14:paraId="42775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0" w:type="pct"/>
            <w:tcBorders>
              <w:bottom w:val="single" w:color="auto" w:sz="4" w:space="0"/>
            </w:tcBorders>
            <w:vAlign w:val="center"/>
          </w:tcPr>
          <w:p w14:paraId="2B8A84AB">
            <w:pPr>
              <w:keepNext w:val="0"/>
              <w:keepLines w:val="0"/>
              <w:suppressLineNumbers w:val="0"/>
              <w:kinsoku w:val="0"/>
              <w:overflowPunct w:val="0"/>
              <w:autoSpaceDE w:val="0"/>
              <w:autoSpaceDN w:val="0"/>
              <w:adjustRightInd w:val="0"/>
              <w:spacing w:before="0" w:beforeAutospacing="0" w:after="0" w:afterAutospacing="0" w:line="240" w:lineRule="auto"/>
              <w:ind w:left="0" w:right="0"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较敏感</w:t>
            </w:r>
          </w:p>
        </w:tc>
        <w:tc>
          <w:tcPr>
            <w:tcW w:w="4419" w:type="pct"/>
            <w:tcBorders>
              <w:bottom w:val="single" w:color="auto" w:sz="4" w:space="0"/>
            </w:tcBorders>
            <w:vAlign w:val="center"/>
          </w:tcPr>
          <w:p w14:paraId="255CAEA6">
            <w:pPr>
              <w:keepNext w:val="0"/>
              <w:keepLines w:val="0"/>
              <w:suppressLineNumbers w:val="0"/>
              <w:kinsoku w:val="0"/>
              <w:overflowPunct w:val="0"/>
              <w:autoSpaceDE w:val="0"/>
              <w:autoSpaceDN w:val="0"/>
              <w:spacing w:before="0" w:beforeAutospacing="0" w:after="0" w:afterAutospacing="0" w:line="256" w:lineRule="auto"/>
              <w:ind w:left="0" w:right="0" w:firstLine="0"/>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集中式饮用水水源（包括已建成的在用、备用、应急水源，在建和规划的饮用水水源）准保护区以外的补给径流区；未划定准保护区的集中式饮用水水源，其保护区以外的补给径流区；分散式饮用水水源地；特殊地下水资源（如矿泉水、温泉等）保护区以外的分布区等其他未列入上述敏感分级的环境敏感区。</w:t>
            </w:r>
          </w:p>
        </w:tc>
      </w:tr>
      <w:tr w14:paraId="2BF1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0" w:type="pct"/>
            <w:tcBorders>
              <w:bottom w:val="single" w:color="auto" w:sz="4" w:space="0"/>
            </w:tcBorders>
            <w:vAlign w:val="center"/>
          </w:tcPr>
          <w:p w14:paraId="0023AF95">
            <w:pPr>
              <w:keepNext w:val="0"/>
              <w:keepLines w:val="0"/>
              <w:suppressLineNumbers w:val="0"/>
              <w:kinsoku w:val="0"/>
              <w:overflowPunct w:val="0"/>
              <w:autoSpaceDE w:val="0"/>
              <w:autoSpaceDN w:val="0"/>
              <w:adjustRightInd w:val="0"/>
              <w:spacing w:before="0" w:beforeAutospacing="0" w:after="0" w:afterAutospacing="0" w:line="240" w:lineRule="auto"/>
              <w:ind w:left="0" w:right="0"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不敏感</w:t>
            </w:r>
          </w:p>
        </w:tc>
        <w:tc>
          <w:tcPr>
            <w:tcW w:w="4419" w:type="pct"/>
            <w:tcBorders>
              <w:bottom w:val="single" w:color="auto" w:sz="4" w:space="0"/>
            </w:tcBorders>
            <w:vAlign w:val="center"/>
          </w:tcPr>
          <w:p w14:paraId="41F5284D">
            <w:pPr>
              <w:keepNext w:val="0"/>
              <w:keepLines w:val="0"/>
              <w:suppressLineNumbers w:val="0"/>
              <w:kinsoku w:val="0"/>
              <w:overflowPunct w:val="0"/>
              <w:autoSpaceDE w:val="0"/>
              <w:autoSpaceDN w:val="0"/>
              <w:spacing w:before="0" w:beforeAutospacing="0" w:after="0" w:afterAutospacing="0" w:line="240" w:lineRule="auto"/>
              <w:ind w:left="0" w:right="0" w:firstLine="0"/>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上述地区以外的其他地区。</w:t>
            </w:r>
          </w:p>
        </w:tc>
      </w:tr>
      <w:tr w14:paraId="29A7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2"/>
            <w:tcBorders>
              <w:top w:val="single" w:color="auto" w:sz="4" w:space="0"/>
              <w:left w:val="nil"/>
              <w:bottom w:val="nil"/>
              <w:right w:val="nil"/>
            </w:tcBorders>
            <w:vAlign w:val="center"/>
          </w:tcPr>
          <w:p w14:paraId="4103AD69">
            <w:pPr>
              <w:keepNext w:val="0"/>
              <w:keepLines w:val="0"/>
              <w:suppressLineNumbers w:val="0"/>
              <w:kinsoku w:val="0"/>
              <w:overflowPunct w:val="0"/>
              <w:autoSpaceDE w:val="0"/>
              <w:autoSpaceDN w:val="0"/>
              <w:adjustRightInd w:val="0"/>
              <w:spacing w:before="0" w:beforeAutospacing="0" w:after="0" w:afterAutospacing="0" w:line="241" w:lineRule="exact"/>
              <w:ind w:left="0" w:right="323" w:firstLine="0"/>
              <w:jc w:val="left"/>
              <w:rPr>
                <w:rFonts w:hint="default" w:ascii="Times New Roman" w:hAnsi="Times New Roman" w:eastAsia="宋体" w:cs="Times New Roman"/>
                <w:color w:val="auto"/>
                <w:kern w:val="0"/>
                <w:sz w:val="21"/>
                <w:szCs w:val="20"/>
                <w:highlight w:val="none"/>
              </w:rPr>
            </w:pPr>
            <w:r>
              <w:rPr>
                <w:rFonts w:hint="default" w:ascii="楷体" w:hAnsi="楷体" w:eastAsia="楷体" w:cs="Times New Roman"/>
                <w:color w:val="auto"/>
                <w:kern w:val="0"/>
                <w:sz w:val="18"/>
                <w:szCs w:val="20"/>
                <w:highlight w:val="none"/>
              </w:rPr>
              <w:t>注：环境敏感区指《建设项目环境影响评价分类管理名录》中界定的涉及地下水的环境敏感区。</w:t>
            </w:r>
          </w:p>
        </w:tc>
      </w:tr>
    </w:tbl>
    <w:p w14:paraId="30268B43">
      <w:pPr>
        <w:kinsoku w:val="0"/>
        <w:overflowPunct w:val="0"/>
        <w:autoSpaceDE w:val="0"/>
        <w:autoSpaceDN w:val="0"/>
        <w:ind w:firstLine="480" w:firstLineChars="200"/>
        <w:rPr>
          <w:rFonts w:ascii="Times New Roman" w:hAnsi="Times New Roman" w:eastAsia="宋体" w:cs="Times New Roman"/>
          <w:color w:val="auto"/>
          <w:kern w:val="0"/>
          <w:szCs w:val="20"/>
          <w:highlight w:val="none"/>
        </w:rPr>
      </w:pPr>
      <w:r>
        <w:rPr>
          <w:rFonts w:ascii="Times New Roman" w:hAnsi="Times New Roman" w:eastAsia="宋体" w:cs="Times New Roman"/>
          <w:color w:val="auto"/>
          <w:kern w:val="0"/>
          <w:szCs w:val="20"/>
          <w:highlight w:val="none"/>
        </w:rPr>
        <w:t>项目评价范围内</w:t>
      </w:r>
      <w:r>
        <w:rPr>
          <w:rFonts w:hint="eastAsia" w:ascii="Times New Roman" w:hAnsi="Times New Roman" w:eastAsia="宋体" w:cs="Times New Roman"/>
          <w:color w:val="auto"/>
          <w:kern w:val="0"/>
          <w:szCs w:val="20"/>
          <w:highlight w:val="none"/>
        </w:rPr>
        <w:t>有</w:t>
      </w:r>
      <w:r>
        <w:rPr>
          <w:rFonts w:ascii="Times New Roman" w:hAnsi="Times New Roman" w:eastAsia="宋体" w:cs="Times New Roman"/>
          <w:color w:val="auto"/>
          <w:kern w:val="0"/>
          <w:szCs w:val="20"/>
          <w:highlight w:val="none"/>
        </w:rPr>
        <w:t>分散式饮用水水源</w:t>
      </w:r>
      <w:r>
        <w:rPr>
          <w:rFonts w:hint="eastAsia" w:ascii="Times New Roman" w:hAnsi="Times New Roman" w:eastAsia="宋体" w:cs="Times New Roman"/>
          <w:color w:val="auto"/>
          <w:kern w:val="0"/>
          <w:szCs w:val="20"/>
          <w:highlight w:val="none"/>
        </w:rPr>
        <w:t>井</w:t>
      </w:r>
      <w:r>
        <w:rPr>
          <w:rFonts w:ascii="Times New Roman" w:hAnsi="Times New Roman" w:eastAsia="宋体" w:cs="Times New Roman"/>
          <w:color w:val="auto"/>
          <w:kern w:val="0"/>
          <w:szCs w:val="20"/>
          <w:highlight w:val="none"/>
        </w:rPr>
        <w:t>，地下水环境敏感程度判定为</w:t>
      </w:r>
      <w:r>
        <w:rPr>
          <w:rFonts w:hint="eastAsia" w:cs="Times New Roman"/>
          <w:color w:val="auto"/>
          <w:kern w:val="0"/>
          <w:szCs w:val="20"/>
          <w:highlight w:val="none"/>
          <w:lang w:eastAsia="zh-CN"/>
        </w:rPr>
        <w:t>“</w:t>
      </w:r>
      <w:r>
        <w:rPr>
          <w:rFonts w:hint="eastAsia" w:ascii="Times New Roman" w:hAnsi="Times New Roman" w:eastAsia="宋体" w:cs="Times New Roman"/>
          <w:color w:val="auto"/>
          <w:kern w:val="0"/>
          <w:szCs w:val="20"/>
          <w:highlight w:val="none"/>
        </w:rPr>
        <w:t>较</w:t>
      </w:r>
      <w:r>
        <w:rPr>
          <w:rFonts w:ascii="Times New Roman" w:hAnsi="Times New Roman" w:eastAsia="宋体" w:cs="Times New Roman"/>
          <w:color w:val="auto"/>
          <w:kern w:val="0"/>
          <w:szCs w:val="20"/>
          <w:highlight w:val="none"/>
        </w:rPr>
        <w:t>敏感</w:t>
      </w:r>
      <w:r>
        <w:rPr>
          <w:rFonts w:hint="eastAsia" w:cs="Times New Roman"/>
          <w:color w:val="auto"/>
          <w:kern w:val="0"/>
          <w:szCs w:val="20"/>
          <w:highlight w:val="none"/>
          <w:lang w:eastAsia="zh-CN"/>
        </w:rPr>
        <w:t>”</w:t>
      </w:r>
      <w:r>
        <w:rPr>
          <w:rFonts w:ascii="Times New Roman" w:hAnsi="Times New Roman" w:eastAsia="宋体" w:cs="Times New Roman"/>
          <w:color w:val="auto"/>
          <w:kern w:val="0"/>
          <w:szCs w:val="20"/>
          <w:highlight w:val="none"/>
        </w:rPr>
        <w:t>。</w:t>
      </w:r>
    </w:p>
    <w:p w14:paraId="21D6958F">
      <w:pPr>
        <w:ind w:firstLine="0"/>
        <w:jc w:val="center"/>
        <w:rPr>
          <w:rFonts w:ascii="黑体" w:hAnsi="黑体" w:eastAsia="黑体" w:cs="Times New Roman"/>
          <w:color w:val="auto"/>
          <w:sz w:val="21"/>
          <w:highlight w:val="none"/>
        </w:rPr>
      </w:pPr>
      <w:r>
        <w:rPr>
          <w:rFonts w:ascii="黑体" w:hAnsi="黑体" w:eastAsia="黑体" w:cs="Times New Roman"/>
          <w:color w:val="auto"/>
          <w:sz w:val="21"/>
          <w:highlight w:val="none"/>
        </w:rPr>
        <w:t>表</w:t>
      </w:r>
      <w:r>
        <w:rPr>
          <w:rFonts w:hint="eastAsia" w:ascii="黑体" w:hAnsi="黑体" w:eastAsia="黑体" w:cs="Times New Roman"/>
          <w:color w:val="auto"/>
          <w:sz w:val="21"/>
          <w:highlight w:val="none"/>
        </w:rPr>
        <w:t>2.5-</w:t>
      </w:r>
      <w:r>
        <w:rPr>
          <w:rFonts w:hint="eastAsia" w:ascii="黑体" w:hAnsi="黑体" w:eastAsia="黑体" w:cs="Times New Roman"/>
          <w:color w:val="auto"/>
          <w:sz w:val="21"/>
          <w:highlight w:val="none"/>
          <w:lang w:val="en-US" w:eastAsia="zh-CN"/>
        </w:rPr>
        <w:t xml:space="preserve">5  </w:t>
      </w:r>
      <w:r>
        <w:rPr>
          <w:rFonts w:ascii="黑体" w:hAnsi="黑体" w:eastAsia="黑体" w:cs="Times New Roman"/>
          <w:color w:val="auto"/>
          <w:sz w:val="21"/>
          <w:highlight w:val="none"/>
        </w:rPr>
        <w:t>地下水评价工作等级分级表</w:t>
      </w:r>
    </w:p>
    <w:tbl>
      <w:tblPr>
        <w:tblStyle w:val="5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0"/>
        <w:gridCol w:w="2044"/>
        <w:gridCol w:w="2046"/>
        <w:gridCol w:w="2044"/>
      </w:tblGrid>
      <w:tr w14:paraId="1F1F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528" w:type="pct"/>
            <w:vAlign w:val="center"/>
          </w:tcPr>
          <w:p w14:paraId="0D63BAB0">
            <w:pPr>
              <w:keepNext w:val="0"/>
              <w:keepLines w:val="0"/>
              <w:suppressLineNumbers w:val="0"/>
              <w:kinsoku w:val="0"/>
              <w:overflowPunct w:val="0"/>
              <w:autoSpaceDE w:val="0"/>
              <w:autoSpaceDN w:val="0"/>
              <w:adjustRightInd w:val="0"/>
              <w:spacing w:before="0" w:beforeAutospacing="0" w:after="0" w:afterAutospacing="0" w:line="246" w:lineRule="exact"/>
              <w:ind w:left="0" w:right="0" w:firstLine="1015" w:firstLineChars="423"/>
              <w:jc w:val="left"/>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Cs w:val="20"/>
                <w:highlight w:val="none"/>
              </w:rPr>
              <mc:AlternateContent>
                <mc:Choice Requires="wps">
                  <w:drawing>
                    <wp:anchor distT="0" distB="0" distL="114300" distR="114300" simplePos="0" relativeHeight="251666432" behindDoc="1" locked="0" layoutInCell="1" allowOverlap="1">
                      <wp:simplePos x="0" y="0"/>
                      <wp:positionH relativeFrom="page">
                        <wp:posOffset>19050</wp:posOffset>
                      </wp:positionH>
                      <wp:positionV relativeFrom="paragraph">
                        <wp:posOffset>7620</wp:posOffset>
                      </wp:positionV>
                      <wp:extent cx="1657350" cy="523875"/>
                      <wp:effectExtent l="1270" t="4445" r="17780" b="5080"/>
                      <wp:wrapNone/>
                      <wp:docPr id="143" name="任意多边形 143"/>
                      <wp:cNvGraphicFramePr/>
                      <a:graphic xmlns:a="http://schemas.openxmlformats.org/drawingml/2006/main">
                        <a:graphicData uri="http://schemas.microsoft.com/office/word/2010/wordprocessingShape">
                          <wps:wsp>
                            <wps:cNvSpPr/>
                            <wps:spPr bwMode="auto">
                              <a:xfrm>
                                <a:off x="0" y="0"/>
                                <a:ext cx="1657350" cy="523875"/>
                              </a:xfrm>
                              <a:custGeom>
                                <a:avLst/>
                                <a:gdLst>
                                  <a:gd name="T0" fmla="*/ 0 w 2687"/>
                                  <a:gd name="T1" fmla="*/ 0 h 593"/>
                                  <a:gd name="T2" fmla="*/ 2686 w 2687"/>
                                  <a:gd name="T3" fmla="*/ 592 h 593"/>
                                </a:gdLst>
                                <a:ahLst/>
                                <a:cxnLst>
                                  <a:cxn ang="0">
                                    <a:pos x="T0" y="T1"/>
                                  </a:cxn>
                                  <a:cxn ang="0">
                                    <a:pos x="T2" y="T3"/>
                                  </a:cxn>
                                </a:cxnLst>
                                <a:rect l="0" t="0" r="r" b="b"/>
                                <a:pathLst>
                                  <a:path w="2687" h="593">
                                    <a:moveTo>
                                      <a:pt x="0" y="0"/>
                                    </a:moveTo>
                                    <a:lnTo>
                                      <a:pt x="2686" y="592"/>
                                    </a:lnTo>
                                  </a:path>
                                </a:pathLst>
                              </a:custGeom>
                              <a:noFill/>
                              <a:ln w="6095" cmpd="sng">
                                <a:solidFill>
                                  <a:srgbClr val="000000"/>
                                </a:solidFill>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1.5pt;margin-top:0.6pt;height:41.25pt;width:130.5pt;mso-position-horizontal-relative:page;z-index:-251650048;mso-width-relative:page;mso-height-relative:page;" filled="f" stroked="t" coordsize="2687,593" o:gfxdata="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AAAAAGRycy9QSwECFAAUAAAACACHTuJAk7L2L9YA&#10;AAAGAQAADwAAAAAAAAABACAAAAAiAAAAZHJzL2Rvd25yZXYueG1sUEsBAhQAFAAAAAgAh07iQAWo&#10;lV/MAgAA3wUAAA4AAAAAAAAAAQAgAAAAJQEAAGRycy9lMm9Eb2MueG1sUEsFBgAAAAAGAAYAWQEA&#10;AGMGAAAAAA==&#10;" path="m0,0l2686,592e">
                      <v:path o:connectlocs="0,0;1656733,522991" o:connectangles="0,0"/>
                      <v:fill on="f" focussize="0,0"/>
                      <v:stroke weight="0.47992125984252pt" color="#000000" joinstyle="round"/>
                      <v:imagedata o:title=""/>
                      <o:lock v:ext="edit" aspectratio="f"/>
                    </v:shape>
                  </w:pict>
                </mc:Fallback>
              </mc:AlternateContent>
            </w:r>
            <w:r>
              <w:rPr>
                <w:rFonts w:hint="default" w:ascii="Times New Roman" w:hAnsi="Times New Roman" w:eastAsia="宋体" w:cs="Times New Roman"/>
                <w:color w:val="auto"/>
                <w:kern w:val="0"/>
                <w:sz w:val="21"/>
                <w:szCs w:val="20"/>
                <w:highlight w:val="none"/>
              </w:rPr>
              <w:t>项目类别</w:t>
            </w:r>
          </w:p>
          <w:p w14:paraId="3424F71D">
            <w:pPr>
              <w:keepNext w:val="0"/>
              <w:keepLines w:val="0"/>
              <w:suppressLineNumbers w:val="0"/>
              <w:kinsoku w:val="0"/>
              <w:overflowPunct w:val="0"/>
              <w:autoSpaceDE w:val="0"/>
              <w:autoSpaceDN w:val="0"/>
              <w:adjustRightInd w:val="0"/>
              <w:spacing w:before="22" w:beforeAutospacing="0" w:after="0" w:afterAutospacing="0" w:line="240" w:lineRule="auto"/>
              <w:ind w:left="71" w:right="0" w:firstLine="0"/>
              <w:jc w:val="left"/>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环境</w:t>
            </w:r>
          </w:p>
          <w:p w14:paraId="69931920">
            <w:pPr>
              <w:keepNext w:val="0"/>
              <w:keepLines w:val="0"/>
              <w:suppressLineNumbers w:val="0"/>
              <w:kinsoku w:val="0"/>
              <w:overflowPunct w:val="0"/>
              <w:autoSpaceDE w:val="0"/>
              <w:autoSpaceDN w:val="0"/>
              <w:adjustRightInd w:val="0"/>
              <w:spacing w:before="22" w:beforeAutospacing="0" w:after="0" w:afterAutospacing="0" w:line="240" w:lineRule="auto"/>
              <w:ind w:left="71" w:right="0" w:firstLine="0"/>
              <w:jc w:val="left"/>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敏感程度</w:t>
            </w:r>
          </w:p>
        </w:tc>
        <w:tc>
          <w:tcPr>
            <w:tcW w:w="1157" w:type="pct"/>
            <w:vAlign w:val="center"/>
          </w:tcPr>
          <w:p w14:paraId="206BD69D">
            <w:pPr>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Cs w:val="20"/>
                <w:highlight w:val="none"/>
              </w:rPr>
            </w:pPr>
            <w:r>
              <w:rPr>
                <w:rFonts w:hint="default" w:ascii="Times New Roman" w:hAnsi="Times New Roman" w:eastAsia="Times New Roman" w:cs="Times New Roman"/>
                <w:color w:val="auto"/>
                <w:kern w:val="0"/>
                <w:sz w:val="21"/>
                <w:szCs w:val="20"/>
                <w:highlight w:val="none"/>
              </w:rPr>
              <w:t>I</w:t>
            </w:r>
            <w:r>
              <w:rPr>
                <w:rFonts w:hint="default" w:ascii="Times New Roman" w:hAnsi="Times New Roman" w:eastAsia="宋体" w:cs="Times New Roman"/>
                <w:color w:val="auto"/>
                <w:kern w:val="0"/>
                <w:sz w:val="21"/>
                <w:szCs w:val="20"/>
                <w:highlight w:val="none"/>
              </w:rPr>
              <w:t>类项目</w:t>
            </w:r>
          </w:p>
        </w:tc>
        <w:tc>
          <w:tcPr>
            <w:tcW w:w="1158" w:type="pct"/>
            <w:vAlign w:val="center"/>
          </w:tcPr>
          <w:p w14:paraId="23D6825F">
            <w:pPr>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Cs w:val="20"/>
                <w:highlight w:val="none"/>
              </w:rPr>
            </w:pPr>
            <w:r>
              <w:rPr>
                <w:rFonts w:hint="eastAsia" w:eastAsia="宋体" w:cs="Times New Roman"/>
                <w:color w:val="auto"/>
                <w:kern w:val="0"/>
                <w:sz w:val="21"/>
                <w:szCs w:val="20"/>
                <w:highlight w:val="none"/>
                <w:lang w:eastAsia="zh-CN"/>
              </w:rPr>
              <w:t>Ⅱ类</w:t>
            </w:r>
            <w:r>
              <w:rPr>
                <w:rFonts w:hint="default" w:ascii="Times New Roman" w:hAnsi="Times New Roman" w:eastAsia="宋体" w:cs="Times New Roman"/>
                <w:color w:val="auto"/>
                <w:kern w:val="0"/>
                <w:sz w:val="21"/>
                <w:szCs w:val="20"/>
                <w:highlight w:val="none"/>
              </w:rPr>
              <w:t>项目</w:t>
            </w:r>
          </w:p>
        </w:tc>
        <w:tc>
          <w:tcPr>
            <w:tcW w:w="1157" w:type="pct"/>
            <w:vAlign w:val="center"/>
          </w:tcPr>
          <w:p w14:paraId="4DE2EC94">
            <w:pPr>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Cs w:val="20"/>
                <w:highlight w:val="none"/>
              </w:rPr>
            </w:pPr>
            <w:r>
              <w:rPr>
                <w:rFonts w:hint="eastAsia" w:eastAsia="宋体" w:cs="Times New Roman"/>
                <w:color w:val="auto"/>
                <w:kern w:val="0"/>
                <w:sz w:val="21"/>
                <w:szCs w:val="20"/>
                <w:highlight w:val="none"/>
                <w:lang w:eastAsia="zh-CN"/>
              </w:rPr>
              <w:t>Ⅲ类</w:t>
            </w:r>
            <w:r>
              <w:rPr>
                <w:rFonts w:hint="default" w:ascii="Times New Roman" w:hAnsi="Times New Roman" w:eastAsia="宋体" w:cs="Times New Roman"/>
                <w:color w:val="auto"/>
                <w:kern w:val="0"/>
                <w:sz w:val="21"/>
                <w:szCs w:val="20"/>
                <w:highlight w:val="none"/>
              </w:rPr>
              <w:t>项目</w:t>
            </w:r>
          </w:p>
        </w:tc>
      </w:tr>
      <w:tr w14:paraId="798A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8" w:type="pct"/>
            <w:vAlign w:val="center"/>
          </w:tcPr>
          <w:p w14:paraId="10A53222">
            <w:pPr>
              <w:keepNext w:val="0"/>
              <w:keepLines w:val="0"/>
              <w:suppressLineNumbers w:val="0"/>
              <w:kinsoku w:val="0"/>
              <w:overflowPunct w:val="0"/>
              <w:autoSpaceDE w:val="0"/>
              <w:autoSpaceDN w:val="0"/>
              <w:adjustRightInd w:val="0"/>
              <w:spacing w:before="0" w:beforeAutospacing="0" w:after="0" w:afterAutospacing="0" w:line="246" w:lineRule="exact"/>
              <w:ind w:left="0" w:right="217"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敏感</w:t>
            </w:r>
          </w:p>
        </w:tc>
        <w:tc>
          <w:tcPr>
            <w:tcW w:w="1157" w:type="pct"/>
            <w:vAlign w:val="center"/>
          </w:tcPr>
          <w:p w14:paraId="6A096292">
            <w:pPr>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一</w:t>
            </w:r>
          </w:p>
        </w:tc>
        <w:tc>
          <w:tcPr>
            <w:tcW w:w="1158" w:type="pct"/>
            <w:vAlign w:val="center"/>
          </w:tcPr>
          <w:p w14:paraId="5DC56448">
            <w:pPr>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一</w:t>
            </w:r>
          </w:p>
        </w:tc>
        <w:tc>
          <w:tcPr>
            <w:tcW w:w="1157" w:type="pct"/>
            <w:vAlign w:val="center"/>
          </w:tcPr>
          <w:p w14:paraId="3F87BF48">
            <w:pPr>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二</w:t>
            </w:r>
          </w:p>
        </w:tc>
      </w:tr>
      <w:tr w14:paraId="01AC0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8" w:type="pct"/>
            <w:vAlign w:val="center"/>
          </w:tcPr>
          <w:p w14:paraId="10119074">
            <w:pPr>
              <w:keepNext w:val="0"/>
              <w:keepLines w:val="0"/>
              <w:suppressLineNumbers w:val="0"/>
              <w:kinsoku w:val="0"/>
              <w:overflowPunct w:val="0"/>
              <w:autoSpaceDE w:val="0"/>
              <w:autoSpaceDN w:val="0"/>
              <w:adjustRightInd w:val="0"/>
              <w:spacing w:before="0" w:beforeAutospacing="0" w:after="0" w:afterAutospacing="0" w:line="246" w:lineRule="exact"/>
              <w:ind w:left="0" w:right="217"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较敏感</w:t>
            </w:r>
          </w:p>
        </w:tc>
        <w:tc>
          <w:tcPr>
            <w:tcW w:w="1157" w:type="pct"/>
            <w:vAlign w:val="center"/>
          </w:tcPr>
          <w:p w14:paraId="79213400">
            <w:pPr>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一</w:t>
            </w:r>
          </w:p>
        </w:tc>
        <w:tc>
          <w:tcPr>
            <w:tcW w:w="1158" w:type="pct"/>
            <w:vAlign w:val="center"/>
          </w:tcPr>
          <w:p w14:paraId="72088789">
            <w:pPr>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二</w:t>
            </w:r>
          </w:p>
        </w:tc>
        <w:tc>
          <w:tcPr>
            <w:tcW w:w="1157" w:type="pct"/>
            <w:vAlign w:val="center"/>
          </w:tcPr>
          <w:p w14:paraId="7DD5765F">
            <w:pPr>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三</w:t>
            </w:r>
          </w:p>
        </w:tc>
      </w:tr>
      <w:tr w14:paraId="003C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8" w:type="pct"/>
            <w:vAlign w:val="center"/>
          </w:tcPr>
          <w:p w14:paraId="248EFF12">
            <w:pPr>
              <w:keepNext w:val="0"/>
              <w:keepLines w:val="0"/>
              <w:suppressLineNumbers w:val="0"/>
              <w:kinsoku w:val="0"/>
              <w:overflowPunct w:val="0"/>
              <w:autoSpaceDE w:val="0"/>
              <w:autoSpaceDN w:val="0"/>
              <w:adjustRightInd w:val="0"/>
              <w:spacing w:before="0" w:beforeAutospacing="0" w:after="0" w:afterAutospacing="0" w:line="246" w:lineRule="exact"/>
              <w:ind w:left="0" w:right="217" w:firstLine="0"/>
              <w:jc w:val="center"/>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不敏感</w:t>
            </w:r>
          </w:p>
        </w:tc>
        <w:tc>
          <w:tcPr>
            <w:tcW w:w="1157" w:type="pct"/>
            <w:vAlign w:val="center"/>
          </w:tcPr>
          <w:p w14:paraId="6A7EFEA1">
            <w:pPr>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二</w:t>
            </w:r>
          </w:p>
        </w:tc>
        <w:tc>
          <w:tcPr>
            <w:tcW w:w="1158" w:type="pct"/>
            <w:vAlign w:val="center"/>
          </w:tcPr>
          <w:p w14:paraId="102F770B">
            <w:pPr>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三</w:t>
            </w:r>
          </w:p>
        </w:tc>
        <w:tc>
          <w:tcPr>
            <w:tcW w:w="1157" w:type="pct"/>
            <w:vAlign w:val="center"/>
          </w:tcPr>
          <w:p w14:paraId="23A8A076">
            <w:pPr>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Cs w:val="20"/>
                <w:highlight w:val="none"/>
              </w:rPr>
            </w:pPr>
            <w:r>
              <w:rPr>
                <w:rFonts w:hint="default" w:ascii="Times New Roman" w:hAnsi="Times New Roman" w:eastAsia="宋体" w:cs="Times New Roman"/>
                <w:color w:val="auto"/>
                <w:kern w:val="0"/>
                <w:sz w:val="21"/>
                <w:szCs w:val="20"/>
                <w:highlight w:val="none"/>
              </w:rPr>
              <w:t>三</w:t>
            </w:r>
          </w:p>
        </w:tc>
      </w:tr>
    </w:tbl>
    <w:p w14:paraId="45DEA34B">
      <w:pPr>
        <w:pageBreakBefore w:val="0"/>
        <w:widowControl/>
        <w:kinsoku/>
        <w:wordWrap/>
        <w:overflowPunct/>
        <w:bidi w:val="0"/>
        <w:ind w:firstLine="480" w:firstLineChars="200"/>
        <w:jc w:val="both"/>
        <w:rPr>
          <w:rFonts w:hint="eastAsia"/>
          <w:color w:val="auto"/>
          <w:kern w:val="0"/>
          <w:highlight w:val="none"/>
          <w:lang w:eastAsia="zh-CN"/>
        </w:rPr>
      </w:pPr>
      <w:r>
        <w:rPr>
          <w:rFonts w:hint="eastAsia"/>
          <w:color w:val="auto"/>
          <w:kern w:val="0"/>
          <w:highlight w:val="none"/>
          <w:lang w:val="en-US" w:eastAsia="zh-CN"/>
        </w:rPr>
        <w:t>本项目属于“Ⅱ类建设项目”，地下水环境敏感程度为“较敏感”，</w:t>
      </w:r>
      <w:r>
        <w:rPr>
          <w:rFonts w:hint="eastAsia"/>
          <w:color w:val="auto"/>
          <w:kern w:val="0"/>
          <w:highlight w:val="none"/>
          <w:lang w:eastAsia="zh-CN"/>
        </w:rPr>
        <w:t>根据</w:t>
      </w:r>
      <w:r>
        <w:rPr>
          <w:rFonts w:hint="eastAsia"/>
          <w:color w:val="auto"/>
          <w:kern w:val="0"/>
          <w:highlight w:val="none"/>
          <w:lang w:val="en-US" w:eastAsia="zh-CN"/>
        </w:rPr>
        <w:t>上表</w:t>
      </w:r>
      <w:r>
        <w:rPr>
          <w:rFonts w:hint="eastAsia"/>
          <w:color w:val="auto"/>
          <w:kern w:val="0"/>
          <w:highlight w:val="none"/>
          <w:lang w:eastAsia="zh-CN"/>
        </w:rPr>
        <w:t>，确定本项目地下水环境影响评价等级</w:t>
      </w:r>
      <w:r>
        <w:rPr>
          <w:rFonts w:hint="eastAsia"/>
          <w:color w:val="auto"/>
          <w:kern w:val="0"/>
          <w:highlight w:val="none"/>
          <w:lang w:val="en-US" w:eastAsia="zh-CN"/>
        </w:rPr>
        <w:t>为</w:t>
      </w:r>
      <w:r>
        <w:rPr>
          <w:rFonts w:hint="eastAsia"/>
          <w:color w:val="auto"/>
          <w:kern w:val="0"/>
          <w:highlight w:val="none"/>
          <w:lang w:eastAsia="zh-CN"/>
        </w:rPr>
        <w:t>二级。</w:t>
      </w:r>
    </w:p>
    <w:p w14:paraId="0ED184D9">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outlineLvl w:val="3"/>
        <w:rPr>
          <w:rFonts w:ascii="Times New Roman" w:hAnsi="Times New Roman" w:eastAsia="宋体" w:cs="Times New Roman"/>
          <w:b/>
          <w:bCs/>
          <w:color w:val="auto"/>
          <w:szCs w:val="21"/>
          <w:highlight w:val="none"/>
        </w:rPr>
      </w:pPr>
      <w:r>
        <w:rPr>
          <w:rFonts w:hint="eastAsia" w:cs="Times New Roman"/>
          <w:b/>
          <w:bCs/>
          <w:color w:val="auto"/>
          <w:szCs w:val="21"/>
          <w:highlight w:val="none"/>
          <w:lang w:val="en-US" w:eastAsia="zh-CN"/>
        </w:rPr>
        <w:t>2.5.1.6土壤环境</w:t>
      </w:r>
      <w:r>
        <w:rPr>
          <w:rFonts w:hint="eastAsia" w:ascii="Times New Roman" w:hAnsi="Times New Roman" w:eastAsia="宋体" w:cs="Times New Roman"/>
          <w:b/>
          <w:bCs/>
          <w:color w:val="auto"/>
          <w:szCs w:val="21"/>
          <w:highlight w:val="none"/>
        </w:rPr>
        <w:t>影响评价等级</w:t>
      </w:r>
    </w:p>
    <w:p w14:paraId="53653D9B">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b/>
          <w:bCs/>
          <w:color w:val="auto"/>
          <w:kern w:val="0"/>
          <w:highlight w:val="none"/>
        </w:rPr>
      </w:pPr>
      <w:r>
        <w:rPr>
          <w:rFonts w:hint="eastAsia"/>
          <w:b/>
          <w:bCs/>
          <w:color w:val="auto"/>
          <w:kern w:val="0"/>
          <w:highlight w:val="none"/>
        </w:rPr>
        <w:t>（1）建设项目类别</w:t>
      </w:r>
    </w:p>
    <w:p w14:paraId="6A8DAB8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color w:val="auto"/>
          <w:kern w:val="0"/>
          <w:highlight w:val="none"/>
          <w:lang w:val="en-US" w:eastAsia="zh-CN"/>
        </w:rPr>
      </w:pPr>
      <w:r>
        <w:rPr>
          <w:rFonts w:hint="eastAsia"/>
          <w:color w:val="auto"/>
          <w:kern w:val="0"/>
          <w:highlight w:val="none"/>
        </w:rPr>
        <w:t>根据《环境影响评价技术导则 民用机场建设工程》（HJ87-2023）</w:t>
      </w:r>
      <w:r>
        <w:rPr>
          <w:rFonts w:hint="eastAsia"/>
          <w:color w:val="auto"/>
          <w:kern w:val="0"/>
          <w:highlight w:val="none"/>
          <w:lang w:val="en-US" w:eastAsia="zh-CN"/>
        </w:rPr>
        <w:t>及《环境影响评价技术导则 土壤环境（试行）》（HJ964-2018）</w:t>
      </w:r>
      <w:r>
        <w:rPr>
          <w:rFonts w:hint="eastAsia"/>
          <w:color w:val="auto"/>
          <w:kern w:val="0"/>
          <w:highlight w:val="none"/>
        </w:rPr>
        <w:t>，</w:t>
      </w:r>
      <w:r>
        <w:rPr>
          <w:rFonts w:hint="eastAsia"/>
          <w:color w:val="auto"/>
          <w:kern w:val="0"/>
          <w:highlight w:val="none"/>
          <w:lang w:eastAsia="zh-CN"/>
        </w:rPr>
        <w:t>“</w:t>
      </w:r>
      <w:r>
        <w:rPr>
          <w:rFonts w:hint="eastAsia"/>
          <w:color w:val="auto"/>
          <w:kern w:val="0"/>
          <w:highlight w:val="none"/>
        </w:rPr>
        <w:t>机场工程建设内容包含油库、加油站等供油工程的，按HJ964规定的污染影响型</w:t>
      </w:r>
      <w:r>
        <w:rPr>
          <w:rFonts w:hint="eastAsia"/>
          <w:color w:val="auto"/>
          <w:kern w:val="0"/>
          <w:highlight w:val="none"/>
          <w:lang w:eastAsia="zh-CN"/>
        </w:rPr>
        <w:t>Ⅱ类</w:t>
      </w:r>
      <w:r>
        <w:rPr>
          <w:rFonts w:hint="eastAsia"/>
          <w:color w:val="auto"/>
          <w:kern w:val="0"/>
          <w:highlight w:val="none"/>
        </w:rPr>
        <w:t>项目开展土壤环境影响评价，评价等级根据机场工程占地规模及其周边土壤环境敏感程度按HJ964判定。不包含供油工程的机场工程可不开展土壤环境影响评价</w:t>
      </w:r>
      <w:r>
        <w:rPr>
          <w:rFonts w:hint="eastAsia"/>
          <w:color w:val="auto"/>
          <w:kern w:val="0"/>
          <w:highlight w:val="none"/>
          <w:lang w:eastAsia="zh-CN"/>
        </w:rPr>
        <w:t>”</w:t>
      </w:r>
      <w:r>
        <w:rPr>
          <w:rFonts w:hint="eastAsia"/>
          <w:color w:val="auto"/>
          <w:kern w:val="0"/>
          <w:highlight w:val="none"/>
        </w:rPr>
        <w:t>。</w:t>
      </w:r>
      <w:r>
        <w:rPr>
          <w:rFonts w:hint="eastAsia"/>
          <w:color w:val="auto"/>
          <w:kern w:val="0"/>
          <w:highlight w:val="none"/>
          <w:lang w:val="en-US" w:eastAsia="zh-CN"/>
        </w:rPr>
        <w:t>对标导则，本项目本期配置2辆罐式加油车为机场进行油料保障及储存使用，预留撬装罐的建设场地，属于“Ⅱ类建设项目”。</w:t>
      </w:r>
    </w:p>
    <w:p w14:paraId="4042F7D7">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ascii="Times New Roman" w:hAnsi="Times New Roman" w:eastAsia="宋体" w:cs="Times New Roman"/>
          <w:b/>
          <w:bCs/>
          <w:color w:val="auto"/>
          <w:kern w:val="2"/>
          <w:sz w:val="24"/>
          <w:szCs w:val="24"/>
          <w:highlight w:val="none"/>
          <w:lang w:val="en-US" w:eastAsia="zh-CN" w:bidi="ar-SA"/>
        </w:rPr>
      </w:pPr>
      <w:r>
        <w:rPr>
          <w:rFonts w:ascii="Times New Roman" w:hAnsi="Times New Roman" w:eastAsia="宋体" w:cs="Times New Roman"/>
          <w:b/>
          <w:bCs/>
          <w:color w:val="auto"/>
          <w:kern w:val="2"/>
          <w:sz w:val="24"/>
          <w:szCs w:val="24"/>
          <w:highlight w:val="none"/>
          <w:lang w:val="en-US" w:eastAsia="zh-CN" w:bidi="ar-SA"/>
        </w:rPr>
        <w:t>（2）土壤环境敏感程度判别</w:t>
      </w:r>
    </w:p>
    <w:p w14:paraId="1FB76BE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根据现场调查，本项目周边存在耕地</w:t>
      </w:r>
      <w:r>
        <w:rPr>
          <w:rFonts w:ascii="Times New Roman" w:hAnsi="Times New Roman" w:eastAsia="宋体" w:cs="Times New Roman"/>
          <w:color w:val="auto"/>
          <w:highlight w:val="none"/>
        </w:rPr>
        <w:t>，敏感程度判别为</w:t>
      </w:r>
      <w:r>
        <w:rPr>
          <w:rFonts w:hint="eastAsia" w:ascii="Times New Roman" w:hAnsi="Times New Roman" w:eastAsia="宋体" w:cs="Times New Roman"/>
          <w:color w:val="auto"/>
          <w:highlight w:val="none"/>
        </w:rPr>
        <w:t>“</w:t>
      </w:r>
      <w:r>
        <w:rPr>
          <w:rFonts w:ascii="Times New Roman" w:hAnsi="Times New Roman" w:eastAsia="宋体" w:cs="Times New Roman"/>
          <w:color w:val="auto"/>
          <w:highlight w:val="none"/>
        </w:rPr>
        <w:t>敏感</w:t>
      </w:r>
      <w:r>
        <w:rPr>
          <w:rFonts w:hint="eastAsia" w:ascii="Times New Roman" w:hAnsi="Times New Roman" w:eastAsia="宋体" w:cs="Times New Roman"/>
          <w:color w:val="auto"/>
          <w:highlight w:val="none"/>
        </w:rPr>
        <w:t>”</w:t>
      </w:r>
      <w:r>
        <w:rPr>
          <w:rFonts w:ascii="Times New Roman" w:hAnsi="Times New Roman" w:eastAsia="宋体" w:cs="Times New Roman"/>
          <w:color w:val="auto"/>
          <w:kern w:val="0"/>
          <w:highlight w:val="none"/>
        </w:rPr>
        <w:t>，</w:t>
      </w:r>
      <w:r>
        <w:rPr>
          <w:rFonts w:hint="eastAsia" w:ascii="Times New Roman" w:hAnsi="Times New Roman" w:eastAsia="宋体" w:cs="Times New Roman"/>
          <w:color w:val="auto"/>
          <w:kern w:val="0"/>
          <w:highlight w:val="none"/>
        </w:rPr>
        <w:t>判别依据</w:t>
      </w:r>
      <w:r>
        <w:rPr>
          <w:rFonts w:ascii="Times New Roman" w:hAnsi="Times New Roman" w:eastAsia="宋体" w:cs="Times New Roman"/>
          <w:color w:val="auto"/>
          <w:kern w:val="0"/>
          <w:highlight w:val="none"/>
        </w:rPr>
        <w:t>见表</w:t>
      </w:r>
      <w:r>
        <w:rPr>
          <w:rFonts w:hint="eastAsia" w:ascii="Times New Roman" w:hAnsi="Times New Roman" w:eastAsia="宋体" w:cs="Times New Roman"/>
          <w:color w:val="auto"/>
          <w:kern w:val="0"/>
          <w:highlight w:val="none"/>
        </w:rPr>
        <w:t>2</w:t>
      </w:r>
      <w:r>
        <w:rPr>
          <w:rFonts w:hint="eastAsia" w:ascii="Times New Roman" w:hAnsi="Times New Roman" w:eastAsia="宋体" w:cs="Times New Roman"/>
          <w:color w:val="auto"/>
          <w:kern w:val="0"/>
          <w:highlight w:val="none"/>
          <w:lang w:val="en-US" w:eastAsia="zh-CN"/>
        </w:rPr>
        <w:t>.5</w:t>
      </w:r>
      <w:r>
        <w:rPr>
          <w:rFonts w:hint="eastAsia" w:ascii="Times New Roman" w:hAnsi="Times New Roman" w:eastAsia="宋体" w:cs="Times New Roman"/>
          <w:color w:val="auto"/>
          <w:kern w:val="0"/>
          <w:highlight w:val="none"/>
        </w:rPr>
        <w:t>-6</w:t>
      </w:r>
      <w:r>
        <w:rPr>
          <w:rFonts w:ascii="Times New Roman" w:hAnsi="Times New Roman" w:eastAsia="宋体" w:cs="Times New Roman"/>
          <w:color w:val="auto"/>
          <w:kern w:val="0"/>
          <w:highlight w:val="none"/>
        </w:rPr>
        <w:t>。</w:t>
      </w:r>
    </w:p>
    <w:p w14:paraId="09580A44">
      <w:pPr>
        <w:keepNext w:val="0"/>
        <w:keepLines w:val="0"/>
        <w:pageBreakBefore w:val="0"/>
        <w:widowControl w:val="0"/>
        <w:kinsoku w:val="0"/>
        <w:wordWrap/>
        <w:overflowPunct w:val="0"/>
        <w:topLinePunct w:val="0"/>
        <w:autoSpaceDE w:val="0"/>
        <w:autoSpaceDN w:val="0"/>
        <w:bidi w:val="0"/>
        <w:adjustRightInd/>
        <w:snapToGrid/>
        <w:spacing w:line="360" w:lineRule="auto"/>
        <w:ind w:firstLine="0"/>
        <w:jc w:val="center"/>
        <w:textAlignment w:val="auto"/>
        <w:rPr>
          <w:rFonts w:ascii="Times New Roman" w:hAnsi="Times New Roman" w:eastAsia="黑体" w:cs="Times New Roman"/>
          <w:color w:val="auto"/>
          <w:kern w:val="0"/>
          <w:sz w:val="21"/>
          <w:szCs w:val="16"/>
          <w:highlight w:val="none"/>
        </w:rPr>
      </w:pPr>
      <w:r>
        <w:rPr>
          <w:rFonts w:hint="eastAsia" w:ascii="Times New Roman" w:hAnsi="Times New Roman" w:eastAsia="黑体" w:cs="Times New Roman"/>
          <w:color w:val="auto"/>
          <w:kern w:val="0"/>
          <w:sz w:val="21"/>
          <w:szCs w:val="16"/>
          <w:highlight w:val="none"/>
        </w:rPr>
        <w:t>表2.5-6</w:t>
      </w:r>
      <w:r>
        <w:rPr>
          <w:rFonts w:ascii="Times New Roman" w:hAnsi="Times New Roman" w:eastAsia="黑体" w:cs="Times New Roman"/>
          <w:color w:val="auto"/>
          <w:kern w:val="0"/>
          <w:sz w:val="21"/>
          <w:szCs w:val="16"/>
          <w:highlight w:val="none"/>
        </w:rPr>
        <w:t xml:space="preserve">     污染影响型</w:t>
      </w:r>
      <w:r>
        <w:rPr>
          <w:rFonts w:hint="eastAsia" w:ascii="Times New Roman" w:hAnsi="Times New Roman" w:eastAsia="黑体" w:cs="Times New Roman"/>
          <w:color w:val="auto"/>
          <w:kern w:val="0"/>
          <w:sz w:val="21"/>
          <w:szCs w:val="16"/>
          <w:highlight w:val="none"/>
          <w:lang w:val="en-US" w:eastAsia="zh-CN"/>
        </w:rPr>
        <w:t>项目土壤</w:t>
      </w:r>
      <w:r>
        <w:rPr>
          <w:rFonts w:ascii="Times New Roman" w:hAnsi="Times New Roman" w:eastAsia="黑体" w:cs="Times New Roman"/>
          <w:color w:val="auto"/>
          <w:kern w:val="0"/>
          <w:sz w:val="21"/>
          <w:szCs w:val="16"/>
          <w:highlight w:val="none"/>
        </w:rPr>
        <w:t>敏感程度判定表</w:t>
      </w:r>
    </w:p>
    <w:tbl>
      <w:tblPr>
        <w:tblStyle w:val="88"/>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4"/>
        <w:gridCol w:w="7076"/>
      </w:tblGrid>
      <w:tr w14:paraId="35DB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9" w:type="pct"/>
            <w:vAlign w:val="center"/>
          </w:tcPr>
          <w:p w14:paraId="134BC2B4">
            <w:pPr>
              <w:keepNext w:val="0"/>
              <w:keepLines w:val="0"/>
              <w:widowControl w:val="0"/>
              <w:suppressLineNumbers w:val="0"/>
              <w:spacing w:before="0" w:beforeAutospacing="0" w:after="0" w:afterAutospacing="0" w:line="240" w:lineRule="atLeast"/>
              <w:ind w:left="0" w:right="0" w:firstLine="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敏感程度</w:t>
            </w:r>
          </w:p>
        </w:tc>
        <w:tc>
          <w:tcPr>
            <w:tcW w:w="4080" w:type="pct"/>
            <w:vAlign w:val="center"/>
          </w:tcPr>
          <w:p w14:paraId="5B019937">
            <w:pPr>
              <w:keepNext w:val="0"/>
              <w:keepLines w:val="0"/>
              <w:widowControl w:val="0"/>
              <w:suppressLineNumbers w:val="0"/>
              <w:spacing w:before="0" w:beforeAutospacing="0" w:after="0" w:afterAutospacing="0" w:line="240" w:lineRule="atLeast"/>
              <w:ind w:left="0" w:right="0" w:firstLine="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判别依据</w:t>
            </w:r>
          </w:p>
        </w:tc>
      </w:tr>
      <w:tr w14:paraId="0A6B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9" w:type="pct"/>
            <w:vAlign w:val="center"/>
          </w:tcPr>
          <w:p w14:paraId="662DFECD">
            <w:pPr>
              <w:keepNext w:val="0"/>
              <w:keepLines w:val="0"/>
              <w:widowControl w:val="0"/>
              <w:suppressLineNumbers w:val="0"/>
              <w:spacing w:before="0" w:beforeAutospacing="0" w:after="0" w:afterAutospacing="0" w:line="240" w:lineRule="atLeast"/>
              <w:ind w:left="0" w:right="0" w:firstLine="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敏感</w:t>
            </w:r>
          </w:p>
        </w:tc>
        <w:tc>
          <w:tcPr>
            <w:tcW w:w="4080" w:type="pct"/>
            <w:vAlign w:val="center"/>
          </w:tcPr>
          <w:p w14:paraId="3733A8CA">
            <w:pPr>
              <w:keepNext w:val="0"/>
              <w:keepLines w:val="0"/>
              <w:widowControl w:val="0"/>
              <w:suppressLineNumbers w:val="0"/>
              <w:spacing w:before="0" w:beforeAutospacing="0" w:after="0" w:afterAutospacing="0" w:line="240" w:lineRule="atLeast"/>
              <w:ind w:left="0" w:right="0" w:firstLine="0"/>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建设项目周边存在耕地、园地、牧草地、饮用水水源地或居民区、学校、医院、疗养院、养老院等土壤环境敏感目标的</w:t>
            </w:r>
          </w:p>
        </w:tc>
      </w:tr>
      <w:tr w14:paraId="3051D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9" w:type="pct"/>
            <w:vAlign w:val="center"/>
          </w:tcPr>
          <w:p w14:paraId="219324F2">
            <w:pPr>
              <w:keepNext w:val="0"/>
              <w:keepLines w:val="0"/>
              <w:widowControl w:val="0"/>
              <w:suppressLineNumbers w:val="0"/>
              <w:spacing w:before="0" w:beforeAutospacing="0" w:after="0" w:afterAutospacing="0" w:line="240" w:lineRule="atLeast"/>
              <w:ind w:left="0" w:right="0" w:firstLine="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较敏感</w:t>
            </w:r>
          </w:p>
        </w:tc>
        <w:tc>
          <w:tcPr>
            <w:tcW w:w="4080" w:type="pct"/>
            <w:vAlign w:val="center"/>
          </w:tcPr>
          <w:p w14:paraId="1E63F6ED">
            <w:pPr>
              <w:keepNext w:val="0"/>
              <w:keepLines w:val="0"/>
              <w:widowControl w:val="0"/>
              <w:suppressLineNumbers w:val="0"/>
              <w:spacing w:before="0" w:beforeAutospacing="0" w:after="0" w:afterAutospacing="0" w:line="240" w:lineRule="atLeast"/>
              <w:ind w:left="0" w:right="0" w:firstLine="0"/>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建设项目周边存在其他土壤环境敏感目标的</w:t>
            </w:r>
          </w:p>
        </w:tc>
      </w:tr>
      <w:tr w14:paraId="0B3A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9" w:type="pct"/>
            <w:vAlign w:val="center"/>
          </w:tcPr>
          <w:p w14:paraId="2AD37C37">
            <w:pPr>
              <w:keepNext w:val="0"/>
              <w:keepLines w:val="0"/>
              <w:widowControl w:val="0"/>
              <w:suppressLineNumbers w:val="0"/>
              <w:spacing w:before="0" w:beforeAutospacing="0" w:after="0" w:afterAutospacing="0" w:line="240" w:lineRule="atLeast"/>
              <w:ind w:left="0" w:right="0" w:firstLine="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不敏感</w:t>
            </w:r>
          </w:p>
        </w:tc>
        <w:tc>
          <w:tcPr>
            <w:tcW w:w="4080" w:type="pct"/>
            <w:vAlign w:val="center"/>
          </w:tcPr>
          <w:p w14:paraId="33DA5DE6">
            <w:pPr>
              <w:keepNext w:val="0"/>
              <w:keepLines w:val="0"/>
              <w:widowControl w:val="0"/>
              <w:suppressLineNumbers w:val="0"/>
              <w:spacing w:before="0" w:beforeAutospacing="0" w:after="0" w:afterAutospacing="0" w:line="240" w:lineRule="atLeast"/>
              <w:ind w:left="0" w:right="0" w:firstLine="0"/>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其他情况</w:t>
            </w:r>
          </w:p>
        </w:tc>
      </w:tr>
    </w:tbl>
    <w:p w14:paraId="4AF67250">
      <w:pPr>
        <w:keepNext w:val="0"/>
        <w:keepLines w:val="0"/>
        <w:pageBreakBefore w:val="0"/>
        <w:widowControl w:val="0"/>
        <w:wordWrap/>
        <w:topLinePunct w:val="0"/>
        <w:bidi w:val="0"/>
        <w:adjustRightInd/>
        <w:snapToGrid/>
        <w:spacing w:line="360" w:lineRule="auto"/>
        <w:ind w:firstLine="480"/>
        <w:textAlignment w:val="auto"/>
        <w:rPr>
          <w:rFonts w:ascii="Times New Roman" w:hAnsi="Times New Roman" w:eastAsia="宋体" w:cs="Times New Roman"/>
          <w:b/>
          <w:bCs/>
          <w:color w:val="auto"/>
          <w:highlight w:val="none"/>
        </w:rPr>
      </w:pPr>
      <w:r>
        <w:rPr>
          <w:rFonts w:ascii="Times New Roman" w:hAnsi="Times New Roman" w:eastAsia="宋体" w:cs="Times New Roman"/>
          <w:b/>
          <w:bCs/>
          <w:color w:val="auto"/>
          <w:highlight w:val="none"/>
        </w:rPr>
        <w:t>（3）土壤环境评价工作等级判定</w:t>
      </w:r>
    </w:p>
    <w:p w14:paraId="641367F5">
      <w:pPr>
        <w:keepNext w:val="0"/>
        <w:keepLines w:val="0"/>
        <w:pageBreakBefore w:val="0"/>
        <w:widowControl w:val="0"/>
        <w:wordWrap/>
        <w:topLinePunct w:val="0"/>
        <w:bidi w:val="0"/>
        <w:adjustRightInd/>
        <w:snapToGrid/>
        <w:spacing w:line="360" w:lineRule="auto"/>
        <w:textAlignment w:val="auto"/>
        <w:rPr>
          <w:rFonts w:ascii="Times New Roman" w:hAnsi="Times New Roman" w:eastAsia="宋体" w:cs="Times New Roman"/>
          <w:color w:val="auto"/>
          <w:highlight w:val="none"/>
        </w:rPr>
      </w:pPr>
      <w:r>
        <w:rPr>
          <w:rFonts w:ascii="Times New Roman" w:hAnsi="Times New Roman" w:eastAsia="宋体" w:cs="Times New Roman"/>
          <w:color w:val="auto"/>
          <w:kern w:val="0"/>
          <w:highlight w:val="none"/>
        </w:rPr>
        <w:t>本项目污染影响评价工作等级判定结果见表</w:t>
      </w:r>
      <w:r>
        <w:rPr>
          <w:rFonts w:hint="eastAsia" w:ascii="Times New Roman" w:hAnsi="Times New Roman" w:eastAsia="宋体" w:cs="Times New Roman"/>
          <w:color w:val="auto"/>
          <w:kern w:val="0"/>
          <w:highlight w:val="none"/>
        </w:rPr>
        <w:t>2.5-</w:t>
      </w:r>
      <w:r>
        <w:rPr>
          <w:rFonts w:hint="eastAsia" w:ascii="Times New Roman" w:hAnsi="Times New Roman" w:eastAsia="宋体" w:cs="Times New Roman"/>
          <w:color w:val="auto"/>
          <w:kern w:val="0"/>
          <w:highlight w:val="none"/>
          <w:lang w:val="en-US" w:eastAsia="zh-CN"/>
        </w:rPr>
        <w:t>7</w:t>
      </w:r>
      <w:r>
        <w:rPr>
          <w:rFonts w:ascii="Times New Roman" w:hAnsi="Times New Roman" w:eastAsia="宋体" w:cs="Times New Roman"/>
          <w:color w:val="auto"/>
          <w:kern w:val="0"/>
          <w:highlight w:val="none"/>
        </w:rPr>
        <w:t>。</w:t>
      </w:r>
    </w:p>
    <w:p w14:paraId="0B7A3DBD">
      <w:pPr>
        <w:keepNext w:val="0"/>
        <w:keepLines w:val="0"/>
        <w:pageBreakBefore w:val="0"/>
        <w:widowControl w:val="0"/>
        <w:kinsoku w:val="0"/>
        <w:wordWrap/>
        <w:overflowPunct w:val="0"/>
        <w:topLinePunct w:val="0"/>
        <w:autoSpaceDE w:val="0"/>
        <w:autoSpaceDN w:val="0"/>
        <w:bidi w:val="0"/>
        <w:adjustRightInd/>
        <w:snapToGrid/>
        <w:spacing w:line="360" w:lineRule="auto"/>
        <w:ind w:firstLine="0"/>
        <w:jc w:val="center"/>
        <w:textAlignment w:val="auto"/>
        <w:rPr>
          <w:rFonts w:ascii="Times New Roman" w:hAnsi="Times New Roman" w:eastAsia="黑体" w:cs="Times New Roman"/>
          <w:color w:val="auto"/>
          <w:kern w:val="0"/>
          <w:sz w:val="21"/>
          <w:szCs w:val="20"/>
          <w:highlight w:val="none"/>
        </w:rPr>
      </w:pPr>
      <w:r>
        <w:rPr>
          <w:rFonts w:ascii="Times New Roman" w:hAnsi="Times New Roman" w:eastAsia="黑体" w:cs="Times New Roman"/>
          <w:color w:val="auto"/>
          <w:kern w:val="0"/>
          <w:sz w:val="21"/>
          <w:szCs w:val="20"/>
          <w:highlight w:val="none"/>
        </w:rPr>
        <w:t>表</w:t>
      </w:r>
      <w:r>
        <w:rPr>
          <w:rFonts w:hint="eastAsia" w:ascii="Times New Roman" w:hAnsi="Times New Roman" w:eastAsia="黑体" w:cs="Times New Roman"/>
          <w:color w:val="auto"/>
          <w:kern w:val="0"/>
          <w:sz w:val="21"/>
          <w:szCs w:val="20"/>
          <w:highlight w:val="none"/>
        </w:rPr>
        <w:t>2.5-</w:t>
      </w:r>
      <w:r>
        <w:rPr>
          <w:rFonts w:hint="eastAsia" w:ascii="Times New Roman" w:hAnsi="Times New Roman" w:eastAsia="黑体" w:cs="Times New Roman"/>
          <w:color w:val="auto"/>
          <w:kern w:val="0"/>
          <w:sz w:val="21"/>
          <w:szCs w:val="20"/>
          <w:highlight w:val="none"/>
          <w:lang w:val="en-US" w:eastAsia="zh-CN"/>
        </w:rPr>
        <w:t>7</w:t>
      </w:r>
      <w:r>
        <w:rPr>
          <w:rFonts w:ascii="Times New Roman" w:hAnsi="Times New Roman" w:eastAsia="黑体" w:cs="Times New Roman"/>
          <w:color w:val="auto"/>
          <w:kern w:val="0"/>
          <w:sz w:val="21"/>
          <w:szCs w:val="20"/>
          <w:highlight w:val="none"/>
        </w:rPr>
        <w:t xml:space="preserve">   污染影响型评价工作等级判定结果表</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970"/>
        <w:gridCol w:w="774"/>
        <w:gridCol w:w="775"/>
        <w:gridCol w:w="775"/>
        <w:gridCol w:w="775"/>
        <w:gridCol w:w="775"/>
        <w:gridCol w:w="648"/>
        <w:gridCol w:w="749"/>
        <w:gridCol w:w="776"/>
        <w:gridCol w:w="715"/>
      </w:tblGrid>
      <w:tr w14:paraId="33DA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28" w:type="pct"/>
            <w:vMerge w:val="restart"/>
            <w:shd w:val="clear" w:color="auto" w:fill="auto"/>
            <w:vAlign w:val="center"/>
          </w:tcPr>
          <w:p w14:paraId="11D72812">
            <w:pPr>
              <w:pStyle w:val="973"/>
              <w:keepNext w:val="0"/>
              <w:keepLines w:val="0"/>
              <w:suppressLineNumbers w:val="0"/>
              <w:spacing w:before="0" w:beforeAutospacing="0" w:after="0" w:afterAutospacing="0" w:line="240" w:lineRule="auto"/>
              <w:ind w:left="0" w:right="0" w:firstLine="990" w:firstLineChars="55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mc:AlternateContent>
                <mc:Choice Requires="wps">
                  <w:drawing>
                    <wp:anchor distT="0" distB="0" distL="114300" distR="114300" simplePos="0" relativeHeight="251668480" behindDoc="0" locked="0" layoutInCell="1" allowOverlap="1">
                      <wp:simplePos x="0" y="0"/>
                      <wp:positionH relativeFrom="column">
                        <wp:posOffset>337185</wp:posOffset>
                      </wp:positionH>
                      <wp:positionV relativeFrom="paragraph">
                        <wp:posOffset>635</wp:posOffset>
                      </wp:positionV>
                      <wp:extent cx="836930" cy="415925"/>
                      <wp:effectExtent l="1905" t="4445" r="18415" b="17780"/>
                      <wp:wrapNone/>
                      <wp:docPr id="270" name="直接箭头连接符 270"/>
                      <wp:cNvGraphicFramePr/>
                      <a:graphic xmlns:a="http://schemas.openxmlformats.org/drawingml/2006/main">
                        <a:graphicData uri="http://schemas.microsoft.com/office/word/2010/wordprocessingShape">
                          <wps:wsp>
                            <wps:cNvCnPr>
                              <a:cxnSpLocks noChangeShapeType="1"/>
                            </wps:cNvCnPr>
                            <wps:spPr bwMode="auto">
                              <a:xfrm flipH="1" flipV="1">
                                <a:off x="0" y="0"/>
                                <a:ext cx="836930" cy="415925"/>
                              </a:xfrm>
                              <a:prstGeom prst="straightConnector1">
                                <a:avLst/>
                              </a:prstGeom>
                              <a:noFill/>
                              <a:ln w="6350">
                                <a:solidFill>
                                  <a:srgbClr val="000000"/>
                                </a:solidFill>
                                <a:round/>
                              </a:ln>
                              <a:effectLst/>
                            </wps:spPr>
                            <wps:bodyPr/>
                          </wps:wsp>
                        </a:graphicData>
                      </a:graphic>
                    </wp:anchor>
                  </w:drawing>
                </mc:Choice>
                <mc:Fallback>
                  <w:pict>
                    <v:shape id="_x0000_s1026" o:spid="_x0000_s1026" o:spt="32" type="#_x0000_t32" style="position:absolute;left:0pt;flip:x y;margin-left:26.55pt;margin-top:0.05pt;height:32.75pt;width:65.9pt;z-index:251668480;mso-width-relative:page;mso-height-relative:page;" filled="f" stroked="t" coordsize="21600,21600" o:gfxdata="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S/x+1AAAAAYBAAAPAAAAAAAAAAEAIAAAACIAAABk&#10;cnMvZG93bnJldi54bWxQSwECFAAUAAAACACHTuJArUM4mgoCAADoAwAADgAAAAAAAAABACAAAAAj&#10;AQAAZHJzL2Uyb0RvYy54bWxQSwUGAAAAAAYABgBZAQAAnwUAAAAA&#10;">
                      <v:fill on="f" focussize="0,0"/>
                      <v:stroke weight="0.5pt" color="#000000" joinstyle="round"/>
                      <v:imagedata o:title=""/>
                      <o:lock v:ext="edit" aspectratio="f"/>
                    </v:shape>
                  </w:pict>
                </mc:Fallback>
              </mc:AlternateContent>
            </w:r>
            <w:r>
              <w:rPr>
                <w:rFonts w:hint="default" w:ascii="Times New Roman" w:hAnsi="Times New Roman" w:cs="Times New Roman"/>
                <w:color w:val="auto"/>
                <w:sz w:val="18"/>
                <w:szCs w:val="18"/>
                <w:highlight w:val="none"/>
              </w:rPr>
              <w:t>占地规模</w:t>
            </w:r>
          </w:p>
          <w:p w14:paraId="22374E20">
            <w:pPr>
              <w:pStyle w:val="973"/>
              <w:keepNext w:val="0"/>
              <w:keepLines w:val="0"/>
              <w:suppressLineNumbers w:val="0"/>
              <w:spacing w:before="0" w:beforeAutospacing="0" w:after="0" w:afterAutospacing="0" w:line="240" w:lineRule="auto"/>
              <w:ind w:left="0" w:right="0"/>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评价工作等级</w:t>
            </w:r>
          </w:p>
          <w:p w14:paraId="2D7E2AB0">
            <w:pPr>
              <w:keepNext w:val="0"/>
              <w:keepLines w:val="0"/>
              <w:suppressLineNumbers w:val="0"/>
              <w:spacing w:before="72" w:beforeLines="30" w:beforeAutospacing="0" w:after="0" w:afterAutospacing="0" w:line="240" w:lineRule="auto"/>
              <w:ind w:left="0" w:right="0" w:firstLine="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18"/>
                <w:szCs w:val="18"/>
                <w:highlight w:val="none"/>
              </w:rPr>
              <mc:AlternateContent>
                <mc:Choice Requires="wps">
                  <w:drawing>
                    <wp:anchor distT="0" distB="0" distL="114300" distR="114300" simplePos="0" relativeHeight="251667456" behindDoc="0" locked="0" layoutInCell="1" allowOverlap="1">
                      <wp:simplePos x="0" y="0"/>
                      <wp:positionH relativeFrom="column">
                        <wp:posOffset>-34290</wp:posOffset>
                      </wp:positionH>
                      <wp:positionV relativeFrom="paragraph">
                        <wp:posOffset>-5715</wp:posOffset>
                      </wp:positionV>
                      <wp:extent cx="1121410" cy="299720"/>
                      <wp:effectExtent l="1270" t="4445" r="1270" b="19685"/>
                      <wp:wrapNone/>
                      <wp:docPr id="269" name="直接箭头连接符 269"/>
                      <wp:cNvGraphicFramePr/>
                      <a:graphic xmlns:a="http://schemas.openxmlformats.org/drawingml/2006/main">
                        <a:graphicData uri="http://schemas.microsoft.com/office/word/2010/wordprocessingShape">
                          <wps:wsp>
                            <wps:cNvCnPr>
                              <a:cxnSpLocks noChangeShapeType="1"/>
                            </wps:cNvCnPr>
                            <wps:spPr bwMode="auto">
                              <a:xfrm flipH="1" flipV="1">
                                <a:off x="0" y="0"/>
                                <a:ext cx="1121410" cy="299720"/>
                              </a:xfrm>
                              <a:prstGeom prst="straightConnector1">
                                <a:avLst/>
                              </a:prstGeom>
                              <a:noFill/>
                              <a:ln w="6350">
                                <a:solidFill>
                                  <a:srgbClr val="000000"/>
                                </a:solidFill>
                                <a:round/>
                              </a:ln>
                            </wps:spPr>
                            <wps:bodyPr/>
                          </wps:wsp>
                        </a:graphicData>
                      </a:graphic>
                    </wp:anchor>
                  </w:drawing>
                </mc:Choice>
                <mc:Fallback>
                  <w:pict>
                    <v:shape id="_x0000_s1026" o:spid="_x0000_s1026" o:spt="32" type="#_x0000_t32" style="position:absolute;left:0pt;flip:x y;margin-left:-2.7pt;margin-top:-0.45pt;height:23.6pt;width:88.3pt;z-index:251667456;mso-width-relative:page;mso-height-relative:page;" filled="f" stroked="t" coordsize="21600,21600" o:gfxdata="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e4yKdYAAAAHAQAADwAAAAAAAAABACAAAAAiAAAAZHJz&#10;L2Rvd25yZXYueG1sUEsBAhQAFAAAAAgAh07iQHWNk3QGAgAA2wMAAA4AAAAAAAAAAQAgAAAAJQEA&#10;AGRycy9lMm9Eb2MueG1sUEsFBgAAAAAGAAYAWQEAAJ0FAAAAAA==&#10;">
                      <v:fill on="f" focussize="0,0"/>
                      <v:stroke weight="0.5pt" color="#000000" joinstyle="round"/>
                      <v:imagedata o:title=""/>
                      <o:lock v:ext="edit" aspectratio="f"/>
                    </v:shape>
                  </w:pict>
                </mc:Fallback>
              </mc:AlternateContent>
            </w:r>
            <w:r>
              <w:rPr>
                <w:rFonts w:hint="default" w:ascii="Times New Roman" w:hAnsi="Times New Roman" w:eastAsia="宋体" w:cs="Times New Roman"/>
                <w:color w:val="auto"/>
                <w:sz w:val="18"/>
                <w:szCs w:val="18"/>
                <w:highlight w:val="none"/>
              </w:rPr>
              <w:t>敏感程度</w:t>
            </w:r>
          </w:p>
        </w:tc>
        <w:tc>
          <w:tcPr>
            <w:tcW w:w="1331" w:type="pct"/>
            <w:gridSpan w:val="3"/>
            <w:shd w:val="clear" w:color="auto" w:fill="auto"/>
            <w:vAlign w:val="center"/>
          </w:tcPr>
          <w:p w14:paraId="00AC6276">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eastAsia" w:ascii="宋体" w:hAnsi="宋体" w:eastAsia="宋体" w:cs="宋体"/>
                <w:color w:val="auto"/>
                <w:highlight w:val="none"/>
              </w:rPr>
              <w:t>Ⅰ</w:t>
            </w:r>
            <w:r>
              <w:rPr>
                <w:rFonts w:hint="default" w:ascii="Times New Roman" w:hAnsi="Times New Roman" w:cs="Times New Roman"/>
                <w:color w:val="auto"/>
                <w:highlight w:val="none"/>
              </w:rPr>
              <w:t>类</w:t>
            </w:r>
          </w:p>
        </w:tc>
        <w:tc>
          <w:tcPr>
            <w:tcW w:w="1259" w:type="pct"/>
            <w:gridSpan w:val="3"/>
            <w:shd w:val="clear" w:color="auto" w:fill="auto"/>
            <w:vAlign w:val="center"/>
          </w:tcPr>
          <w:p w14:paraId="0A9BE016">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eastAsia" w:ascii="宋体" w:hAnsi="宋体" w:eastAsia="宋体" w:cs="宋体"/>
                <w:color w:val="auto"/>
                <w:highlight w:val="none"/>
              </w:rPr>
              <w:t>Ⅱ</w:t>
            </w:r>
            <w:r>
              <w:rPr>
                <w:rFonts w:hint="default" w:ascii="Times New Roman" w:hAnsi="Times New Roman" w:cs="Times New Roman"/>
                <w:color w:val="auto"/>
                <w:highlight w:val="none"/>
              </w:rPr>
              <w:t>类</w:t>
            </w:r>
          </w:p>
        </w:tc>
        <w:tc>
          <w:tcPr>
            <w:tcW w:w="1280" w:type="pct"/>
            <w:gridSpan w:val="3"/>
            <w:shd w:val="clear" w:color="auto" w:fill="auto"/>
            <w:vAlign w:val="center"/>
          </w:tcPr>
          <w:p w14:paraId="4BB47F28">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eastAsia" w:ascii="宋体" w:hAnsi="宋体" w:eastAsia="宋体" w:cs="宋体"/>
                <w:color w:val="auto"/>
                <w:highlight w:val="none"/>
              </w:rPr>
              <w:t>Ⅲ</w:t>
            </w:r>
            <w:r>
              <w:rPr>
                <w:rFonts w:hint="default" w:ascii="Times New Roman" w:hAnsi="Times New Roman" w:cs="Times New Roman"/>
                <w:color w:val="auto"/>
                <w:highlight w:val="none"/>
              </w:rPr>
              <w:t>类</w:t>
            </w:r>
          </w:p>
        </w:tc>
      </w:tr>
      <w:tr w14:paraId="21972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28" w:type="pct"/>
            <w:vMerge w:val="continue"/>
            <w:shd w:val="clear" w:color="auto" w:fill="auto"/>
            <w:vAlign w:val="center"/>
          </w:tcPr>
          <w:p w14:paraId="7B46B5C9">
            <w:pPr>
              <w:pStyle w:val="973"/>
              <w:keepNext w:val="0"/>
              <w:keepLines w:val="0"/>
              <w:suppressLineNumbers w:val="0"/>
              <w:spacing w:before="0" w:beforeAutospacing="0" w:after="0" w:afterAutospacing="0" w:line="240" w:lineRule="auto"/>
              <w:ind w:left="0" w:right="0"/>
              <w:jc w:val="left"/>
              <w:rPr>
                <w:rFonts w:hint="default" w:ascii="Times New Roman" w:hAnsi="Times New Roman" w:cs="Times New Roman"/>
                <w:color w:val="auto"/>
                <w:highlight w:val="none"/>
              </w:rPr>
            </w:pPr>
          </w:p>
        </w:tc>
        <w:tc>
          <w:tcPr>
            <w:tcW w:w="443" w:type="pct"/>
            <w:shd w:val="clear" w:color="auto" w:fill="auto"/>
            <w:vAlign w:val="center"/>
          </w:tcPr>
          <w:p w14:paraId="7AF353C1">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大</w:t>
            </w:r>
          </w:p>
        </w:tc>
        <w:tc>
          <w:tcPr>
            <w:tcW w:w="444" w:type="pct"/>
            <w:shd w:val="clear" w:color="auto" w:fill="auto"/>
            <w:vAlign w:val="center"/>
          </w:tcPr>
          <w:p w14:paraId="5C039435">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中</w:t>
            </w:r>
          </w:p>
        </w:tc>
        <w:tc>
          <w:tcPr>
            <w:tcW w:w="444" w:type="pct"/>
            <w:shd w:val="clear" w:color="auto" w:fill="auto"/>
            <w:vAlign w:val="center"/>
          </w:tcPr>
          <w:p w14:paraId="433B8FA9">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小</w:t>
            </w:r>
          </w:p>
        </w:tc>
        <w:tc>
          <w:tcPr>
            <w:tcW w:w="444" w:type="pct"/>
            <w:shd w:val="clear" w:color="auto" w:fill="auto"/>
            <w:vAlign w:val="center"/>
          </w:tcPr>
          <w:p w14:paraId="668B7B6A">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大</w:t>
            </w:r>
          </w:p>
        </w:tc>
        <w:tc>
          <w:tcPr>
            <w:tcW w:w="444" w:type="pct"/>
            <w:shd w:val="clear" w:color="auto" w:fill="auto"/>
            <w:vAlign w:val="center"/>
          </w:tcPr>
          <w:p w14:paraId="1ED28C29">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中</w:t>
            </w:r>
          </w:p>
        </w:tc>
        <w:tc>
          <w:tcPr>
            <w:tcW w:w="371" w:type="pct"/>
            <w:shd w:val="clear" w:color="auto" w:fill="auto"/>
            <w:vAlign w:val="center"/>
          </w:tcPr>
          <w:p w14:paraId="2FABD42E">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小</w:t>
            </w:r>
          </w:p>
        </w:tc>
        <w:tc>
          <w:tcPr>
            <w:tcW w:w="429" w:type="pct"/>
            <w:shd w:val="clear" w:color="auto" w:fill="auto"/>
            <w:vAlign w:val="center"/>
          </w:tcPr>
          <w:p w14:paraId="254501AF">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大</w:t>
            </w:r>
          </w:p>
        </w:tc>
        <w:tc>
          <w:tcPr>
            <w:tcW w:w="444" w:type="pct"/>
            <w:shd w:val="clear" w:color="auto" w:fill="auto"/>
            <w:vAlign w:val="center"/>
          </w:tcPr>
          <w:p w14:paraId="454EFEC1">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中</w:t>
            </w:r>
          </w:p>
        </w:tc>
        <w:tc>
          <w:tcPr>
            <w:tcW w:w="406" w:type="pct"/>
            <w:shd w:val="clear" w:color="auto" w:fill="auto"/>
            <w:vAlign w:val="center"/>
          </w:tcPr>
          <w:p w14:paraId="35963ECB">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小</w:t>
            </w:r>
          </w:p>
        </w:tc>
      </w:tr>
      <w:tr w14:paraId="5324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28" w:type="pct"/>
            <w:shd w:val="clear" w:color="auto" w:fill="auto"/>
            <w:vAlign w:val="center"/>
          </w:tcPr>
          <w:p w14:paraId="1411F5A5">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敏感</w:t>
            </w:r>
          </w:p>
        </w:tc>
        <w:tc>
          <w:tcPr>
            <w:tcW w:w="443" w:type="pct"/>
            <w:shd w:val="clear" w:color="auto" w:fill="auto"/>
            <w:vAlign w:val="center"/>
          </w:tcPr>
          <w:p w14:paraId="639071CE">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一级</w:t>
            </w:r>
          </w:p>
        </w:tc>
        <w:tc>
          <w:tcPr>
            <w:tcW w:w="444" w:type="pct"/>
            <w:shd w:val="clear" w:color="auto" w:fill="auto"/>
            <w:vAlign w:val="center"/>
          </w:tcPr>
          <w:p w14:paraId="3F70147E">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一级</w:t>
            </w:r>
          </w:p>
        </w:tc>
        <w:tc>
          <w:tcPr>
            <w:tcW w:w="444" w:type="pct"/>
            <w:shd w:val="clear" w:color="auto" w:fill="auto"/>
            <w:vAlign w:val="center"/>
          </w:tcPr>
          <w:p w14:paraId="5E789DD3">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一级</w:t>
            </w:r>
          </w:p>
        </w:tc>
        <w:tc>
          <w:tcPr>
            <w:tcW w:w="444" w:type="pct"/>
            <w:shd w:val="clear" w:color="auto" w:fill="auto"/>
            <w:vAlign w:val="center"/>
          </w:tcPr>
          <w:p w14:paraId="161D1A30">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二级</w:t>
            </w:r>
          </w:p>
        </w:tc>
        <w:tc>
          <w:tcPr>
            <w:tcW w:w="444" w:type="pct"/>
            <w:shd w:val="clear" w:color="auto" w:fill="auto"/>
            <w:vAlign w:val="center"/>
          </w:tcPr>
          <w:p w14:paraId="25F2DDD9">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二级</w:t>
            </w:r>
          </w:p>
        </w:tc>
        <w:tc>
          <w:tcPr>
            <w:tcW w:w="371" w:type="pct"/>
            <w:shd w:val="clear" w:color="auto" w:fill="auto"/>
            <w:vAlign w:val="center"/>
          </w:tcPr>
          <w:p w14:paraId="7D14D4B3">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二级</w:t>
            </w:r>
          </w:p>
        </w:tc>
        <w:tc>
          <w:tcPr>
            <w:tcW w:w="429" w:type="pct"/>
            <w:shd w:val="clear" w:color="auto" w:fill="auto"/>
            <w:vAlign w:val="center"/>
          </w:tcPr>
          <w:p w14:paraId="574AC00F">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三级</w:t>
            </w:r>
          </w:p>
        </w:tc>
        <w:tc>
          <w:tcPr>
            <w:tcW w:w="444" w:type="pct"/>
            <w:shd w:val="clear" w:color="auto" w:fill="auto"/>
            <w:vAlign w:val="center"/>
          </w:tcPr>
          <w:p w14:paraId="074673FA">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三级</w:t>
            </w:r>
          </w:p>
        </w:tc>
        <w:tc>
          <w:tcPr>
            <w:tcW w:w="406" w:type="pct"/>
            <w:shd w:val="clear" w:color="auto" w:fill="auto"/>
            <w:vAlign w:val="center"/>
          </w:tcPr>
          <w:p w14:paraId="37C89EFC">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三级</w:t>
            </w:r>
          </w:p>
        </w:tc>
      </w:tr>
      <w:tr w14:paraId="3117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28" w:type="pct"/>
            <w:shd w:val="clear" w:color="auto" w:fill="auto"/>
            <w:vAlign w:val="center"/>
          </w:tcPr>
          <w:p w14:paraId="2463F579">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较敏感</w:t>
            </w:r>
          </w:p>
        </w:tc>
        <w:tc>
          <w:tcPr>
            <w:tcW w:w="443" w:type="pct"/>
            <w:shd w:val="clear" w:color="auto" w:fill="auto"/>
            <w:vAlign w:val="center"/>
          </w:tcPr>
          <w:p w14:paraId="30E92BCA">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一级</w:t>
            </w:r>
          </w:p>
        </w:tc>
        <w:tc>
          <w:tcPr>
            <w:tcW w:w="444" w:type="pct"/>
            <w:shd w:val="clear" w:color="auto" w:fill="auto"/>
            <w:vAlign w:val="center"/>
          </w:tcPr>
          <w:p w14:paraId="2813AFAD">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一级</w:t>
            </w:r>
          </w:p>
        </w:tc>
        <w:tc>
          <w:tcPr>
            <w:tcW w:w="444" w:type="pct"/>
            <w:shd w:val="clear" w:color="auto" w:fill="auto"/>
            <w:vAlign w:val="center"/>
          </w:tcPr>
          <w:p w14:paraId="0F0E21A2">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二级</w:t>
            </w:r>
          </w:p>
        </w:tc>
        <w:tc>
          <w:tcPr>
            <w:tcW w:w="444" w:type="pct"/>
            <w:shd w:val="clear" w:color="auto" w:fill="auto"/>
            <w:vAlign w:val="center"/>
          </w:tcPr>
          <w:p w14:paraId="7D12D203">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二级</w:t>
            </w:r>
          </w:p>
        </w:tc>
        <w:tc>
          <w:tcPr>
            <w:tcW w:w="444" w:type="pct"/>
            <w:shd w:val="clear" w:color="auto" w:fill="auto"/>
            <w:vAlign w:val="center"/>
          </w:tcPr>
          <w:p w14:paraId="109DACD8">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二级</w:t>
            </w:r>
          </w:p>
        </w:tc>
        <w:tc>
          <w:tcPr>
            <w:tcW w:w="371" w:type="pct"/>
            <w:shd w:val="clear" w:color="auto" w:fill="auto"/>
            <w:vAlign w:val="center"/>
          </w:tcPr>
          <w:p w14:paraId="279881C2">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三级</w:t>
            </w:r>
          </w:p>
        </w:tc>
        <w:tc>
          <w:tcPr>
            <w:tcW w:w="429" w:type="pct"/>
            <w:shd w:val="clear" w:color="auto" w:fill="auto"/>
            <w:vAlign w:val="center"/>
          </w:tcPr>
          <w:p w14:paraId="458AC326">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三级</w:t>
            </w:r>
          </w:p>
        </w:tc>
        <w:tc>
          <w:tcPr>
            <w:tcW w:w="444" w:type="pct"/>
            <w:shd w:val="clear" w:color="auto" w:fill="auto"/>
            <w:vAlign w:val="center"/>
          </w:tcPr>
          <w:p w14:paraId="5A2569EB">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三级</w:t>
            </w:r>
          </w:p>
        </w:tc>
        <w:tc>
          <w:tcPr>
            <w:tcW w:w="406" w:type="pct"/>
            <w:shd w:val="clear" w:color="auto" w:fill="auto"/>
            <w:vAlign w:val="center"/>
          </w:tcPr>
          <w:p w14:paraId="617452DA">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1F64D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28" w:type="pct"/>
            <w:tcBorders>
              <w:bottom w:val="single" w:color="auto" w:sz="4" w:space="0"/>
            </w:tcBorders>
            <w:shd w:val="clear" w:color="auto" w:fill="auto"/>
            <w:vAlign w:val="center"/>
          </w:tcPr>
          <w:p w14:paraId="214DD052">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不敏感</w:t>
            </w:r>
          </w:p>
        </w:tc>
        <w:tc>
          <w:tcPr>
            <w:tcW w:w="443" w:type="pct"/>
            <w:tcBorders>
              <w:bottom w:val="single" w:color="auto" w:sz="4" w:space="0"/>
            </w:tcBorders>
            <w:shd w:val="clear" w:color="auto" w:fill="auto"/>
            <w:vAlign w:val="center"/>
          </w:tcPr>
          <w:p w14:paraId="1BA7295E">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一级</w:t>
            </w:r>
          </w:p>
        </w:tc>
        <w:tc>
          <w:tcPr>
            <w:tcW w:w="444" w:type="pct"/>
            <w:tcBorders>
              <w:bottom w:val="single" w:color="auto" w:sz="4" w:space="0"/>
            </w:tcBorders>
            <w:shd w:val="clear" w:color="auto" w:fill="auto"/>
            <w:vAlign w:val="center"/>
          </w:tcPr>
          <w:p w14:paraId="04139CEB">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二级</w:t>
            </w:r>
          </w:p>
        </w:tc>
        <w:tc>
          <w:tcPr>
            <w:tcW w:w="444" w:type="pct"/>
            <w:tcBorders>
              <w:bottom w:val="single" w:color="auto" w:sz="4" w:space="0"/>
            </w:tcBorders>
            <w:shd w:val="clear" w:color="auto" w:fill="auto"/>
            <w:vAlign w:val="center"/>
          </w:tcPr>
          <w:p w14:paraId="78351707">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二级</w:t>
            </w:r>
          </w:p>
        </w:tc>
        <w:tc>
          <w:tcPr>
            <w:tcW w:w="444" w:type="pct"/>
            <w:tcBorders>
              <w:bottom w:val="single" w:color="auto" w:sz="4" w:space="0"/>
            </w:tcBorders>
            <w:shd w:val="clear" w:color="auto" w:fill="auto"/>
            <w:vAlign w:val="center"/>
          </w:tcPr>
          <w:p w14:paraId="72F12265">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二级</w:t>
            </w:r>
          </w:p>
        </w:tc>
        <w:tc>
          <w:tcPr>
            <w:tcW w:w="444" w:type="pct"/>
            <w:tcBorders>
              <w:bottom w:val="single" w:color="auto" w:sz="4" w:space="0"/>
            </w:tcBorders>
            <w:shd w:val="clear" w:color="auto" w:fill="auto"/>
            <w:vAlign w:val="center"/>
          </w:tcPr>
          <w:p w14:paraId="1FAB5FAA">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三级</w:t>
            </w:r>
          </w:p>
        </w:tc>
        <w:tc>
          <w:tcPr>
            <w:tcW w:w="371" w:type="pct"/>
            <w:tcBorders>
              <w:bottom w:val="single" w:color="auto" w:sz="4" w:space="0"/>
            </w:tcBorders>
            <w:shd w:val="clear" w:color="auto" w:fill="auto"/>
            <w:vAlign w:val="center"/>
          </w:tcPr>
          <w:p w14:paraId="45B52107">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三级</w:t>
            </w:r>
          </w:p>
        </w:tc>
        <w:tc>
          <w:tcPr>
            <w:tcW w:w="429" w:type="pct"/>
            <w:tcBorders>
              <w:bottom w:val="single" w:color="auto" w:sz="4" w:space="0"/>
            </w:tcBorders>
            <w:shd w:val="clear" w:color="auto" w:fill="auto"/>
            <w:vAlign w:val="center"/>
          </w:tcPr>
          <w:p w14:paraId="4FD9A5BC">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三级</w:t>
            </w:r>
          </w:p>
        </w:tc>
        <w:tc>
          <w:tcPr>
            <w:tcW w:w="444" w:type="pct"/>
            <w:tcBorders>
              <w:bottom w:val="single" w:color="auto" w:sz="4" w:space="0"/>
            </w:tcBorders>
            <w:shd w:val="clear" w:color="auto" w:fill="auto"/>
            <w:vAlign w:val="center"/>
          </w:tcPr>
          <w:p w14:paraId="185840E9">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406" w:type="pct"/>
            <w:tcBorders>
              <w:bottom w:val="single" w:color="auto" w:sz="4" w:space="0"/>
            </w:tcBorders>
            <w:shd w:val="clear" w:color="auto" w:fill="auto"/>
            <w:vAlign w:val="center"/>
          </w:tcPr>
          <w:p w14:paraId="67A08DE4">
            <w:pPr>
              <w:pStyle w:val="973"/>
              <w:keepNext w:val="0"/>
              <w:keepLines w:val="0"/>
              <w:suppressLineNumbers w:val="0"/>
              <w:spacing w:before="0" w:beforeAutospacing="0" w:after="0" w:afterAutospacing="0" w:line="240" w:lineRule="auto"/>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6D6A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000" w:type="pct"/>
            <w:gridSpan w:val="10"/>
            <w:tcBorders>
              <w:top w:val="single" w:color="auto" w:sz="4" w:space="0"/>
              <w:left w:val="nil"/>
              <w:bottom w:val="nil"/>
              <w:right w:val="nil"/>
            </w:tcBorders>
            <w:shd w:val="clear" w:color="auto" w:fill="auto"/>
            <w:vAlign w:val="center"/>
          </w:tcPr>
          <w:p w14:paraId="5D10E1A4">
            <w:pPr>
              <w:pStyle w:val="973"/>
              <w:keepNext w:val="0"/>
              <w:keepLines w:val="0"/>
              <w:suppressLineNumbers w:val="0"/>
              <w:spacing w:before="0" w:beforeAutospacing="0" w:after="0" w:afterAutospacing="0" w:line="240" w:lineRule="auto"/>
              <w:ind w:left="0" w:right="0"/>
              <w:jc w:val="left"/>
              <w:rPr>
                <w:rFonts w:hint="default" w:ascii="Times New Roman" w:hAnsi="Times New Roman" w:cs="Times New Roman"/>
                <w:color w:val="auto"/>
                <w:highlight w:val="none"/>
              </w:rPr>
            </w:pPr>
            <w:r>
              <w:rPr>
                <w:rFonts w:hint="default" w:ascii="Times New Roman" w:hAnsi="Times New Roman" w:cs="Times New Roman"/>
                <w:color w:val="auto"/>
                <w:sz w:val="18"/>
                <w:szCs w:val="20"/>
                <w:highlight w:val="none"/>
              </w:rPr>
              <w:t>注：“-”表示可不开展土壤环境影响评价工作</w:t>
            </w:r>
          </w:p>
        </w:tc>
      </w:tr>
    </w:tbl>
    <w:p w14:paraId="12A524B9">
      <w:pPr>
        <w:pageBreakBefore w:val="0"/>
        <w:widowControl/>
        <w:kinsoku/>
        <w:wordWrap/>
        <w:overflowPunct/>
        <w:bidi w:val="0"/>
        <w:ind w:firstLine="480" w:firstLineChars="200"/>
        <w:jc w:val="both"/>
        <w:rPr>
          <w:rFonts w:hint="default" w:eastAsia="宋体"/>
          <w:color w:val="auto"/>
          <w:kern w:val="0"/>
          <w:highlight w:val="none"/>
          <w:lang w:val="en-US" w:eastAsia="zh-CN"/>
        </w:rPr>
      </w:pPr>
      <w:r>
        <w:rPr>
          <w:rFonts w:hint="eastAsia" w:cs="Times New Roman"/>
          <w:color w:val="auto"/>
          <w:highlight w:val="none"/>
          <w:lang w:val="en-US" w:eastAsia="zh-CN"/>
        </w:rPr>
        <w:t>综上，本项目属于“Ⅱ类建设项目”，</w:t>
      </w:r>
      <w:r>
        <w:rPr>
          <w:rFonts w:hint="eastAsia" w:ascii="Times New Roman" w:hAnsi="Times New Roman" w:eastAsia="宋体" w:cs="Times New Roman"/>
          <w:color w:val="auto"/>
          <w:highlight w:val="none"/>
          <w:lang w:val="en-US" w:eastAsia="zh-CN"/>
        </w:rPr>
        <w:t>项目新增</w:t>
      </w:r>
      <w:r>
        <w:rPr>
          <w:rFonts w:ascii="Times New Roman" w:hAnsi="Times New Roman" w:eastAsia="宋体" w:cs="Times New Roman"/>
          <w:color w:val="auto"/>
          <w:highlight w:val="none"/>
        </w:rPr>
        <w:t>占地</w:t>
      </w:r>
      <w:r>
        <w:rPr>
          <w:rFonts w:hint="eastAsia" w:ascii="Times New Roman" w:hAnsi="Times New Roman" w:eastAsia="宋体" w:cs="Times New Roman"/>
          <w:color w:val="auto"/>
          <w:kern w:val="0"/>
          <w:highlight w:val="none"/>
        </w:rPr>
        <w:t>65.2804</w:t>
      </w:r>
      <w:r>
        <w:rPr>
          <w:rFonts w:ascii="Times New Roman" w:hAnsi="Times New Roman" w:eastAsia="宋体" w:cs="Times New Roman"/>
          <w:color w:val="auto"/>
          <w:highlight w:val="none"/>
        </w:rPr>
        <w:t>hm</w:t>
      </w:r>
      <w:r>
        <w:rPr>
          <w:rFonts w:ascii="Times New Roman" w:hAnsi="Times New Roman" w:eastAsia="宋体" w:cs="Times New Roman"/>
          <w:color w:val="auto"/>
          <w:highlight w:val="none"/>
          <w:vertAlign w:val="superscript"/>
        </w:rPr>
        <w:t>2</w:t>
      </w:r>
      <w:r>
        <w:rPr>
          <w:rFonts w:ascii="Times New Roman" w:hAnsi="Times New Roman" w:eastAsia="宋体" w:cs="Times New Roman"/>
          <w:color w:val="auto"/>
          <w:highlight w:val="none"/>
        </w:rPr>
        <w:t>，占地</w:t>
      </w:r>
      <w:r>
        <w:rPr>
          <w:rFonts w:hint="eastAsia" w:ascii="Times New Roman" w:hAnsi="Times New Roman" w:eastAsia="宋体" w:cs="Times New Roman"/>
          <w:color w:val="auto"/>
          <w:highlight w:val="none"/>
        </w:rPr>
        <w:t>规模为大</w:t>
      </w:r>
      <w:r>
        <w:rPr>
          <w:rFonts w:ascii="Times New Roman" w:hAnsi="Times New Roman" w:eastAsia="宋体" w:cs="Times New Roman"/>
          <w:color w:val="auto"/>
          <w:highlight w:val="none"/>
        </w:rPr>
        <w:t>型</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≥50hm</w:t>
      </w:r>
      <w:r>
        <w:rPr>
          <w:rFonts w:hint="eastAsia" w:ascii="Times New Roman" w:hAnsi="Times New Roman" w:eastAsia="宋体" w:cs="Times New Roman"/>
          <w:color w:val="auto"/>
          <w:highlight w:val="none"/>
          <w:vertAlign w:val="superscript"/>
          <w:lang w:val="en-US" w:eastAsia="zh-CN"/>
        </w:rPr>
        <w:t>2</w:t>
      </w:r>
      <w:r>
        <w:rPr>
          <w:rFonts w:hint="eastAsia" w:ascii="Times New Roman" w:hAnsi="Times New Roman" w:eastAsia="宋体" w:cs="Times New Roman"/>
          <w:color w:val="auto"/>
          <w:highlight w:val="none"/>
          <w:lang w:eastAsia="zh-CN"/>
        </w:rPr>
        <w:t>）；</w:t>
      </w:r>
      <w:r>
        <w:rPr>
          <w:rFonts w:hint="eastAsia" w:cs="Times New Roman"/>
          <w:color w:val="auto"/>
          <w:highlight w:val="none"/>
          <w:lang w:val="en-US" w:eastAsia="zh-CN"/>
        </w:rPr>
        <w:t>所在区域土壤为“敏感”，因此，本项目土壤环境影响评价等级为二级。</w:t>
      </w:r>
    </w:p>
    <w:p w14:paraId="496BF49B">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outlineLvl w:val="3"/>
        <w:rPr>
          <w:rFonts w:ascii="Times New Roman" w:hAnsi="Times New Roman" w:eastAsia="宋体" w:cs="Times New Roman"/>
          <w:b/>
          <w:bCs/>
          <w:color w:val="auto"/>
          <w:szCs w:val="21"/>
          <w:highlight w:val="none"/>
        </w:rPr>
      </w:pPr>
      <w:r>
        <w:rPr>
          <w:rFonts w:hint="eastAsia" w:cs="Times New Roman"/>
          <w:b/>
          <w:bCs/>
          <w:color w:val="auto"/>
          <w:szCs w:val="21"/>
          <w:highlight w:val="none"/>
          <w:lang w:val="en-US" w:eastAsia="zh-CN"/>
        </w:rPr>
        <w:t>2.5.1.7环境风险评价</w:t>
      </w:r>
      <w:r>
        <w:rPr>
          <w:rFonts w:hint="eastAsia" w:ascii="Times New Roman" w:hAnsi="Times New Roman" w:eastAsia="宋体" w:cs="Times New Roman"/>
          <w:b/>
          <w:bCs/>
          <w:color w:val="auto"/>
          <w:szCs w:val="21"/>
          <w:highlight w:val="none"/>
        </w:rPr>
        <w:t>等级</w:t>
      </w:r>
    </w:p>
    <w:p w14:paraId="0DF1D227">
      <w:pPr>
        <w:pageBreakBefore w:val="0"/>
        <w:widowControl/>
        <w:kinsoku/>
        <w:wordWrap/>
        <w:overflowPunct/>
        <w:bidi w:val="0"/>
        <w:ind w:firstLine="480" w:firstLineChars="200"/>
        <w:jc w:val="both"/>
        <w:rPr>
          <w:rFonts w:hint="eastAsia"/>
          <w:color w:val="auto"/>
          <w:kern w:val="0"/>
          <w:highlight w:val="none"/>
        </w:rPr>
      </w:pPr>
      <w:r>
        <w:rPr>
          <w:rFonts w:hint="eastAsia"/>
          <w:color w:val="auto"/>
          <w:kern w:val="0"/>
          <w:highlight w:val="none"/>
        </w:rPr>
        <w:t>根据《环境影响评价技术导则 民用机场建设工程》（HJ87-2023）</w:t>
      </w:r>
      <w:r>
        <w:rPr>
          <w:rFonts w:hint="eastAsia"/>
          <w:color w:val="auto"/>
          <w:kern w:val="0"/>
          <w:highlight w:val="none"/>
          <w:lang w:eastAsia="zh-CN"/>
        </w:rPr>
        <w:t>，“</w:t>
      </w:r>
      <w:r>
        <w:rPr>
          <w:rFonts w:hint="eastAsia"/>
          <w:color w:val="auto"/>
          <w:kern w:val="0"/>
          <w:highlight w:val="none"/>
        </w:rPr>
        <w:t>机场工程建设内容包含油库、加油站等供油工程的，依据物质危险性和机场所在地的环境敏感性按HJ169判定环境风险评价等级。不涉及供油工程的机场工程可不开展环境风险评价</w:t>
      </w:r>
      <w:r>
        <w:rPr>
          <w:rFonts w:hint="eastAsia"/>
          <w:color w:val="auto"/>
          <w:kern w:val="0"/>
          <w:highlight w:val="none"/>
          <w:lang w:eastAsia="zh-CN"/>
        </w:rPr>
        <w:t>”</w:t>
      </w:r>
      <w:r>
        <w:rPr>
          <w:rFonts w:hint="eastAsia"/>
          <w:color w:val="auto"/>
          <w:kern w:val="0"/>
          <w:highlight w:val="none"/>
        </w:rPr>
        <w:t>。</w:t>
      </w:r>
    </w:p>
    <w:p w14:paraId="2B9F0C6A">
      <w:pPr>
        <w:pageBreakBefore w:val="0"/>
        <w:widowControl/>
        <w:kinsoku/>
        <w:wordWrap/>
        <w:overflowPunct/>
        <w:bidi w:val="0"/>
        <w:ind w:firstLine="480" w:firstLineChars="200"/>
        <w:jc w:val="both"/>
        <w:rPr>
          <w:rFonts w:hint="eastAsia" w:eastAsia="宋体"/>
          <w:color w:val="auto"/>
          <w:kern w:val="0"/>
          <w:highlight w:val="none"/>
          <w:lang w:eastAsia="zh-CN"/>
        </w:rPr>
      </w:pPr>
      <w:r>
        <w:rPr>
          <w:rFonts w:hint="eastAsia"/>
          <w:color w:val="auto"/>
          <w:kern w:val="0"/>
          <w:highlight w:val="none"/>
          <w:lang w:val="en-US" w:eastAsia="zh-CN"/>
        </w:rPr>
        <w:t>本项目本期配置2辆罐式加油车为机场进行油料保障及储存使用，预留撬装罐的建设场地，罐式加油车容量分别为10m</w:t>
      </w:r>
      <w:r>
        <w:rPr>
          <w:rFonts w:hint="eastAsia"/>
          <w:color w:val="auto"/>
          <w:kern w:val="0"/>
          <w:highlight w:val="none"/>
          <w:vertAlign w:val="superscript"/>
          <w:lang w:val="en-US" w:eastAsia="zh-CN"/>
        </w:rPr>
        <w:t>3</w:t>
      </w:r>
      <w:r>
        <w:rPr>
          <w:rFonts w:hint="eastAsia"/>
          <w:color w:val="auto"/>
          <w:kern w:val="0"/>
          <w:highlight w:val="none"/>
          <w:lang w:val="en-US" w:eastAsia="zh-CN"/>
        </w:rPr>
        <w:t>、25m</w:t>
      </w:r>
      <w:r>
        <w:rPr>
          <w:rFonts w:hint="eastAsia"/>
          <w:color w:val="auto"/>
          <w:kern w:val="0"/>
          <w:highlight w:val="none"/>
          <w:vertAlign w:val="superscript"/>
          <w:lang w:val="en-US" w:eastAsia="zh-CN"/>
        </w:rPr>
        <w:t>3</w:t>
      </w:r>
      <w:r>
        <w:rPr>
          <w:rFonts w:hint="eastAsia"/>
          <w:color w:val="auto"/>
          <w:kern w:val="0"/>
          <w:highlight w:val="none"/>
          <w:lang w:val="en-US" w:eastAsia="zh-CN"/>
        </w:rPr>
        <w:t>，合计容量35m</w:t>
      </w:r>
      <w:r>
        <w:rPr>
          <w:rFonts w:hint="eastAsia"/>
          <w:color w:val="auto"/>
          <w:kern w:val="0"/>
          <w:highlight w:val="none"/>
          <w:vertAlign w:val="superscript"/>
          <w:lang w:val="en-US" w:eastAsia="zh-CN"/>
        </w:rPr>
        <w:t>3</w:t>
      </w:r>
      <w:r>
        <w:rPr>
          <w:rFonts w:hint="eastAsia"/>
          <w:color w:val="auto"/>
          <w:kern w:val="0"/>
          <w:highlight w:val="none"/>
          <w:lang w:val="en-US" w:eastAsia="zh-CN"/>
        </w:rPr>
        <w:t>。根据</w:t>
      </w:r>
      <w:r>
        <w:rPr>
          <w:rFonts w:hint="eastAsia"/>
          <w:color w:val="auto"/>
          <w:kern w:val="0"/>
          <w:highlight w:val="none"/>
        </w:rPr>
        <w:t>《建设项目环境风险评价技术导则》</w:t>
      </w:r>
      <w:r>
        <w:rPr>
          <w:rFonts w:hint="eastAsia"/>
          <w:color w:val="auto"/>
          <w:kern w:val="0"/>
          <w:highlight w:val="none"/>
          <w:lang w:eastAsia="zh-CN"/>
        </w:rPr>
        <w:t>（</w:t>
      </w:r>
      <w:r>
        <w:rPr>
          <w:rFonts w:hint="eastAsia"/>
          <w:color w:val="auto"/>
          <w:kern w:val="0"/>
          <w:highlight w:val="none"/>
        </w:rPr>
        <w:t>HJ169-2018</w:t>
      </w:r>
      <w:r>
        <w:rPr>
          <w:rFonts w:hint="eastAsia"/>
          <w:color w:val="auto"/>
          <w:kern w:val="0"/>
          <w:highlight w:val="none"/>
          <w:lang w:eastAsia="zh-CN"/>
        </w:rPr>
        <w:t>）</w:t>
      </w:r>
      <w:r>
        <w:rPr>
          <w:rFonts w:hint="eastAsia"/>
          <w:color w:val="auto"/>
          <w:kern w:val="0"/>
          <w:highlight w:val="none"/>
        </w:rPr>
        <w:t>，本项目涉及的环境风险物质为航空煤油</w:t>
      </w:r>
      <w:r>
        <w:rPr>
          <w:rFonts w:hint="eastAsia"/>
          <w:color w:val="auto"/>
          <w:kern w:val="0"/>
          <w:highlight w:val="none"/>
          <w:lang w:eastAsia="zh-CN"/>
        </w:rPr>
        <w:t>。</w:t>
      </w:r>
      <w:r>
        <w:rPr>
          <w:rFonts w:hint="eastAsia"/>
          <w:color w:val="auto"/>
          <w:kern w:val="0"/>
          <w:highlight w:val="none"/>
        </w:rPr>
        <w:t>项目环境风险评价工作等级判定见表2</w:t>
      </w:r>
      <w:r>
        <w:rPr>
          <w:rFonts w:hint="eastAsia"/>
          <w:color w:val="auto"/>
          <w:kern w:val="0"/>
          <w:highlight w:val="none"/>
          <w:lang w:val="en-US" w:eastAsia="zh-CN"/>
        </w:rPr>
        <w:t>.5</w:t>
      </w:r>
      <w:r>
        <w:rPr>
          <w:rFonts w:hint="eastAsia"/>
          <w:color w:val="auto"/>
          <w:kern w:val="0"/>
          <w:highlight w:val="none"/>
        </w:rPr>
        <w:t>-8</w:t>
      </w:r>
      <w:r>
        <w:rPr>
          <w:rFonts w:hint="eastAsia"/>
          <w:color w:val="auto"/>
          <w:kern w:val="0"/>
          <w:highlight w:val="none"/>
          <w:lang w:eastAsia="zh-CN"/>
        </w:rPr>
        <w:t>。</w:t>
      </w:r>
    </w:p>
    <w:p w14:paraId="159AF2DC">
      <w:pPr>
        <w:kinsoku w:val="0"/>
        <w:overflowPunct w:val="0"/>
        <w:autoSpaceDE w:val="0"/>
        <w:autoSpaceDN w:val="0"/>
        <w:spacing w:line="240" w:lineRule="auto"/>
        <w:ind w:firstLine="0"/>
        <w:jc w:val="center"/>
        <w:rPr>
          <w:rFonts w:ascii="Times New Roman" w:hAnsi="Times New Roman" w:eastAsia="黑体" w:cs="Times New Roman"/>
          <w:color w:val="auto"/>
          <w:kern w:val="0"/>
          <w:sz w:val="21"/>
          <w:szCs w:val="20"/>
          <w:highlight w:val="none"/>
        </w:rPr>
      </w:pPr>
      <w:r>
        <w:rPr>
          <w:rFonts w:hint="eastAsia" w:ascii="Times New Roman" w:hAnsi="Times New Roman" w:eastAsia="黑体" w:cs="Times New Roman"/>
          <w:color w:val="auto"/>
          <w:kern w:val="0"/>
          <w:sz w:val="21"/>
          <w:szCs w:val="20"/>
          <w:highlight w:val="none"/>
        </w:rPr>
        <w:t>表2.5-8    环境风险评价工作等级判定表</w:t>
      </w:r>
    </w:p>
    <w:tbl>
      <w:tblPr>
        <w:tblStyle w:val="88"/>
        <w:tblW w:w="8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865"/>
        <w:gridCol w:w="1085"/>
        <w:gridCol w:w="854"/>
        <w:gridCol w:w="923"/>
        <w:gridCol w:w="854"/>
        <w:gridCol w:w="1084"/>
        <w:gridCol w:w="870"/>
        <w:gridCol w:w="803"/>
        <w:gridCol w:w="866"/>
      </w:tblGrid>
      <w:tr w14:paraId="2629B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532" w:type="dxa"/>
            <w:vAlign w:val="center"/>
          </w:tcPr>
          <w:p w14:paraId="4CC84355">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865" w:type="dxa"/>
            <w:vAlign w:val="center"/>
          </w:tcPr>
          <w:p w14:paraId="282A22DE">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风险源</w:t>
            </w:r>
          </w:p>
        </w:tc>
        <w:tc>
          <w:tcPr>
            <w:tcW w:w="1085" w:type="dxa"/>
            <w:vAlign w:val="center"/>
          </w:tcPr>
          <w:p w14:paraId="2CF4CBBA">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危险物质名称</w:t>
            </w:r>
          </w:p>
        </w:tc>
        <w:tc>
          <w:tcPr>
            <w:tcW w:w="854" w:type="dxa"/>
            <w:vAlign w:val="center"/>
          </w:tcPr>
          <w:p w14:paraId="1EA45A44">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CAS号</w:t>
            </w:r>
          </w:p>
        </w:tc>
        <w:tc>
          <w:tcPr>
            <w:tcW w:w="923" w:type="dxa"/>
            <w:vAlign w:val="center"/>
          </w:tcPr>
          <w:p w14:paraId="1CC1DD72">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最大存在总量q</w:t>
            </w:r>
            <w:r>
              <w:rPr>
                <w:rFonts w:hint="default" w:ascii="Times New Roman" w:hAnsi="Times New Roman" w:eastAsia="宋体" w:cs="Times New Roman"/>
                <w:color w:val="auto"/>
                <w:sz w:val="21"/>
                <w:szCs w:val="21"/>
                <w:highlight w:val="none"/>
                <w:vertAlign w:val="subscript"/>
              </w:rPr>
              <w:t>n</w:t>
            </w:r>
            <w:r>
              <w:rPr>
                <w:rFonts w:hint="default" w:ascii="Times New Roman" w:hAnsi="Times New Roman" w:eastAsia="宋体" w:cs="Times New Roman"/>
                <w:color w:val="auto"/>
                <w:sz w:val="21"/>
                <w:szCs w:val="21"/>
                <w:highlight w:val="none"/>
              </w:rPr>
              <w:t>/t</w:t>
            </w:r>
          </w:p>
        </w:tc>
        <w:tc>
          <w:tcPr>
            <w:tcW w:w="854" w:type="dxa"/>
            <w:vAlign w:val="center"/>
          </w:tcPr>
          <w:p w14:paraId="2DC58087">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临界量Q</w:t>
            </w:r>
            <w:r>
              <w:rPr>
                <w:rFonts w:hint="default" w:ascii="Times New Roman" w:hAnsi="Times New Roman" w:eastAsia="宋体" w:cs="Times New Roman"/>
                <w:color w:val="auto"/>
                <w:sz w:val="21"/>
                <w:szCs w:val="21"/>
                <w:highlight w:val="none"/>
                <w:vertAlign w:val="subscript"/>
              </w:rPr>
              <w:t>n</w:t>
            </w:r>
            <w:r>
              <w:rPr>
                <w:rFonts w:hint="default" w:ascii="Times New Roman" w:hAnsi="Times New Roman" w:eastAsia="宋体" w:cs="Times New Roman"/>
                <w:color w:val="auto"/>
                <w:sz w:val="21"/>
                <w:szCs w:val="21"/>
                <w:highlight w:val="none"/>
              </w:rPr>
              <w:t>/t</w:t>
            </w:r>
          </w:p>
        </w:tc>
        <w:tc>
          <w:tcPr>
            <w:tcW w:w="1084" w:type="dxa"/>
            <w:vAlign w:val="center"/>
          </w:tcPr>
          <w:p w14:paraId="0176E8F3">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该种危险物质Q值</w:t>
            </w:r>
          </w:p>
        </w:tc>
        <w:tc>
          <w:tcPr>
            <w:tcW w:w="870" w:type="dxa"/>
            <w:vAlign w:val="center"/>
          </w:tcPr>
          <w:p w14:paraId="7A80A140">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项目Q值∑</w:t>
            </w:r>
          </w:p>
        </w:tc>
        <w:tc>
          <w:tcPr>
            <w:tcW w:w="803" w:type="dxa"/>
            <w:vAlign w:val="center"/>
          </w:tcPr>
          <w:p w14:paraId="1FFD5145">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风险潜势</w:t>
            </w:r>
          </w:p>
        </w:tc>
        <w:tc>
          <w:tcPr>
            <w:tcW w:w="866" w:type="dxa"/>
            <w:vAlign w:val="center"/>
          </w:tcPr>
          <w:p w14:paraId="7C8654C3">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评价工作等级</w:t>
            </w:r>
          </w:p>
        </w:tc>
      </w:tr>
      <w:tr w14:paraId="630B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32" w:type="dxa"/>
            <w:vAlign w:val="center"/>
          </w:tcPr>
          <w:p w14:paraId="098FC62E">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865" w:type="dxa"/>
            <w:vAlign w:val="center"/>
          </w:tcPr>
          <w:p w14:paraId="06752DFB">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罐式加油车</w:t>
            </w:r>
          </w:p>
        </w:tc>
        <w:tc>
          <w:tcPr>
            <w:tcW w:w="1085" w:type="dxa"/>
            <w:vAlign w:val="center"/>
          </w:tcPr>
          <w:p w14:paraId="68BB36FF">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航空煤油</w:t>
            </w:r>
          </w:p>
        </w:tc>
        <w:tc>
          <w:tcPr>
            <w:tcW w:w="854" w:type="dxa"/>
            <w:vAlign w:val="center"/>
          </w:tcPr>
          <w:p w14:paraId="5827EA1F">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923" w:type="dxa"/>
            <w:vAlign w:val="center"/>
          </w:tcPr>
          <w:p w14:paraId="5D37C464">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7.02</w:t>
            </w:r>
          </w:p>
        </w:tc>
        <w:tc>
          <w:tcPr>
            <w:tcW w:w="854" w:type="dxa"/>
            <w:vAlign w:val="center"/>
          </w:tcPr>
          <w:p w14:paraId="79C9B1DA">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2500</w:t>
            </w:r>
          </w:p>
        </w:tc>
        <w:tc>
          <w:tcPr>
            <w:tcW w:w="1084" w:type="dxa"/>
            <w:vAlign w:val="center"/>
          </w:tcPr>
          <w:p w14:paraId="5B2554D0">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0.003</w:t>
            </w:r>
          </w:p>
        </w:tc>
        <w:tc>
          <w:tcPr>
            <w:tcW w:w="870" w:type="dxa"/>
            <w:vMerge w:val="restart"/>
            <w:vAlign w:val="center"/>
          </w:tcPr>
          <w:p w14:paraId="1A89B2A4">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0.010</w:t>
            </w:r>
          </w:p>
        </w:tc>
        <w:tc>
          <w:tcPr>
            <w:tcW w:w="803" w:type="dxa"/>
            <w:vMerge w:val="restart"/>
            <w:vAlign w:val="center"/>
          </w:tcPr>
          <w:p w14:paraId="5F8EBA49">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Ⅰ</w:t>
            </w:r>
          </w:p>
        </w:tc>
        <w:tc>
          <w:tcPr>
            <w:tcW w:w="866" w:type="dxa"/>
            <w:vMerge w:val="restart"/>
            <w:vAlign w:val="center"/>
          </w:tcPr>
          <w:p w14:paraId="768E8E72">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简单</w:t>
            </w:r>
          </w:p>
          <w:p w14:paraId="2AD8BBB1">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分析</w:t>
            </w:r>
          </w:p>
        </w:tc>
      </w:tr>
      <w:tr w14:paraId="1FD9C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32" w:type="dxa"/>
            <w:vAlign w:val="center"/>
          </w:tcPr>
          <w:p w14:paraId="3E3C1063">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865" w:type="dxa"/>
            <w:vAlign w:val="center"/>
          </w:tcPr>
          <w:p w14:paraId="2881EDF1">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罐式加油车</w:t>
            </w:r>
          </w:p>
        </w:tc>
        <w:tc>
          <w:tcPr>
            <w:tcW w:w="1085" w:type="dxa"/>
            <w:vAlign w:val="center"/>
          </w:tcPr>
          <w:p w14:paraId="0364899F">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航空煤油</w:t>
            </w:r>
          </w:p>
        </w:tc>
        <w:tc>
          <w:tcPr>
            <w:tcW w:w="854" w:type="dxa"/>
            <w:vAlign w:val="center"/>
          </w:tcPr>
          <w:p w14:paraId="3DF5AF4B">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923" w:type="dxa"/>
            <w:vAlign w:val="center"/>
          </w:tcPr>
          <w:p w14:paraId="5D45B7DA">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17.55</w:t>
            </w:r>
          </w:p>
        </w:tc>
        <w:tc>
          <w:tcPr>
            <w:tcW w:w="854" w:type="dxa"/>
            <w:vAlign w:val="center"/>
          </w:tcPr>
          <w:p w14:paraId="0326F81E">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2500</w:t>
            </w:r>
          </w:p>
        </w:tc>
        <w:tc>
          <w:tcPr>
            <w:tcW w:w="1084" w:type="dxa"/>
            <w:vAlign w:val="center"/>
          </w:tcPr>
          <w:p w14:paraId="12A790A4">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0.00</w:t>
            </w:r>
            <w:r>
              <w:rPr>
                <w:rFonts w:hint="eastAsia" w:ascii="Times New Roman" w:hAnsi="Times New Roman" w:eastAsia="宋体" w:cs="Times New Roman"/>
                <w:color w:val="auto"/>
                <w:sz w:val="21"/>
                <w:szCs w:val="21"/>
                <w:highlight w:val="none"/>
                <w:lang w:val="en-US" w:eastAsia="zh-CN"/>
              </w:rPr>
              <w:t>7</w:t>
            </w:r>
          </w:p>
        </w:tc>
        <w:tc>
          <w:tcPr>
            <w:tcW w:w="870" w:type="dxa"/>
            <w:vMerge w:val="continue"/>
            <w:vAlign w:val="center"/>
          </w:tcPr>
          <w:p w14:paraId="03F75373">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p>
        </w:tc>
        <w:tc>
          <w:tcPr>
            <w:tcW w:w="803" w:type="dxa"/>
            <w:vMerge w:val="continue"/>
            <w:vAlign w:val="center"/>
          </w:tcPr>
          <w:p w14:paraId="531CFE59">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p>
        </w:tc>
        <w:tc>
          <w:tcPr>
            <w:tcW w:w="866" w:type="dxa"/>
            <w:vMerge w:val="continue"/>
            <w:vAlign w:val="center"/>
          </w:tcPr>
          <w:p w14:paraId="6B650CCB">
            <w:pPr>
              <w:pStyle w:val="973"/>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p>
        </w:tc>
      </w:tr>
    </w:tbl>
    <w:p w14:paraId="2E235113">
      <w:pPr>
        <w:pageBreakBefore w:val="0"/>
        <w:widowControl/>
        <w:kinsoku/>
        <w:wordWrap/>
        <w:overflowPunct/>
        <w:bidi w:val="0"/>
        <w:ind w:firstLine="360" w:firstLineChars="200"/>
        <w:jc w:val="both"/>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注：充装系数取0</w:t>
      </w:r>
      <w:r>
        <w:rPr>
          <w:rFonts w:ascii="Times New Roman" w:hAnsi="Times New Roman" w:eastAsia="宋体" w:cs="Times New Roman"/>
          <w:color w:val="auto"/>
          <w:sz w:val="18"/>
          <w:szCs w:val="18"/>
          <w:highlight w:val="none"/>
        </w:rPr>
        <w:t>.9</w:t>
      </w:r>
      <w:r>
        <w:rPr>
          <w:rFonts w:hint="eastAsia" w:ascii="Times New Roman" w:hAnsi="Times New Roman" w:eastAsia="宋体" w:cs="Times New Roman"/>
          <w:color w:val="auto"/>
          <w:sz w:val="18"/>
          <w:szCs w:val="18"/>
          <w:highlight w:val="none"/>
        </w:rPr>
        <w:t>；航煤密度取0</w:t>
      </w:r>
      <w:r>
        <w:rPr>
          <w:rFonts w:ascii="Times New Roman" w:hAnsi="Times New Roman" w:eastAsia="宋体" w:cs="Times New Roman"/>
          <w:color w:val="auto"/>
          <w:sz w:val="18"/>
          <w:szCs w:val="18"/>
          <w:highlight w:val="none"/>
        </w:rPr>
        <w:t>.78</w:t>
      </w:r>
      <w:r>
        <w:rPr>
          <w:rFonts w:hint="eastAsia" w:ascii="Times New Roman" w:hAnsi="Times New Roman" w:eastAsia="宋体" w:cs="Times New Roman"/>
          <w:color w:val="auto"/>
          <w:sz w:val="18"/>
          <w:szCs w:val="18"/>
          <w:highlight w:val="none"/>
        </w:rPr>
        <w:t>g</w:t>
      </w:r>
      <w:r>
        <w:rPr>
          <w:rFonts w:ascii="Times New Roman" w:hAnsi="Times New Roman" w:eastAsia="宋体" w:cs="Times New Roman"/>
          <w:color w:val="auto"/>
          <w:sz w:val="18"/>
          <w:szCs w:val="18"/>
          <w:highlight w:val="none"/>
        </w:rPr>
        <w:t>/cm</w:t>
      </w:r>
      <w:r>
        <w:rPr>
          <w:rFonts w:ascii="Times New Roman" w:hAnsi="Times New Roman" w:eastAsia="宋体" w:cs="Times New Roman"/>
          <w:color w:val="auto"/>
          <w:sz w:val="18"/>
          <w:szCs w:val="18"/>
          <w:highlight w:val="none"/>
          <w:vertAlign w:val="superscript"/>
        </w:rPr>
        <w:t>3</w:t>
      </w:r>
      <w:r>
        <w:rPr>
          <w:rFonts w:hint="eastAsia" w:ascii="Times New Roman" w:hAnsi="Times New Roman" w:eastAsia="宋体" w:cs="Times New Roman"/>
          <w:color w:val="auto"/>
          <w:sz w:val="18"/>
          <w:szCs w:val="18"/>
          <w:highlight w:val="none"/>
        </w:rPr>
        <w:t>。</w:t>
      </w:r>
    </w:p>
    <w:p w14:paraId="43486233">
      <w:pPr>
        <w:pageBreakBefore w:val="0"/>
        <w:widowControl/>
        <w:kinsoku/>
        <w:wordWrap/>
        <w:overflowPunct/>
        <w:bidi w:val="0"/>
        <w:ind w:firstLine="480" w:firstLineChars="200"/>
        <w:jc w:val="both"/>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由表显示，本项目Q值∑=0.010。根据HJ169导则，环境风险物质与临界量的比值Q值小于1，判定项目风险潜势为Ⅰ。因此，项目环境风险评价工作等级为简单分析。</w:t>
      </w:r>
    </w:p>
    <w:p w14:paraId="562C5550">
      <w:pPr>
        <w:pStyle w:val="5"/>
        <w:pageBreakBefore w:val="0"/>
        <w:kinsoku/>
        <w:wordWrap/>
        <w:overflowPunct/>
        <w:bidi w:val="0"/>
        <w:rPr>
          <w:rFonts w:hint="default" w:ascii="黑体" w:hAnsi="黑体"/>
          <w:color w:val="auto"/>
          <w:sz w:val="28"/>
          <w:szCs w:val="28"/>
          <w:highlight w:val="none"/>
          <w:lang w:val="en-US" w:eastAsia="zh-CN"/>
        </w:rPr>
      </w:pPr>
      <w:r>
        <w:rPr>
          <w:rFonts w:hint="eastAsia" w:ascii="黑体" w:hAnsi="黑体"/>
          <w:color w:val="auto"/>
          <w:sz w:val="28"/>
          <w:szCs w:val="28"/>
          <w:highlight w:val="none"/>
          <w:lang w:eastAsia="zh-CN"/>
        </w:rPr>
        <w:t>2.5</w:t>
      </w:r>
      <w:r>
        <w:rPr>
          <w:rFonts w:hint="eastAsia" w:ascii="黑体" w:hAnsi="黑体"/>
          <w:color w:val="auto"/>
          <w:sz w:val="28"/>
          <w:szCs w:val="28"/>
          <w:highlight w:val="none"/>
        </w:rPr>
        <w:t>.</w:t>
      </w:r>
      <w:r>
        <w:rPr>
          <w:rFonts w:hint="eastAsia" w:ascii="黑体" w:hAnsi="黑体"/>
          <w:color w:val="auto"/>
          <w:sz w:val="28"/>
          <w:szCs w:val="28"/>
          <w:highlight w:val="none"/>
          <w:lang w:val="en-US" w:eastAsia="zh-CN"/>
        </w:rPr>
        <w:t>2</w:t>
      </w:r>
      <w:r>
        <w:rPr>
          <w:rFonts w:hint="eastAsia" w:ascii="黑体" w:hAnsi="黑体"/>
          <w:color w:val="auto"/>
          <w:sz w:val="28"/>
          <w:szCs w:val="28"/>
          <w:highlight w:val="none"/>
        </w:rPr>
        <w:t>评价</w:t>
      </w:r>
      <w:r>
        <w:rPr>
          <w:rFonts w:hint="eastAsia" w:ascii="黑体" w:hAnsi="黑体"/>
          <w:color w:val="auto"/>
          <w:sz w:val="28"/>
          <w:szCs w:val="28"/>
          <w:highlight w:val="none"/>
          <w:lang w:val="en-US" w:eastAsia="zh-CN"/>
        </w:rPr>
        <w:t>范围</w:t>
      </w:r>
    </w:p>
    <w:p w14:paraId="686840BB">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outlineLvl w:val="3"/>
        <w:rPr>
          <w:rFonts w:ascii="Times New Roman" w:hAnsi="Times New Roman" w:eastAsia="宋体" w:cs="Times New Roman"/>
          <w:b/>
          <w:bCs/>
          <w:color w:val="auto"/>
          <w:szCs w:val="21"/>
          <w:highlight w:val="none"/>
        </w:rPr>
      </w:pPr>
      <w:r>
        <w:rPr>
          <w:rFonts w:hint="eastAsia" w:cs="Times New Roman"/>
          <w:b/>
          <w:bCs/>
          <w:color w:val="auto"/>
          <w:szCs w:val="21"/>
          <w:highlight w:val="none"/>
          <w:lang w:val="en-US" w:eastAsia="zh-CN"/>
        </w:rPr>
        <w:t>2.5.2.1</w:t>
      </w:r>
      <w:r>
        <w:rPr>
          <w:rFonts w:hint="eastAsia" w:ascii="Times New Roman" w:hAnsi="Times New Roman" w:eastAsia="宋体" w:cs="Times New Roman"/>
          <w:b/>
          <w:bCs/>
          <w:color w:val="auto"/>
          <w:szCs w:val="21"/>
          <w:highlight w:val="none"/>
        </w:rPr>
        <w:t>声环境影响评价</w:t>
      </w:r>
      <w:r>
        <w:rPr>
          <w:rFonts w:hint="eastAsia" w:cs="Times New Roman"/>
          <w:b/>
          <w:bCs/>
          <w:color w:val="auto"/>
          <w:szCs w:val="21"/>
          <w:highlight w:val="none"/>
          <w:lang w:val="en-US" w:eastAsia="zh-CN"/>
        </w:rPr>
        <w:t>范围</w:t>
      </w:r>
    </w:p>
    <w:p w14:paraId="65697818">
      <w:pPr>
        <w:pageBreakBefore w:val="0"/>
        <w:widowControl/>
        <w:kinsoku/>
        <w:wordWrap/>
        <w:overflowPunct/>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根据《环境影响评价技术导则 民用机场建设工程》（HJ87-2023），本项目建设性质为新建，且属于导则中有直升机的通用机场，航空器噪声影响评价范围为“跑道两端各3km、跑道两侧各1km”的矩形范围；此外，本项目未设地面噪声影响评价等级，因此不设地面噪声影响评价范围。详见图2.5-1。</w:t>
      </w:r>
    </w:p>
    <w:p w14:paraId="1E6E819D">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outlineLvl w:val="3"/>
        <w:rPr>
          <w:rFonts w:ascii="Times New Roman" w:hAnsi="Times New Roman" w:eastAsia="宋体" w:cs="Times New Roman"/>
          <w:b/>
          <w:bCs/>
          <w:color w:val="auto"/>
          <w:szCs w:val="21"/>
          <w:highlight w:val="none"/>
        </w:rPr>
      </w:pPr>
      <w:r>
        <w:rPr>
          <w:rFonts w:hint="eastAsia" w:cs="Times New Roman"/>
          <w:b/>
          <w:bCs/>
          <w:color w:val="auto"/>
          <w:szCs w:val="21"/>
          <w:highlight w:val="none"/>
          <w:lang w:val="en-US" w:eastAsia="zh-CN"/>
        </w:rPr>
        <w:t>2.5.2.2生态</w:t>
      </w:r>
      <w:r>
        <w:rPr>
          <w:rFonts w:hint="eastAsia" w:ascii="Times New Roman" w:hAnsi="Times New Roman" w:eastAsia="宋体" w:cs="Times New Roman"/>
          <w:b/>
          <w:bCs/>
          <w:color w:val="auto"/>
          <w:szCs w:val="21"/>
          <w:highlight w:val="none"/>
        </w:rPr>
        <w:t>影响评价</w:t>
      </w:r>
      <w:r>
        <w:rPr>
          <w:rFonts w:hint="eastAsia" w:cs="Times New Roman"/>
          <w:b/>
          <w:bCs/>
          <w:color w:val="auto"/>
          <w:szCs w:val="21"/>
          <w:highlight w:val="none"/>
          <w:lang w:val="en-US" w:eastAsia="zh-CN"/>
        </w:rPr>
        <w:t>范围</w:t>
      </w:r>
    </w:p>
    <w:p w14:paraId="2923DCFB">
      <w:pPr>
        <w:pageBreakBefore w:val="0"/>
        <w:widowControl/>
        <w:kinsoku/>
        <w:wordWrap/>
        <w:overflowPunct/>
        <w:bidi w:val="0"/>
        <w:ind w:firstLine="480" w:firstLineChars="200"/>
        <w:jc w:val="both"/>
        <w:rPr>
          <w:rFonts w:hint="default" w:cs="Times New Roman"/>
          <w:color w:val="auto"/>
          <w:szCs w:val="21"/>
          <w:highlight w:val="none"/>
          <w:lang w:val="en-US" w:eastAsia="zh-CN"/>
        </w:rPr>
      </w:pPr>
      <w:r>
        <w:rPr>
          <w:rFonts w:hint="eastAsia" w:cs="Times New Roman"/>
          <w:color w:val="auto"/>
          <w:szCs w:val="21"/>
          <w:highlight w:val="none"/>
          <w:lang w:val="en-US" w:eastAsia="zh-CN"/>
        </w:rPr>
        <w:t>根据《环境影响评价技术导则 民用机场建设工程》（HJ87-2023）、《环境影响评价技术导则 生态影响》（HJ19-2022），本项目生态影响评价范围确定详见下表：</w:t>
      </w:r>
    </w:p>
    <w:p w14:paraId="0727AF7D">
      <w:pPr>
        <w:pageBreakBefore w:val="0"/>
        <w:kinsoku/>
        <w:wordWrap/>
        <w:overflowPunct/>
        <w:autoSpaceDE w:val="0"/>
        <w:autoSpaceDN w:val="0"/>
        <w:bidi w:val="0"/>
        <w:ind w:firstLine="0"/>
        <w:jc w:val="center"/>
        <w:rPr>
          <w:rFonts w:eastAsia="黑体"/>
          <w:color w:val="auto"/>
          <w:kern w:val="0"/>
          <w:sz w:val="21"/>
          <w:szCs w:val="20"/>
          <w:highlight w:val="none"/>
        </w:rPr>
      </w:pPr>
      <w:r>
        <w:rPr>
          <w:rFonts w:hint="eastAsia" w:eastAsia="黑体"/>
          <w:color w:val="auto"/>
          <w:kern w:val="0"/>
          <w:sz w:val="21"/>
          <w:szCs w:val="20"/>
          <w:highlight w:val="none"/>
        </w:rPr>
        <w:t>表</w:t>
      </w:r>
      <w:r>
        <w:rPr>
          <w:rFonts w:eastAsia="黑体"/>
          <w:color w:val="auto"/>
          <w:kern w:val="0"/>
          <w:sz w:val="21"/>
          <w:szCs w:val="20"/>
          <w:highlight w:val="none"/>
        </w:rPr>
        <w:t>2</w:t>
      </w:r>
      <w:r>
        <w:rPr>
          <w:rFonts w:hint="eastAsia" w:eastAsia="黑体"/>
          <w:color w:val="auto"/>
          <w:kern w:val="0"/>
          <w:sz w:val="21"/>
          <w:szCs w:val="20"/>
          <w:highlight w:val="none"/>
          <w:lang w:val="en-US" w:eastAsia="zh-CN"/>
        </w:rPr>
        <w:t>.5</w:t>
      </w:r>
      <w:r>
        <w:rPr>
          <w:rFonts w:eastAsia="黑体"/>
          <w:color w:val="auto"/>
          <w:kern w:val="0"/>
          <w:sz w:val="21"/>
          <w:szCs w:val="20"/>
          <w:highlight w:val="none"/>
        </w:rPr>
        <w:t>-</w:t>
      </w:r>
      <w:r>
        <w:rPr>
          <w:rFonts w:hint="eastAsia" w:eastAsia="黑体"/>
          <w:color w:val="auto"/>
          <w:kern w:val="0"/>
          <w:sz w:val="21"/>
          <w:szCs w:val="20"/>
          <w:highlight w:val="none"/>
          <w:lang w:val="en-US" w:eastAsia="zh-CN"/>
        </w:rPr>
        <w:t>9</w:t>
      </w:r>
      <w:r>
        <w:rPr>
          <w:rFonts w:eastAsia="黑体"/>
          <w:color w:val="auto"/>
          <w:kern w:val="0"/>
          <w:sz w:val="21"/>
          <w:szCs w:val="20"/>
          <w:highlight w:val="none"/>
        </w:rPr>
        <w:t xml:space="preserve">  </w:t>
      </w:r>
      <w:r>
        <w:rPr>
          <w:rFonts w:hint="eastAsia" w:eastAsia="黑体"/>
          <w:color w:val="auto"/>
          <w:kern w:val="0"/>
          <w:sz w:val="21"/>
          <w:szCs w:val="20"/>
          <w:highlight w:val="none"/>
        </w:rPr>
        <w:t>生态环境评价</w:t>
      </w:r>
      <w:r>
        <w:rPr>
          <w:rFonts w:hint="eastAsia" w:eastAsia="黑体"/>
          <w:color w:val="auto"/>
          <w:kern w:val="0"/>
          <w:sz w:val="21"/>
          <w:szCs w:val="20"/>
          <w:highlight w:val="none"/>
          <w:lang w:val="en-US" w:eastAsia="zh-CN"/>
        </w:rPr>
        <w:t>范围确定</w:t>
      </w:r>
    </w:p>
    <w:tbl>
      <w:tblPr>
        <w:tblStyle w:val="5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8"/>
        <w:gridCol w:w="3891"/>
      </w:tblGrid>
      <w:tr w14:paraId="1FF8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796" w:type="pct"/>
            <w:vAlign w:val="center"/>
          </w:tcPr>
          <w:p w14:paraId="7278EDAB">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default"/>
                <w:color w:val="auto"/>
                <w:kern w:val="0"/>
                <w:sz w:val="21"/>
                <w:szCs w:val="20"/>
                <w:highlight w:val="none"/>
              </w:rPr>
            </w:pPr>
            <w:r>
              <w:rPr>
                <w:rFonts w:hint="eastAsia"/>
                <w:b/>
                <w:bCs/>
                <w:color w:val="auto"/>
                <w:kern w:val="0"/>
                <w:sz w:val="21"/>
                <w:szCs w:val="20"/>
                <w:highlight w:val="none"/>
              </w:rPr>
              <w:t xml:space="preserve">HJ </w:t>
            </w:r>
            <w:r>
              <w:rPr>
                <w:rFonts w:hint="eastAsia"/>
                <w:b/>
                <w:bCs/>
                <w:color w:val="auto"/>
                <w:kern w:val="0"/>
                <w:sz w:val="21"/>
                <w:szCs w:val="20"/>
                <w:highlight w:val="none"/>
                <w:lang w:val="en-US" w:eastAsia="zh-CN"/>
              </w:rPr>
              <w:t>87</w:t>
            </w:r>
            <w:r>
              <w:rPr>
                <w:rFonts w:hint="eastAsia"/>
                <w:b/>
                <w:bCs/>
                <w:color w:val="auto"/>
                <w:kern w:val="0"/>
                <w:sz w:val="21"/>
                <w:szCs w:val="20"/>
                <w:highlight w:val="none"/>
              </w:rPr>
              <w:t>要求</w:t>
            </w:r>
          </w:p>
        </w:tc>
        <w:tc>
          <w:tcPr>
            <w:tcW w:w="2203" w:type="pct"/>
            <w:vAlign w:val="center"/>
          </w:tcPr>
          <w:p w14:paraId="62014FEF">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center"/>
              <w:rPr>
                <w:rFonts w:hint="eastAsia" w:eastAsia="宋体"/>
                <w:color w:val="auto"/>
                <w:kern w:val="0"/>
                <w:sz w:val="21"/>
                <w:szCs w:val="20"/>
                <w:highlight w:val="none"/>
                <w:lang w:eastAsia="zh-CN"/>
              </w:rPr>
            </w:pPr>
            <w:r>
              <w:rPr>
                <w:rFonts w:hint="eastAsia" w:eastAsia="宋体"/>
                <w:color w:val="auto"/>
                <w:kern w:val="0"/>
                <w:sz w:val="21"/>
                <w:szCs w:val="20"/>
                <w:highlight w:val="none"/>
                <w:lang w:eastAsia="zh-CN"/>
              </w:rPr>
              <w:t>本项目</w:t>
            </w:r>
          </w:p>
        </w:tc>
      </w:tr>
      <w:tr w14:paraId="52F9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6" w:type="pct"/>
            <w:vAlign w:val="center"/>
          </w:tcPr>
          <w:p w14:paraId="32ED36FB">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left"/>
              <w:rPr>
                <w:rFonts w:hint="default"/>
                <w:color w:val="auto"/>
                <w:kern w:val="0"/>
                <w:sz w:val="21"/>
                <w:szCs w:val="20"/>
                <w:highlight w:val="none"/>
              </w:rPr>
            </w:pPr>
            <w:r>
              <w:rPr>
                <w:rFonts w:hint="default"/>
                <w:color w:val="auto"/>
                <w:kern w:val="0"/>
                <w:sz w:val="21"/>
                <w:szCs w:val="20"/>
                <w:highlight w:val="none"/>
              </w:rPr>
              <w:t>生态影响评价范围的确定应能够充分体现生态完整性和生物多样性保护要求，涵盖机场工程的永久占地、临时占地及生态影响区域，涉及净空处理的，评价范围应涵盖净空处理区域</w:t>
            </w:r>
          </w:p>
        </w:tc>
        <w:tc>
          <w:tcPr>
            <w:tcW w:w="2203" w:type="pct"/>
            <w:vAlign w:val="center"/>
          </w:tcPr>
          <w:p w14:paraId="5E27C60D">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both"/>
              <w:rPr>
                <w:rFonts w:hint="default"/>
                <w:color w:val="auto"/>
                <w:kern w:val="0"/>
                <w:sz w:val="21"/>
                <w:szCs w:val="20"/>
                <w:highlight w:val="none"/>
              </w:rPr>
            </w:pPr>
            <w:r>
              <w:rPr>
                <w:rFonts w:hint="default"/>
                <w:color w:val="auto"/>
                <w:kern w:val="0"/>
                <w:sz w:val="21"/>
                <w:szCs w:val="20"/>
                <w:highlight w:val="none"/>
              </w:rPr>
              <w:t>涵盖机场工程的永久占地、临时占地及生态影响区域，</w:t>
            </w:r>
            <w:r>
              <w:rPr>
                <w:rFonts w:hint="eastAsia"/>
                <w:color w:val="auto"/>
                <w:kern w:val="0"/>
                <w:sz w:val="21"/>
                <w:szCs w:val="20"/>
                <w:highlight w:val="none"/>
                <w:lang w:val="en-US" w:eastAsia="zh-CN"/>
              </w:rPr>
              <w:t>不</w:t>
            </w:r>
            <w:r>
              <w:rPr>
                <w:rFonts w:hint="default"/>
                <w:color w:val="auto"/>
                <w:kern w:val="0"/>
                <w:sz w:val="21"/>
                <w:szCs w:val="20"/>
                <w:highlight w:val="none"/>
              </w:rPr>
              <w:t>涉及净空处理</w:t>
            </w:r>
          </w:p>
        </w:tc>
      </w:tr>
      <w:tr w14:paraId="1113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6" w:type="pct"/>
            <w:vAlign w:val="center"/>
          </w:tcPr>
          <w:p w14:paraId="7B6DF877">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left"/>
              <w:rPr>
                <w:rFonts w:hint="default"/>
                <w:color w:val="auto"/>
                <w:kern w:val="0"/>
                <w:sz w:val="21"/>
                <w:szCs w:val="20"/>
                <w:highlight w:val="none"/>
              </w:rPr>
            </w:pPr>
            <w:r>
              <w:rPr>
                <w:rFonts w:hint="default"/>
                <w:color w:val="auto"/>
                <w:kern w:val="0"/>
                <w:sz w:val="21"/>
                <w:szCs w:val="20"/>
                <w:highlight w:val="none"/>
              </w:rPr>
              <w:t>一级、二级、三级生态影响评价以机场边界外延5公里、4公里、3公里为参考评价范围，实际确定时可结合机场类型、规模、占地类型、周边地形地貌、水文和珍稀濒危保护野生动植物分布等适当调整</w:t>
            </w:r>
          </w:p>
        </w:tc>
        <w:tc>
          <w:tcPr>
            <w:tcW w:w="2203" w:type="pct"/>
            <w:vAlign w:val="center"/>
          </w:tcPr>
          <w:p w14:paraId="7670E556">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both"/>
              <w:rPr>
                <w:rFonts w:hint="default" w:eastAsia="宋体"/>
                <w:color w:val="auto"/>
                <w:kern w:val="0"/>
                <w:sz w:val="21"/>
                <w:szCs w:val="20"/>
                <w:highlight w:val="none"/>
                <w:lang w:val="en-US" w:eastAsia="zh-CN"/>
              </w:rPr>
            </w:pPr>
            <w:r>
              <w:rPr>
                <w:rFonts w:hint="eastAsia"/>
                <w:color w:val="auto"/>
                <w:kern w:val="0"/>
                <w:sz w:val="21"/>
                <w:szCs w:val="20"/>
                <w:highlight w:val="none"/>
                <w:lang w:val="en-US" w:eastAsia="zh-CN"/>
              </w:rPr>
              <w:t>本项目为二级生态影响评价，以机场边界外延4公里为参考评价范围。机场类型为通用机场、规模较小、占地类型以农用地为主、地形平坦、周边无水文和珍稀濒危保护野生动植物分布</w:t>
            </w:r>
          </w:p>
        </w:tc>
      </w:tr>
      <w:tr w14:paraId="7387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6" w:type="pct"/>
            <w:vAlign w:val="center"/>
          </w:tcPr>
          <w:p w14:paraId="6B0A3DCA">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left"/>
              <w:rPr>
                <w:rFonts w:hint="default"/>
                <w:color w:val="auto"/>
                <w:kern w:val="0"/>
                <w:sz w:val="21"/>
                <w:szCs w:val="20"/>
                <w:highlight w:val="none"/>
              </w:rPr>
            </w:pPr>
            <w:r>
              <w:rPr>
                <w:rFonts w:hint="default"/>
                <w:color w:val="auto"/>
                <w:kern w:val="0"/>
                <w:sz w:val="21"/>
                <w:szCs w:val="20"/>
                <w:highlight w:val="none"/>
              </w:rPr>
              <w:t>机场永久和临时占地（含净空处理区）占用HJ 19规定的生态敏感区的，评价范围应涵盖受影响的生态敏感区范围</w:t>
            </w:r>
          </w:p>
        </w:tc>
        <w:tc>
          <w:tcPr>
            <w:tcW w:w="2203" w:type="pct"/>
            <w:vAlign w:val="center"/>
          </w:tcPr>
          <w:p w14:paraId="762BC8D4">
            <w:pPr>
              <w:keepNext w:val="0"/>
              <w:keepLines w:val="0"/>
              <w:pageBreakBefore w:val="0"/>
              <w:suppressLineNumbers w:val="0"/>
              <w:kinsoku/>
              <w:wordWrap/>
              <w:overflowPunct/>
              <w:autoSpaceDE w:val="0"/>
              <w:autoSpaceDN w:val="0"/>
              <w:bidi w:val="0"/>
              <w:spacing w:before="0" w:beforeAutospacing="0" w:after="0" w:afterAutospacing="0" w:line="240" w:lineRule="auto"/>
              <w:ind w:left="0" w:leftChars="0" w:right="0" w:rightChars="0" w:firstLine="0" w:firstLineChars="0"/>
              <w:jc w:val="center"/>
              <w:rPr>
                <w:rFonts w:hint="default"/>
                <w:color w:val="auto"/>
                <w:kern w:val="0"/>
                <w:sz w:val="21"/>
                <w:szCs w:val="20"/>
                <w:highlight w:val="none"/>
                <w:lang w:val="en-US" w:eastAsia="zh-CN"/>
              </w:rPr>
            </w:pPr>
            <w:r>
              <w:rPr>
                <w:rFonts w:hint="eastAsia"/>
                <w:color w:val="auto"/>
                <w:kern w:val="0"/>
                <w:sz w:val="21"/>
                <w:szCs w:val="20"/>
                <w:highlight w:val="none"/>
                <w:lang w:val="en-US" w:eastAsia="zh-CN"/>
              </w:rPr>
              <w:t>不占用</w:t>
            </w:r>
          </w:p>
        </w:tc>
      </w:tr>
      <w:tr w14:paraId="53DC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6" w:type="pct"/>
            <w:vAlign w:val="center"/>
          </w:tcPr>
          <w:p w14:paraId="1294BFCE">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left"/>
              <w:rPr>
                <w:rFonts w:hint="default"/>
                <w:color w:val="auto"/>
                <w:kern w:val="0"/>
                <w:sz w:val="21"/>
                <w:szCs w:val="20"/>
                <w:highlight w:val="none"/>
              </w:rPr>
            </w:pPr>
            <w:r>
              <w:rPr>
                <w:rFonts w:hint="default"/>
                <w:color w:val="auto"/>
                <w:kern w:val="0"/>
                <w:sz w:val="21"/>
                <w:szCs w:val="20"/>
                <w:highlight w:val="none"/>
              </w:rPr>
              <w:t>若机场航空器爬升或进近航线（至1000米离地高度）下方区域内有以鸟类为重点保护对象的自然保护地和鸟类重要生境的，评价范围应涵盖受影响的自然保护地和重要生境范围</w:t>
            </w:r>
          </w:p>
        </w:tc>
        <w:tc>
          <w:tcPr>
            <w:tcW w:w="2203" w:type="pct"/>
            <w:vAlign w:val="center"/>
          </w:tcPr>
          <w:p w14:paraId="5E49F890">
            <w:pPr>
              <w:keepNext w:val="0"/>
              <w:keepLines w:val="0"/>
              <w:pageBreakBefore w:val="0"/>
              <w:suppressLineNumbers w:val="0"/>
              <w:kinsoku/>
              <w:wordWrap/>
              <w:overflowPunct/>
              <w:autoSpaceDE w:val="0"/>
              <w:autoSpaceDN w:val="0"/>
              <w:bidi w:val="0"/>
              <w:spacing w:before="0" w:beforeAutospacing="0" w:after="0" w:afterAutospacing="0" w:line="240" w:lineRule="auto"/>
              <w:ind w:left="0" w:leftChars="0" w:right="0" w:rightChars="0" w:firstLine="0" w:firstLineChars="0"/>
              <w:jc w:val="both"/>
              <w:rPr>
                <w:rFonts w:hint="eastAsia"/>
                <w:color w:val="auto"/>
                <w:kern w:val="0"/>
                <w:sz w:val="21"/>
                <w:szCs w:val="20"/>
                <w:highlight w:val="none"/>
                <w:lang w:val="en-US" w:eastAsia="zh-CN"/>
              </w:rPr>
            </w:pPr>
            <w:r>
              <w:rPr>
                <w:rFonts w:hint="eastAsia"/>
                <w:color w:val="auto"/>
                <w:kern w:val="0"/>
                <w:sz w:val="21"/>
                <w:szCs w:val="20"/>
                <w:highlight w:val="none"/>
                <w:lang w:val="en-US" w:eastAsia="zh-CN"/>
              </w:rPr>
              <w:t>艾比湖湿地鸟类重要停歇地位于本项目北部18km处。</w:t>
            </w:r>
          </w:p>
          <w:p w14:paraId="3F4A7E04">
            <w:pPr>
              <w:keepNext w:val="0"/>
              <w:keepLines w:val="0"/>
              <w:pageBreakBefore w:val="0"/>
              <w:suppressLineNumbers w:val="0"/>
              <w:kinsoku/>
              <w:wordWrap/>
              <w:overflowPunct/>
              <w:autoSpaceDE w:val="0"/>
              <w:autoSpaceDN w:val="0"/>
              <w:bidi w:val="0"/>
              <w:spacing w:before="0" w:beforeAutospacing="0" w:after="0" w:afterAutospacing="0" w:line="240" w:lineRule="auto"/>
              <w:ind w:left="0" w:leftChars="0" w:right="0" w:rightChars="0" w:firstLine="0" w:firstLineChars="0"/>
              <w:jc w:val="both"/>
              <w:rPr>
                <w:rFonts w:hint="eastAsia"/>
                <w:color w:val="auto"/>
                <w:kern w:val="0"/>
                <w:sz w:val="21"/>
                <w:szCs w:val="20"/>
                <w:highlight w:val="none"/>
                <w:lang w:val="en-US" w:eastAsia="zh-CN"/>
              </w:rPr>
            </w:pPr>
            <w:r>
              <w:rPr>
                <w:rFonts w:hint="eastAsia"/>
                <w:color w:val="auto"/>
                <w:kern w:val="0"/>
                <w:sz w:val="21"/>
                <w:szCs w:val="20"/>
                <w:highlight w:val="none"/>
                <w:lang w:val="en-US" w:eastAsia="zh-CN"/>
              </w:rPr>
              <w:t>（1）拟建机场本场拟用空域范围（H=0~900m）为南北各11.5km、东西各6km，本场拟用空域与艾比湖湿地无交叠；</w:t>
            </w:r>
          </w:p>
          <w:p w14:paraId="7A2D1F1A">
            <w:pPr>
              <w:keepNext w:val="0"/>
              <w:keepLines w:val="0"/>
              <w:pageBreakBefore w:val="0"/>
              <w:suppressLineNumbers w:val="0"/>
              <w:kinsoku/>
              <w:wordWrap/>
              <w:overflowPunct/>
              <w:autoSpaceDE w:val="0"/>
              <w:autoSpaceDN w:val="0"/>
              <w:bidi w:val="0"/>
              <w:spacing w:before="0" w:beforeAutospacing="0" w:after="0" w:afterAutospacing="0" w:line="240" w:lineRule="auto"/>
              <w:ind w:left="0" w:leftChars="0" w:right="0" w:rightChars="0" w:firstLine="0" w:firstLineChars="0"/>
              <w:jc w:val="both"/>
              <w:rPr>
                <w:rFonts w:hint="default"/>
                <w:color w:val="auto"/>
                <w:kern w:val="0"/>
                <w:sz w:val="21"/>
                <w:szCs w:val="20"/>
                <w:highlight w:val="none"/>
                <w:lang w:val="en-US" w:eastAsia="zh-CN"/>
              </w:rPr>
            </w:pPr>
            <w:r>
              <w:rPr>
                <w:rFonts w:hint="eastAsia"/>
                <w:color w:val="auto"/>
                <w:kern w:val="0"/>
                <w:sz w:val="21"/>
                <w:szCs w:val="20"/>
                <w:highlight w:val="none"/>
                <w:lang w:val="en-US" w:eastAsia="zh-CN"/>
              </w:rPr>
              <w:t>（2）航空器转场出本场空域后（H=900m↑）向东南飞往P165航路点，航空器爬升率5%~7%，H≥1000。航空器转场航线（至1000米离地高度）与艾比湖湿地无交叠</w:t>
            </w:r>
          </w:p>
        </w:tc>
      </w:tr>
      <w:tr w14:paraId="5C8C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6" w:type="pct"/>
            <w:vAlign w:val="center"/>
          </w:tcPr>
          <w:p w14:paraId="275FCFDC">
            <w:pPr>
              <w:keepNext w:val="0"/>
              <w:keepLines w:val="0"/>
              <w:pageBreakBefore w:val="0"/>
              <w:suppressLineNumbers w:val="0"/>
              <w:kinsoku/>
              <w:wordWrap/>
              <w:overflowPunct/>
              <w:autoSpaceDE w:val="0"/>
              <w:autoSpaceDN w:val="0"/>
              <w:bidi w:val="0"/>
              <w:spacing w:before="0" w:beforeAutospacing="0" w:after="0" w:afterAutospacing="0" w:line="240" w:lineRule="auto"/>
              <w:ind w:left="0" w:right="0" w:firstLine="0"/>
              <w:jc w:val="left"/>
              <w:rPr>
                <w:rFonts w:hint="default"/>
                <w:color w:val="auto"/>
                <w:kern w:val="0"/>
                <w:sz w:val="21"/>
                <w:szCs w:val="20"/>
                <w:highlight w:val="none"/>
              </w:rPr>
            </w:pPr>
            <w:r>
              <w:rPr>
                <w:rFonts w:hint="default"/>
                <w:color w:val="auto"/>
                <w:kern w:val="0"/>
                <w:sz w:val="21"/>
                <w:szCs w:val="20"/>
                <w:highlight w:val="none"/>
              </w:rPr>
              <w:t>涉海机场的海洋工程生态影响评价范围参照GB/T</w:t>
            </w:r>
            <w:r>
              <w:rPr>
                <w:rFonts w:hint="eastAsia"/>
                <w:color w:val="auto"/>
                <w:kern w:val="0"/>
                <w:sz w:val="21"/>
                <w:szCs w:val="20"/>
                <w:highlight w:val="none"/>
                <w:lang w:val="en-US" w:eastAsia="zh-CN"/>
              </w:rPr>
              <w:t xml:space="preserve"> </w:t>
            </w:r>
            <w:r>
              <w:rPr>
                <w:rFonts w:hint="default"/>
                <w:color w:val="auto"/>
                <w:kern w:val="0"/>
                <w:sz w:val="21"/>
                <w:szCs w:val="20"/>
                <w:highlight w:val="none"/>
              </w:rPr>
              <w:t>19485确定</w:t>
            </w:r>
          </w:p>
        </w:tc>
        <w:tc>
          <w:tcPr>
            <w:tcW w:w="2203" w:type="pct"/>
            <w:vAlign w:val="center"/>
          </w:tcPr>
          <w:p w14:paraId="3FCABE50">
            <w:pPr>
              <w:keepNext w:val="0"/>
              <w:keepLines w:val="0"/>
              <w:pageBreakBefore w:val="0"/>
              <w:suppressLineNumbers w:val="0"/>
              <w:kinsoku/>
              <w:wordWrap/>
              <w:overflowPunct/>
              <w:autoSpaceDE w:val="0"/>
              <w:autoSpaceDN w:val="0"/>
              <w:bidi w:val="0"/>
              <w:spacing w:before="0" w:beforeAutospacing="0" w:after="0" w:afterAutospacing="0" w:line="240" w:lineRule="auto"/>
              <w:ind w:left="0" w:leftChars="0" w:right="0" w:rightChars="0" w:firstLine="0" w:firstLineChars="0"/>
              <w:jc w:val="center"/>
              <w:rPr>
                <w:rFonts w:hint="default"/>
                <w:color w:val="auto"/>
                <w:kern w:val="0"/>
                <w:sz w:val="21"/>
                <w:szCs w:val="20"/>
                <w:highlight w:val="none"/>
                <w:lang w:val="en-US" w:eastAsia="zh-CN"/>
              </w:rPr>
            </w:pPr>
            <w:r>
              <w:rPr>
                <w:rFonts w:hint="eastAsia"/>
                <w:color w:val="auto"/>
                <w:kern w:val="0"/>
                <w:sz w:val="21"/>
                <w:szCs w:val="20"/>
                <w:highlight w:val="none"/>
                <w:lang w:val="en-US" w:eastAsia="zh-CN"/>
              </w:rPr>
              <w:t>不涉及</w:t>
            </w:r>
          </w:p>
        </w:tc>
      </w:tr>
    </w:tbl>
    <w:p w14:paraId="5EBA3287">
      <w:pPr>
        <w:pageBreakBefore w:val="0"/>
        <w:widowControl/>
        <w:kinsoku/>
        <w:wordWrap/>
        <w:overflowPunct/>
        <w:bidi w:val="0"/>
        <w:ind w:firstLine="480" w:firstLineChars="200"/>
        <w:jc w:val="both"/>
        <w:rPr>
          <w:rFonts w:hint="default" w:cs="Times New Roman"/>
          <w:color w:val="auto"/>
          <w:szCs w:val="21"/>
          <w:highlight w:val="none"/>
          <w:lang w:val="en-US" w:eastAsia="zh-CN"/>
        </w:rPr>
      </w:pPr>
      <w:r>
        <w:rPr>
          <w:rFonts w:hint="eastAsia" w:cs="Times New Roman"/>
          <w:color w:val="auto"/>
          <w:szCs w:val="21"/>
          <w:highlight w:val="none"/>
          <w:lang w:val="en-US" w:eastAsia="zh-CN"/>
        </w:rPr>
        <w:t>综上，本项目生态影响评价范围为机场边界外延4km范围，见图2.5-1。</w:t>
      </w:r>
    </w:p>
    <w:p w14:paraId="7695FE73">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outlineLvl w:val="3"/>
        <w:rPr>
          <w:rFonts w:ascii="Times New Roman" w:hAnsi="Times New Roman" w:eastAsia="宋体" w:cs="Times New Roman"/>
          <w:b/>
          <w:bCs/>
          <w:color w:val="auto"/>
          <w:szCs w:val="21"/>
          <w:highlight w:val="none"/>
        </w:rPr>
      </w:pPr>
      <w:r>
        <w:rPr>
          <w:rFonts w:hint="eastAsia" w:cs="Times New Roman"/>
          <w:b/>
          <w:bCs/>
          <w:color w:val="auto"/>
          <w:szCs w:val="21"/>
          <w:highlight w:val="none"/>
          <w:lang w:val="en-US" w:eastAsia="zh-CN"/>
        </w:rPr>
        <w:t>2.5.2.3大气环境影响评价范围</w:t>
      </w:r>
    </w:p>
    <w:p w14:paraId="38DE0926">
      <w:pPr>
        <w:pageBreakBefore w:val="0"/>
        <w:widowControl/>
        <w:kinsoku/>
        <w:wordWrap/>
        <w:overflowPunct/>
        <w:bidi w:val="0"/>
        <w:ind w:firstLine="480" w:firstLineChars="200"/>
        <w:jc w:val="both"/>
        <w:rPr>
          <w:rFonts w:hint="default" w:cs="Times New Roman"/>
          <w:color w:val="auto"/>
          <w:szCs w:val="21"/>
          <w:highlight w:val="none"/>
          <w:lang w:val="en-US" w:eastAsia="zh-CN"/>
        </w:rPr>
      </w:pPr>
      <w:r>
        <w:rPr>
          <w:rFonts w:hint="eastAsia" w:cs="Times New Roman"/>
          <w:color w:val="auto"/>
          <w:szCs w:val="21"/>
          <w:highlight w:val="none"/>
          <w:lang w:val="en-US" w:eastAsia="zh-CN"/>
        </w:rPr>
        <w:t>根据《环境影响评价技术导则 民用机场建设工程》（HJ87-2023），非“一级评价”项目不考虑飞机尾气、APU及GSE的影响，依据HJ2.2确定评价范围。</w:t>
      </w:r>
    </w:p>
    <w:p w14:paraId="146EF00C">
      <w:pPr>
        <w:pageBreakBefore w:val="0"/>
        <w:widowControl/>
        <w:kinsoku/>
        <w:wordWrap/>
        <w:overflowPunct/>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根据HJ2.2，本项目以罐式加油车所在的油车棚为中心、边长5km的矩形区域作为大气环境影响评价范围。详见图2.5-1。</w:t>
      </w:r>
    </w:p>
    <w:p w14:paraId="53007A40">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outlineLvl w:val="3"/>
        <w:rPr>
          <w:rFonts w:ascii="Times New Roman" w:hAnsi="Times New Roman" w:eastAsia="宋体" w:cs="Times New Roman"/>
          <w:b/>
          <w:bCs/>
          <w:color w:val="auto"/>
          <w:szCs w:val="21"/>
          <w:highlight w:val="none"/>
        </w:rPr>
      </w:pPr>
      <w:r>
        <w:rPr>
          <w:rFonts w:hint="eastAsia" w:cs="Times New Roman"/>
          <w:b/>
          <w:bCs/>
          <w:color w:val="auto"/>
          <w:szCs w:val="21"/>
          <w:highlight w:val="none"/>
          <w:lang w:val="en-US" w:eastAsia="zh-CN"/>
        </w:rPr>
        <w:t>2.5.2.4地表水环境影响评价范围</w:t>
      </w:r>
    </w:p>
    <w:p w14:paraId="6C7B665C">
      <w:pPr>
        <w:pageBreakBefore w:val="0"/>
        <w:widowControl/>
        <w:kinsoku/>
        <w:wordWrap/>
        <w:overflowPunct/>
        <w:bidi w:val="0"/>
        <w:ind w:firstLine="480" w:firstLineChars="200"/>
        <w:jc w:val="both"/>
        <w:rPr>
          <w:rFonts w:hint="default" w:cs="Times New Roman"/>
          <w:color w:val="auto"/>
          <w:szCs w:val="21"/>
          <w:highlight w:val="none"/>
          <w:lang w:val="en-US" w:eastAsia="zh-CN"/>
        </w:rPr>
      </w:pPr>
      <w:r>
        <w:rPr>
          <w:rFonts w:hint="eastAsia" w:cs="Times New Roman"/>
          <w:color w:val="auto"/>
          <w:szCs w:val="21"/>
          <w:highlight w:val="none"/>
          <w:lang w:val="en-US" w:eastAsia="zh-CN"/>
        </w:rPr>
        <w:t>根据前文分析，本项目地表水环境影响评价等级为三级B，因此不设地表水环境影响评价范围。</w:t>
      </w:r>
    </w:p>
    <w:p w14:paraId="0E1C9CCF">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outlineLvl w:val="3"/>
        <w:rPr>
          <w:rFonts w:ascii="Times New Roman" w:hAnsi="Times New Roman" w:eastAsia="宋体" w:cs="Times New Roman"/>
          <w:b/>
          <w:bCs/>
          <w:color w:val="auto"/>
          <w:szCs w:val="21"/>
          <w:highlight w:val="none"/>
        </w:rPr>
      </w:pPr>
      <w:r>
        <w:rPr>
          <w:rFonts w:hint="eastAsia" w:cs="Times New Roman"/>
          <w:b/>
          <w:bCs/>
          <w:color w:val="auto"/>
          <w:szCs w:val="21"/>
          <w:highlight w:val="none"/>
          <w:lang w:val="en-US" w:eastAsia="zh-CN"/>
        </w:rPr>
        <w:t>2.5.2.5地下水环境影响评价范围</w:t>
      </w:r>
    </w:p>
    <w:p w14:paraId="07BC4789">
      <w:pPr>
        <w:pageBreakBefore w:val="0"/>
        <w:widowControl/>
        <w:kinsoku/>
        <w:wordWrap/>
        <w:overflowPunct/>
        <w:bidi w:val="0"/>
        <w:ind w:firstLine="480" w:firstLineChars="200"/>
        <w:jc w:val="both"/>
        <w:rPr>
          <w:rFonts w:hint="default" w:cs="Times New Roman"/>
          <w:color w:val="auto"/>
          <w:spacing w:val="0"/>
          <w:sz w:val="24"/>
          <w:szCs w:val="21"/>
          <w:highlight w:val="none"/>
          <w:lang w:val="en-US" w:eastAsia="zh-CN"/>
        </w:rPr>
      </w:pPr>
      <w:r>
        <w:rPr>
          <w:rFonts w:hint="eastAsia" w:cs="Times New Roman"/>
          <w:color w:val="auto"/>
          <w:szCs w:val="21"/>
          <w:highlight w:val="none"/>
          <w:lang w:val="en-US" w:eastAsia="zh-CN"/>
        </w:rPr>
        <w:t>根据《环境影响评价技术导则 民用机场建设工程》（HJ87-2023），“机场工</w:t>
      </w:r>
      <w:r>
        <w:rPr>
          <w:rFonts w:hint="eastAsia" w:cs="Times New Roman"/>
          <w:color w:val="auto"/>
          <w:spacing w:val="0"/>
          <w:sz w:val="24"/>
          <w:szCs w:val="21"/>
          <w:highlight w:val="none"/>
          <w:lang w:val="en-US" w:eastAsia="zh-CN"/>
        </w:rPr>
        <w:t>程地下水环境影响评价范围根据评价等级、周边地下水环境保护目标情况，采用HJ 610中的查表法确定。当查表确定的范围超出机场工程所在区域水文地质单元时，以所在区域水文地质单元为评价范围”。本项目地下水环境影响评价等级为二级，根据HJ 610中的查表法，以罐式加油车所在的油车棚为中心，以地下水径流方向下游3km、侧向及上游各1km的矩形区域作为本项目地下水环境影响评价范围，面积为8km</w:t>
      </w:r>
      <w:r>
        <w:rPr>
          <w:rFonts w:hint="eastAsia" w:cs="Times New Roman"/>
          <w:color w:val="auto"/>
          <w:spacing w:val="0"/>
          <w:sz w:val="24"/>
          <w:szCs w:val="21"/>
          <w:highlight w:val="none"/>
          <w:vertAlign w:val="superscript"/>
          <w:lang w:val="en-US" w:eastAsia="zh-CN"/>
        </w:rPr>
        <w:t>2</w:t>
      </w:r>
      <w:r>
        <w:rPr>
          <w:rFonts w:hint="eastAsia" w:cs="Times New Roman"/>
          <w:color w:val="auto"/>
          <w:spacing w:val="0"/>
          <w:sz w:val="24"/>
          <w:szCs w:val="21"/>
          <w:highlight w:val="none"/>
          <w:lang w:val="en-US" w:eastAsia="zh-CN"/>
        </w:rPr>
        <w:t>。重点分析罐式加油车对评价范围内地下水环境的影响。</w:t>
      </w:r>
    </w:p>
    <w:p w14:paraId="7122B440">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outlineLvl w:val="3"/>
        <w:rPr>
          <w:rFonts w:ascii="Times New Roman" w:hAnsi="Times New Roman" w:eastAsia="宋体" w:cs="Times New Roman"/>
          <w:b/>
          <w:bCs/>
          <w:color w:val="auto"/>
          <w:spacing w:val="0"/>
          <w:sz w:val="24"/>
          <w:szCs w:val="21"/>
          <w:highlight w:val="none"/>
        </w:rPr>
      </w:pPr>
      <w:r>
        <w:rPr>
          <w:rFonts w:hint="eastAsia" w:cs="Times New Roman"/>
          <w:b/>
          <w:bCs/>
          <w:color w:val="auto"/>
          <w:spacing w:val="0"/>
          <w:sz w:val="24"/>
          <w:szCs w:val="21"/>
          <w:highlight w:val="none"/>
          <w:lang w:val="en-US" w:eastAsia="zh-CN"/>
        </w:rPr>
        <w:t>2.5.2.6土壤环境影响评价范围</w:t>
      </w:r>
    </w:p>
    <w:p w14:paraId="4F345195">
      <w:pPr>
        <w:pageBreakBefore w:val="0"/>
        <w:widowControl/>
        <w:kinsoku/>
        <w:wordWrap/>
        <w:overflowPunct/>
        <w:bidi w:val="0"/>
        <w:ind w:firstLine="480" w:firstLineChars="200"/>
        <w:jc w:val="both"/>
        <w:rPr>
          <w:rFonts w:hint="default" w:cs="Times New Roman"/>
          <w:color w:val="auto"/>
          <w:spacing w:val="0"/>
          <w:sz w:val="24"/>
          <w:szCs w:val="21"/>
          <w:highlight w:val="none"/>
          <w:lang w:val="en-US" w:eastAsia="zh-CN"/>
        </w:rPr>
      </w:pPr>
      <w:r>
        <w:rPr>
          <w:rFonts w:hint="eastAsia" w:cs="Times New Roman"/>
          <w:color w:val="auto"/>
          <w:spacing w:val="0"/>
          <w:sz w:val="24"/>
          <w:szCs w:val="21"/>
          <w:highlight w:val="none"/>
          <w:lang w:val="en-US" w:eastAsia="zh-CN"/>
        </w:rPr>
        <w:t>本项目土壤环境影响评价等级为二级，根据《环境影响评价技术导则 土壤环境（试行）》（HJ964-2018），土壤环境影响评价范围为占地范围内全部及占地范围外0.2km，详见图2.5-1。</w:t>
      </w:r>
    </w:p>
    <w:p w14:paraId="4896107F">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outlineLvl w:val="3"/>
        <w:rPr>
          <w:rFonts w:ascii="Times New Roman" w:hAnsi="Times New Roman" w:eastAsia="宋体" w:cs="Times New Roman"/>
          <w:b/>
          <w:bCs/>
          <w:color w:val="auto"/>
          <w:spacing w:val="0"/>
          <w:sz w:val="24"/>
          <w:szCs w:val="21"/>
          <w:highlight w:val="none"/>
        </w:rPr>
      </w:pPr>
      <w:r>
        <w:rPr>
          <w:rFonts w:hint="eastAsia" w:cs="Times New Roman"/>
          <w:b/>
          <w:bCs/>
          <w:color w:val="auto"/>
          <w:spacing w:val="0"/>
          <w:sz w:val="24"/>
          <w:szCs w:val="21"/>
          <w:highlight w:val="none"/>
          <w:lang w:val="en-US" w:eastAsia="zh-CN"/>
        </w:rPr>
        <w:t>2.5.2.7环境风险评价范围</w:t>
      </w:r>
    </w:p>
    <w:p w14:paraId="4E7CFA8B">
      <w:pPr>
        <w:pageBreakBefore w:val="0"/>
        <w:widowControl/>
        <w:kinsoku/>
        <w:wordWrap/>
        <w:overflowPunct/>
        <w:bidi w:val="0"/>
        <w:ind w:firstLine="480" w:firstLineChars="200"/>
        <w:jc w:val="both"/>
        <w:rPr>
          <w:rFonts w:hint="default" w:cs="Times New Roman"/>
          <w:color w:val="auto"/>
          <w:spacing w:val="0"/>
          <w:sz w:val="24"/>
          <w:szCs w:val="21"/>
          <w:highlight w:val="none"/>
          <w:lang w:val="en-US" w:eastAsia="zh-CN"/>
        </w:rPr>
      </w:pPr>
      <w:r>
        <w:rPr>
          <w:rFonts w:hint="eastAsia" w:cs="Times New Roman"/>
          <w:color w:val="auto"/>
          <w:spacing w:val="0"/>
          <w:sz w:val="24"/>
          <w:szCs w:val="21"/>
          <w:highlight w:val="none"/>
          <w:lang w:val="en-US" w:eastAsia="zh-CN"/>
        </w:rPr>
        <w:t>根据前文分析，本项目环境风险评价等级为“简单分析”，不设环境风险评价范围。</w:t>
      </w:r>
    </w:p>
    <w:bookmarkEnd w:id="122"/>
    <w:p w14:paraId="4F8B0424">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outlineLvl w:val="3"/>
        <w:rPr>
          <w:rFonts w:ascii="Times New Roman" w:hAnsi="Times New Roman" w:eastAsia="宋体" w:cs="Times New Roman"/>
          <w:b/>
          <w:bCs/>
          <w:color w:val="auto"/>
          <w:spacing w:val="0"/>
          <w:sz w:val="24"/>
          <w:szCs w:val="21"/>
          <w:highlight w:val="none"/>
        </w:rPr>
      </w:pPr>
      <w:r>
        <w:rPr>
          <w:rFonts w:hint="eastAsia" w:cs="Times New Roman"/>
          <w:b/>
          <w:bCs/>
          <w:color w:val="auto"/>
          <w:spacing w:val="0"/>
          <w:sz w:val="24"/>
          <w:szCs w:val="21"/>
          <w:highlight w:val="none"/>
          <w:lang w:val="en-US" w:eastAsia="zh-CN"/>
        </w:rPr>
        <w:t>2.5.2.8电磁辐射环境</w:t>
      </w:r>
      <w:r>
        <w:rPr>
          <w:rFonts w:hint="eastAsia" w:ascii="Times New Roman" w:hAnsi="Times New Roman" w:eastAsia="宋体" w:cs="Times New Roman"/>
          <w:b/>
          <w:bCs/>
          <w:color w:val="auto"/>
          <w:spacing w:val="0"/>
          <w:sz w:val="24"/>
          <w:szCs w:val="21"/>
          <w:highlight w:val="none"/>
        </w:rPr>
        <w:t>影响评价</w:t>
      </w:r>
      <w:r>
        <w:rPr>
          <w:rFonts w:hint="eastAsia" w:cs="Times New Roman"/>
          <w:b/>
          <w:bCs/>
          <w:color w:val="auto"/>
          <w:spacing w:val="0"/>
          <w:sz w:val="24"/>
          <w:szCs w:val="21"/>
          <w:highlight w:val="none"/>
          <w:lang w:val="en-US" w:eastAsia="zh-CN"/>
        </w:rPr>
        <w:t>范围</w:t>
      </w:r>
    </w:p>
    <w:p w14:paraId="486BFA48">
      <w:pPr>
        <w:pageBreakBefore w:val="0"/>
        <w:widowControl/>
        <w:kinsoku/>
        <w:wordWrap/>
        <w:overflowPunct/>
        <w:bidi w:val="0"/>
        <w:adjustRightInd w:val="0"/>
        <w:snapToGrid w:val="0"/>
        <w:ind w:firstLine="480" w:firstLineChars="200"/>
        <w:jc w:val="both"/>
        <w:rPr>
          <w:rFonts w:ascii="Times New Roman" w:hAnsi="Times New Roman" w:eastAsia="宋体" w:cs="Times New Roman"/>
          <w:color w:val="auto"/>
          <w:spacing w:val="0"/>
          <w:sz w:val="24"/>
          <w:szCs w:val="21"/>
          <w:highlight w:val="none"/>
        </w:rPr>
      </w:pPr>
      <w:r>
        <w:rPr>
          <w:rFonts w:hint="eastAsia" w:cs="Times New Roman"/>
          <w:color w:val="auto"/>
          <w:spacing w:val="0"/>
          <w:sz w:val="24"/>
          <w:szCs w:val="21"/>
          <w:highlight w:val="none"/>
          <w:lang w:val="en-US" w:eastAsia="zh-CN"/>
        </w:rPr>
        <w:t>根据《环境影响评价技术导则 民用机场建设工程》（HJ87-2023）及《辐射环境保护管理导则 电磁辐射环境影响评价方法与标准》（HJ/T10.3-1996），“功率＞200kW的发射设备，以发射天线为中心、半径为1km范围全面评价……其它陆地发射设备评价范围为以天线为中心，发射机功率</w:t>
      </w:r>
      <w:r>
        <w:rPr>
          <w:rFonts w:hint="eastAsia" w:cs="Times New Roman"/>
          <w:i/>
          <w:iCs/>
          <w:color w:val="auto"/>
          <w:spacing w:val="0"/>
          <w:sz w:val="24"/>
          <w:szCs w:val="21"/>
          <w:highlight w:val="none"/>
          <w:lang w:val="en-US" w:eastAsia="zh-CN"/>
        </w:rPr>
        <w:t>P</w:t>
      </w:r>
      <w:r>
        <w:rPr>
          <w:rFonts w:hint="eastAsia" w:cs="Times New Roman"/>
          <w:color w:val="auto"/>
          <w:spacing w:val="0"/>
          <w:sz w:val="24"/>
          <w:szCs w:val="21"/>
          <w:highlight w:val="none"/>
          <w:lang w:val="en-US" w:eastAsia="zh-CN"/>
        </w:rPr>
        <w:t>＞100kW时，其半径为1km；发射机功率</w:t>
      </w:r>
      <w:r>
        <w:rPr>
          <w:rFonts w:hint="eastAsia" w:cs="Times New Roman"/>
          <w:i/>
          <w:iCs/>
          <w:color w:val="auto"/>
          <w:spacing w:val="0"/>
          <w:sz w:val="24"/>
          <w:szCs w:val="21"/>
          <w:highlight w:val="none"/>
          <w:lang w:val="en-US" w:eastAsia="zh-CN"/>
        </w:rPr>
        <w:t>P</w:t>
      </w:r>
      <w:r>
        <w:rPr>
          <w:rFonts w:hint="eastAsia" w:cs="Times New Roman"/>
          <w:color w:val="auto"/>
          <w:spacing w:val="0"/>
          <w:sz w:val="24"/>
          <w:szCs w:val="21"/>
          <w:highlight w:val="none"/>
          <w:lang w:val="en-US" w:eastAsia="zh-CN"/>
        </w:rPr>
        <w:t>≤100kW时，半径为0.5km……”。</w:t>
      </w:r>
    </w:p>
    <w:p w14:paraId="61BCB63C">
      <w:pPr>
        <w:pageBreakBefore w:val="0"/>
        <w:kinsoku/>
        <w:wordWrap/>
        <w:overflowPunct/>
        <w:bidi w:val="0"/>
        <w:ind w:firstLine="480" w:firstLineChars="200"/>
        <w:rPr>
          <w:rFonts w:hint="eastAsia"/>
          <w:color w:val="auto"/>
          <w:spacing w:val="0"/>
          <w:sz w:val="24"/>
          <w:highlight w:val="none"/>
          <w:lang w:val="en-US" w:eastAsia="zh-CN"/>
        </w:rPr>
      </w:pPr>
      <w:r>
        <w:rPr>
          <w:rFonts w:hint="eastAsia"/>
          <w:color w:val="auto"/>
          <w:spacing w:val="0"/>
          <w:sz w:val="24"/>
          <w:highlight w:val="none"/>
          <w:lang w:val="en-US" w:eastAsia="zh-CN"/>
        </w:rPr>
        <w:t>根据资料，拟建精河通用机场本期为非仪表跑道，不设导航设备；航管工程中电磁辐射源主要为甚高频通信系统，配置3个信道，塔台主频、备频及应急频率，其中主频主备设置，配置4台单机及VHF遥控盒4个，发射功率在300W以下。根据《辐射环境保护管理导则 电磁辐射环境影响评价方法与标准》（HJ/T10.3-1996），发射功率在300W以下的设备为豁免设备。因此，本项目不设电磁辐射环境影响评价范围。</w:t>
      </w:r>
    </w:p>
    <w:p w14:paraId="133A71F4">
      <w:pPr>
        <w:pageBreakBefore w:val="0"/>
        <w:kinsoku/>
        <w:wordWrap/>
        <w:overflowPunct/>
        <w:bidi w:val="0"/>
        <w:ind w:firstLine="480" w:firstLineChars="200"/>
        <w:rPr>
          <w:rFonts w:hint="default"/>
          <w:color w:val="auto"/>
          <w:spacing w:val="9"/>
          <w:highlight w:val="none"/>
          <w:lang w:val="en-US" w:eastAsia="zh-CN"/>
        </w:rPr>
      </w:pPr>
      <w:r>
        <w:rPr>
          <w:rFonts w:hint="eastAsia"/>
          <w:color w:val="auto"/>
          <w:spacing w:val="0"/>
          <w:sz w:val="24"/>
          <w:highlight w:val="none"/>
          <w:lang w:val="en-US" w:eastAsia="zh-CN"/>
        </w:rPr>
        <w:t>综上，本项目环境影响评价等级和范围汇总见表2.5-10、图2.5-1。</w:t>
      </w:r>
    </w:p>
    <w:p w14:paraId="4E15596D">
      <w:pPr>
        <w:pageBreakBefore w:val="0"/>
        <w:widowControl w:val="0"/>
        <w:kinsoku/>
        <w:wordWrap/>
        <w:overflowPunct/>
        <w:bidi w:val="0"/>
        <w:spacing w:beforeLines="0" w:afterLines="0" w:line="240" w:lineRule="auto"/>
        <w:ind w:left="0" w:leftChars="0" w:firstLine="0" w:firstLineChars="0"/>
        <w:jc w:val="center"/>
        <w:rPr>
          <w:rFonts w:ascii="Times New Roman" w:hAnsi="Times New Roman" w:eastAsia="黑体" w:cs="Times New Roman"/>
          <w:color w:val="auto"/>
          <w:kern w:val="2"/>
          <w:sz w:val="21"/>
          <w:szCs w:val="18"/>
          <w:highlight w:val="none"/>
          <w:lang w:val="en-US" w:eastAsia="zh-CN" w:bidi="ar-SA"/>
        </w:rPr>
      </w:pPr>
      <w:bookmarkStart w:id="136" w:name="_Toc133987575"/>
      <w:bookmarkStart w:id="137" w:name="_Toc98329814"/>
      <w:bookmarkStart w:id="138" w:name="_Toc131828142"/>
      <w:bookmarkStart w:id="139" w:name="_Toc126979636"/>
      <w:bookmarkStart w:id="140" w:name="_Toc145148599"/>
      <w:bookmarkStart w:id="141" w:name="_Toc144648426"/>
      <w:bookmarkStart w:id="142" w:name="_Toc141948804"/>
      <w:bookmarkStart w:id="143" w:name="_Toc143925538"/>
      <w:bookmarkStart w:id="144" w:name="_Toc142237587"/>
      <w:bookmarkStart w:id="145" w:name="_Toc142275518"/>
      <w:bookmarkStart w:id="146" w:name="_Toc98304326"/>
      <w:bookmarkStart w:id="147" w:name="_Toc148165606"/>
      <w:bookmarkStart w:id="148" w:name="_Toc104374243"/>
      <w:r>
        <w:rPr>
          <w:rFonts w:ascii="Times New Roman" w:hAnsi="Times New Roman" w:eastAsia="黑体" w:cs="Times New Roman"/>
          <w:color w:val="auto"/>
          <w:kern w:val="2"/>
          <w:sz w:val="21"/>
          <w:szCs w:val="18"/>
          <w:highlight w:val="none"/>
          <w:lang w:val="en-US" w:eastAsia="zh-CN" w:bidi="ar-SA"/>
        </w:rPr>
        <w:t>表</w:t>
      </w:r>
      <w:r>
        <w:rPr>
          <w:rFonts w:ascii="Times New Roman" w:hAnsi="Times New Roman" w:eastAsia="Times New Roman" w:cs="Times New Roman"/>
          <w:b/>
          <w:color w:val="auto"/>
          <w:kern w:val="2"/>
          <w:sz w:val="21"/>
          <w:szCs w:val="18"/>
          <w:highlight w:val="none"/>
          <w:lang w:val="en-US" w:eastAsia="zh-CN" w:bidi="ar-SA"/>
        </w:rPr>
        <w:t>2.5-</w:t>
      </w:r>
      <w:r>
        <w:rPr>
          <w:rFonts w:hint="eastAsia" w:eastAsia="Times New Roman" w:cs="Times New Roman"/>
          <w:b/>
          <w:color w:val="auto"/>
          <w:kern w:val="2"/>
          <w:sz w:val="21"/>
          <w:szCs w:val="18"/>
          <w:highlight w:val="none"/>
          <w:lang w:val="en-US" w:eastAsia="zh-CN" w:bidi="ar-SA"/>
        </w:rPr>
        <w:t>10</w:t>
      </w:r>
      <w:r>
        <w:rPr>
          <w:rFonts w:ascii="Times New Roman" w:hAnsi="Times New Roman" w:eastAsia="宋体" w:cs="Times New Roman"/>
          <w:b/>
          <w:color w:val="auto"/>
          <w:kern w:val="2"/>
          <w:sz w:val="21"/>
          <w:szCs w:val="18"/>
          <w:highlight w:val="none"/>
          <w:lang w:val="en-US" w:eastAsia="zh-CN" w:bidi="ar-SA"/>
        </w:rPr>
        <w:t xml:space="preserve">  </w:t>
      </w:r>
      <w:r>
        <w:rPr>
          <w:rFonts w:ascii="Times New Roman" w:hAnsi="Times New Roman" w:eastAsia="黑体" w:cs="Times New Roman"/>
          <w:color w:val="auto"/>
          <w:kern w:val="2"/>
          <w:sz w:val="21"/>
          <w:szCs w:val="18"/>
          <w:highlight w:val="none"/>
          <w:lang w:val="en-US" w:eastAsia="zh-CN" w:bidi="ar-SA"/>
        </w:rPr>
        <w:t>环境影响评价等级和范围汇总表</w:t>
      </w:r>
    </w:p>
    <w:tbl>
      <w:tblPr>
        <w:tblStyle w:val="88"/>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333"/>
        <w:gridCol w:w="2171"/>
        <w:gridCol w:w="5228"/>
      </w:tblGrid>
      <w:tr w14:paraId="50F5DB7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5884C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4"/>
                <w:highlight w:val="none"/>
                <w:lang w:val="en-US" w:eastAsia="zh-CN" w:bidi="ar-SA"/>
              </w:rPr>
            </w:pPr>
            <w:r>
              <w:rPr>
                <w:rFonts w:hint="default" w:ascii="Times New Roman" w:hAnsi="Times New Roman" w:eastAsia="宋体" w:cs="Times New Roman"/>
                <w:b/>
                <w:color w:val="auto"/>
                <w:kern w:val="2"/>
                <w:sz w:val="21"/>
                <w:szCs w:val="24"/>
                <w:highlight w:val="none"/>
                <w:lang w:val="en-US" w:eastAsia="zh-CN" w:bidi="ar-SA"/>
              </w:rPr>
              <w:t>项目</w:t>
            </w:r>
          </w:p>
        </w:tc>
        <w:tc>
          <w:tcPr>
            <w:tcW w:w="124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3541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4"/>
                <w:highlight w:val="none"/>
                <w:lang w:val="en-US" w:eastAsia="zh-CN" w:bidi="ar-SA"/>
              </w:rPr>
            </w:pPr>
            <w:r>
              <w:rPr>
                <w:rFonts w:hint="default" w:ascii="Times New Roman" w:hAnsi="Times New Roman" w:eastAsia="宋体" w:cs="Times New Roman"/>
                <w:b/>
                <w:color w:val="auto"/>
                <w:kern w:val="2"/>
                <w:sz w:val="21"/>
                <w:szCs w:val="24"/>
                <w:highlight w:val="none"/>
                <w:lang w:val="en-US" w:eastAsia="zh-CN" w:bidi="ar-SA"/>
              </w:rPr>
              <w:t>评价等级</w:t>
            </w:r>
          </w:p>
        </w:tc>
        <w:tc>
          <w:tcPr>
            <w:tcW w:w="299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AF8E4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2"/>
                <w:sz w:val="21"/>
                <w:szCs w:val="24"/>
                <w:highlight w:val="none"/>
                <w:lang w:val="en-US" w:eastAsia="zh-CN" w:bidi="ar-SA"/>
              </w:rPr>
            </w:pPr>
            <w:r>
              <w:rPr>
                <w:rFonts w:hint="default" w:ascii="Times New Roman" w:hAnsi="Times New Roman" w:eastAsia="宋体" w:cs="Times New Roman"/>
                <w:b/>
                <w:color w:val="auto"/>
                <w:kern w:val="2"/>
                <w:sz w:val="21"/>
                <w:szCs w:val="24"/>
                <w:highlight w:val="none"/>
                <w:lang w:val="en-US" w:eastAsia="zh-CN" w:bidi="ar-SA"/>
              </w:rPr>
              <w:t>评价范围</w:t>
            </w:r>
          </w:p>
        </w:tc>
      </w:tr>
      <w:tr w14:paraId="0520FC9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3" w:type="pct"/>
            <w:vMerge w:val="restart"/>
            <w:tcBorders>
              <w:top w:val="single" w:color="auto" w:sz="4" w:space="0"/>
              <w:left w:val="single" w:color="auto" w:sz="4" w:space="0"/>
              <w:right w:val="single" w:color="auto" w:sz="4" w:space="0"/>
            </w:tcBorders>
            <w:tcMar>
              <w:left w:w="57" w:type="dxa"/>
              <w:right w:w="57" w:type="dxa"/>
            </w:tcMar>
            <w:vAlign w:val="center"/>
          </w:tcPr>
          <w:p w14:paraId="6ED295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声环境</w:t>
            </w:r>
          </w:p>
        </w:tc>
        <w:tc>
          <w:tcPr>
            <w:tcW w:w="124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774E7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航空器噪声</w:t>
            </w:r>
            <w:r>
              <w:rPr>
                <w:rFonts w:hint="eastAsia" w:cs="Times New Roman"/>
                <w:color w:val="auto"/>
                <w:kern w:val="2"/>
                <w:sz w:val="21"/>
                <w:szCs w:val="24"/>
                <w:highlight w:val="none"/>
                <w:lang w:val="en-US" w:eastAsia="zh-CN" w:bidi="ar-SA"/>
              </w:rPr>
              <w:t>：</w:t>
            </w:r>
            <w:r>
              <w:rPr>
                <w:rFonts w:hint="default" w:ascii="Times New Roman" w:hAnsi="Times New Roman" w:eastAsia="宋体" w:cs="Times New Roman"/>
                <w:color w:val="auto"/>
                <w:kern w:val="2"/>
                <w:sz w:val="21"/>
                <w:szCs w:val="24"/>
                <w:highlight w:val="none"/>
                <w:lang w:val="en-US" w:eastAsia="zh-CN" w:bidi="ar-SA"/>
              </w:rPr>
              <w:t>一级</w:t>
            </w:r>
          </w:p>
        </w:tc>
        <w:tc>
          <w:tcPr>
            <w:tcW w:w="2993" w:type="pct"/>
            <w:tcBorders>
              <w:top w:val="single" w:color="auto" w:sz="4" w:space="0"/>
              <w:left w:val="single" w:color="auto" w:sz="4" w:space="0"/>
              <w:right w:val="single" w:color="auto" w:sz="4" w:space="0"/>
            </w:tcBorders>
            <w:tcMar>
              <w:left w:w="57" w:type="dxa"/>
              <w:right w:w="57" w:type="dxa"/>
            </w:tcMar>
            <w:vAlign w:val="center"/>
          </w:tcPr>
          <w:p w14:paraId="779E2B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跑道两端各3km、跑道两侧各1km的矩形</w:t>
            </w:r>
            <w:r>
              <w:rPr>
                <w:rFonts w:hint="eastAsia" w:cs="Times New Roman"/>
                <w:color w:val="auto"/>
                <w:kern w:val="2"/>
                <w:sz w:val="21"/>
                <w:szCs w:val="24"/>
                <w:highlight w:val="none"/>
                <w:lang w:val="en-US" w:eastAsia="zh-CN" w:bidi="ar-SA"/>
              </w:rPr>
              <w:t>区域</w:t>
            </w:r>
          </w:p>
        </w:tc>
      </w:tr>
      <w:tr w14:paraId="55E6272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3" w:type="pct"/>
            <w:vMerge w:val="continue"/>
            <w:tcBorders>
              <w:left w:val="single" w:color="auto" w:sz="4" w:space="0"/>
              <w:bottom w:val="single" w:color="auto" w:sz="4" w:space="0"/>
              <w:right w:val="single" w:color="auto" w:sz="4" w:space="0"/>
            </w:tcBorders>
            <w:tcMar>
              <w:left w:w="57" w:type="dxa"/>
              <w:right w:w="57" w:type="dxa"/>
            </w:tcMar>
            <w:vAlign w:val="center"/>
          </w:tcPr>
          <w:p w14:paraId="08B0CD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highlight w:val="none"/>
              </w:rPr>
            </w:pPr>
          </w:p>
        </w:tc>
        <w:tc>
          <w:tcPr>
            <w:tcW w:w="124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15D1E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地面噪声</w:t>
            </w:r>
            <w:r>
              <w:rPr>
                <w:rFonts w:hint="eastAsia" w:cs="Times New Roman"/>
                <w:color w:val="auto"/>
                <w:kern w:val="2"/>
                <w:sz w:val="21"/>
                <w:szCs w:val="24"/>
                <w:highlight w:val="none"/>
                <w:lang w:val="en-US" w:eastAsia="zh-CN" w:bidi="ar-SA"/>
              </w:rPr>
              <w:t>：无</w:t>
            </w:r>
          </w:p>
        </w:tc>
        <w:tc>
          <w:tcPr>
            <w:tcW w:w="2993" w:type="pct"/>
            <w:tcBorders>
              <w:left w:val="single" w:color="auto" w:sz="4" w:space="0"/>
              <w:bottom w:val="single" w:color="auto" w:sz="4" w:space="0"/>
              <w:right w:val="single" w:color="auto" w:sz="4" w:space="0"/>
            </w:tcBorders>
            <w:tcMar>
              <w:left w:w="57" w:type="dxa"/>
              <w:right w:w="57" w:type="dxa"/>
            </w:tcMar>
            <w:vAlign w:val="center"/>
          </w:tcPr>
          <w:p w14:paraId="19B751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w:t>
            </w:r>
          </w:p>
        </w:tc>
      </w:tr>
      <w:tr w14:paraId="646DE83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C7192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生态</w:t>
            </w:r>
          </w:p>
        </w:tc>
        <w:tc>
          <w:tcPr>
            <w:tcW w:w="124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927F1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二</w:t>
            </w:r>
            <w:r>
              <w:rPr>
                <w:rFonts w:hint="default" w:ascii="Times New Roman" w:hAnsi="Times New Roman" w:eastAsia="宋体" w:cs="Times New Roman"/>
                <w:color w:val="auto"/>
                <w:kern w:val="2"/>
                <w:sz w:val="21"/>
                <w:szCs w:val="24"/>
                <w:highlight w:val="none"/>
                <w:lang w:val="en-US" w:eastAsia="zh-CN" w:bidi="ar-SA"/>
              </w:rPr>
              <w:t>级</w:t>
            </w:r>
          </w:p>
        </w:tc>
        <w:tc>
          <w:tcPr>
            <w:tcW w:w="299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536AA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机场边界外延4公里范围</w:t>
            </w:r>
            <w:r>
              <w:rPr>
                <w:rFonts w:hint="eastAsia" w:cs="Times New Roman"/>
                <w:color w:val="auto"/>
                <w:kern w:val="2"/>
                <w:sz w:val="21"/>
                <w:szCs w:val="24"/>
                <w:highlight w:val="none"/>
                <w:lang w:val="en-US" w:eastAsia="zh-CN" w:bidi="ar-SA"/>
              </w:rPr>
              <w:t>的区域</w:t>
            </w:r>
          </w:p>
        </w:tc>
      </w:tr>
      <w:tr w14:paraId="59F075E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61981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大气环境</w:t>
            </w:r>
          </w:p>
        </w:tc>
        <w:tc>
          <w:tcPr>
            <w:tcW w:w="124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5DF74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二级</w:t>
            </w:r>
          </w:p>
        </w:tc>
        <w:tc>
          <w:tcPr>
            <w:tcW w:w="299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3C21F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以罐式加油车所在的油车棚为中心、边长5km的矩形区域</w:t>
            </w:r>
          </w:p>
        </w:tc>
      </w:tr>
      <w:tr w14:paraId="4B78214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6B4A6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地表水</w:t>
            </w:r>
          </w:p>
        </w:tc>
        <w:tc>
          <w:tcPr>
            <w:tcW w:w="124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74247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三级</w:t>
            </w:r>
            <w:r>
              <w:rPr>
                <w:rFonts w:hint="default" w:ascii="Times New Roman" w:hAnsi="Times New Roman" w:eastAsia="Times New Roman" w:cs="Times New Roman"/>
                <w:color w:val="auto"/>
                <w:kern w:val="2"/>
                <w:sz w:val="21"/>
                <w:szCs w:val="24"/>
                <w:highlight w:val="none"/>
                <w:lang w:val="en-US" w:eastAsia="zh-CN" w:bidi="ar-SA"/>
              </w:rPr>
              <w:t>B</w:t>
            </w:r>
          </w:p>
        </w:tc>
        <w:tc>
          <w:tcPr>
            <w:tcW w:w="299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73424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w:t>
            </w:r>
          </w:p>
        </w:tc>
      </w:tr>
      <w:tr w14:paraId="554A1AA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FA8C9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地下水</w:t>
            </w:r>
          </w:p>
        </w:tc>
        <w:tc>
          <w:tcPr>
            <w:tcW w:w="124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56348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二级</w:t>
            </w:r>
          </w:p>
        </w:tc>
        <w:tc>
          <w:tcPr>
            <w:tcW w:w="299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1D41F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以罐式加油车所在的油车棚为中心，以地下水径流方向下游3km、侧向及上游各1km的矩形区域，面积为8km</w:t>
            </w:r>
            <w:r>
              <w:rPr>
                <w:rFonts w:hint="default" w:ascii="Times New Roman" w:hAnsi="Times New Roman" w:eastAsia="宋体" w:cs="Times New Roman"/>
                <w:color w:val="auto"/>
                <w:kern w:val="2"/>
                <w:sz w:val="21"/>
                <w:szCs w:val="24"/>
                <w:highlight w:val="none"/>
                <w:vertAlign w:val="superscript"/>
                <w:lang w:val="en-US" w:eastAsia="zh-CN" w:bidi="ar-SA"/>
              </w:rPr>
              <w:t>2</w:t>
            </w:r>
          </w:p>
        </w:tc>
      </w:tr>
      <w:tr w14:paraId="19FD528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BD175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土壤</w:t>
            </w:r>
          </w:p>
        </w:tc>
        <w:tc>
          <w:tcPr>
            <w:tcW w:w="124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F66F3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二级</w:t>
            </w:r>
          </w:p>
        </w:tc>
        <w:tc>
          <w:tcPr>
            <w:tcW w:w="299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B11C9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占地范围内全部及占地范围外0.2km的区域</w:t>
            </w:r>
          </w:p>
        </w:tc>
      </w:tr>
      <w:tr w14:paraId="3665D9B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8C0B4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环境风险</w:t>
            </w:r>
          </w:p>
        </w:tc>
        <w:tc>
          <w:tcPr>
            <w:tcW w:w="124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01E43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简单分析</w:t>
            </w:r>
          </w:p>
        </w:tc>
        <w:tc>
          <w:tcPr>
            <w:tcW w:w="299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14DE9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Times New Roman" w:cs="Times New Roman"/>
                <w:color w:val="auto"/>
                <w:kern w:val="2"/>
                <w:sz w:val="21"/>
                <w:szCs w:val="24"/>
                <w:highlight w:val="none"/>
                <w:lang w:val="en-US" w:eastAsia="zh-CN" w:bidi="ar-SA"/>
              </w:rPr>
              <w:t>/</w:t>
            </w:r>
          </w:p>
        </w:tc>
      </w:tr>
      <w:tr w14:paraId="6EE74C1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23CBE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bookmarkStart w:id="149" w:name="_Toc319045785"/>
            <w:bookmarkStart w:id="150" w:name="_Toc239499250"/>
            <w:bookmarkStart w:id="151" w:name="_Toc316558130"/>
            <w:bookmarkStart w:id="152" w:name="_Toc240083823"/>
            <w:bookmarkStart w:id="153" w:name="_Toc239760139"/>
            <w:bookmarkStart w:id="154" w:name="_Toc12988"/>
            <w:bookmarkStart w:id="155" w:name="_Toc434352260"/>
            <w:bookmarkStart w:id="156" w:name="_Toc240165912"/>
            <w:r>
              <w:rPr>
                <w:rFonts w:hint="eastAsia" w:cs="Times New Roman"/>
                <w:color w:val="auto"/>
                <w:kern w:val="2"/>
                <w:sz w:val="21"/>
                <w:szCs w:val="24"/>
                <w:highlight w:val="none"/>
                <w:lang w:val="en-US" w:eastAsia="zh-CN" w:bidi="ar-SA"/>
              </w:rPr>
              <w:t>电磁辐射</w:t>
            </w:r>
          </w:p>
        </w:tc>
        <w:tc>
          <w:tcPr>
            <w:tcW w:w="124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9DC07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w:t>
            </w:r>
          </w:p>
        </w:tc>
        <w:tc>
          <w:tcPr>
            <w:tcW w:w="2993"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97F21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Times New Roman" w:cs="Times New Roman"/>
                <w:color w:val="auto"/>
                <w:kern w:val="2"/>
                <w:sz w:val="21"/>
                <w:szCs w:val="24"/>
                <w:highlight w:val="none"/>
                <w:lang w:val="en-US" w:eastAsia="zh-CN" w:bidi="ar-SA"/>
              </w:rPr>
            </w:pPr>
            <w:r>
              <w:rPr>
                <w:rFonts w:hint="eastAsia" w:eastAsia="Times New Roman" w:cs="Times New Roman"/>
                <w:color w:val="auto"/>
                <w:kern w:val="2"/>
                <w:sz w:val="21"/>
                <w:szCs w:val="24"/>
                <w:highlight w:val="none"/>
                <w:lang w:val="en-US" w:eastAsia="zh-CN" w:bidi="ar-SA"/>
              </w:rPr>
              <w:t>/</w:t>
            </w:r>
          </w:p>
        </w:tc>
      </w:tr>
    </w:tbl>
    <w:p w14:paraId="0FE454A4">
      <w:pPr>
        <w:pageBreakBefore w:val="0"/>
        <w:kinsoku/>
        <w:wordWrap/>
        <w:overflowPunct/>
        <w:bidi w:val="0"/>
        <w:ind w:firstLine="480"/>
        <w:rPr>
          <w:color w:val="auto"/>
          <w:sz w:val="18"/>
          <w:szCs w:val="18"/>
          <w:highlight w:val="none"/>
        </w:rPr>
        <w:sectPr>
          <w:footerReference r:id="rId9" w:type="default"/>
          <w:pgSz w:w="11906" w:h="16838"/>
          <w:pgMar w:top="1474" w:right="1474" w:bottom="1474" w:left="1814" w:header="851" w:footer="992" w:gutter="0"/>
          <w:pgNumType w:fmt="decimal"/>
          <w:cols w:space="425" w:num="1"/>
          <w:docGrid w:linePitch="326" w:charSpace="0"/>
        </w:sectPr>
      </w:pPr>
    </w:p>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14:paraId="170C63CA">
      <w:pPr>
        <w:pStyle w:val="4"/>
        <w:pageBreakBefore w:val="0"/>
        <w:kinsoku/>
        <w:wordWrap/>
        <w:overflowPunct/>
        <w:bidi w:val="0"/>
        <w:rPr>
          <w:rFonts w:hint="eastAsia"/>
          <w:color w:val="auto"/>
          <w:sz w:val="30"/>
          <w:szCs w:val="30"/>
          <w:highlight w:val="none"/>
        </w:rPr>
      </w:pPr>
      <w:bookmarkStart w:id="157" w:name="_Toc9614"/>
      <w:bookmarkStart w:id="158" w:name="_Toc434352264"/>
      <w:bookmarkStart w:id="159" w:name="_Toc27776"/>
      <w:bookmarkStart w:id="160" w:name="_Toc5097679"/>
      <w:bookmarkStart w:id="161" w:name="_Toc144648430"/>
      <w:bookmarkStart w:id="162" w:name="_Toc97383172"/>
      <w:bookmarkStart w:id="163" w:name="_Toc141948809"/>
      <w:bookmarkStart w:id="164" w:name="_Toc5015115"/>
      <w:bookmarkStart w:id="165" w:name="_Toc145148603"/>
      <w:bookmarkStart w:id="166" w:name="_Toc434352265"/>
      <w:bookmarkStart w:id="167" w:name="_Toc79816427"/>
      <w:bookmarkStart w:id="168" w:name="_Toc95064030"/>
      <w:bookmarkStart w:id="169" w:name="_Toc5098262"/>
      <w:bookmarkStart w:id="170" w:name="_Toc94624962"/>
      <w:bookmarkStart w:id="171" w:name="_Toc98819272"/>
      <w:bookmarkStart w:id="172" w:name="_Toc5076827"/>
      <w:bookmarkStart w:id="173" w:name="_Toc240083827"/>
      <w:bookmarkStart w:id="174" w:name="_Toc118368823"/>
      <w:bookmarkStart w:id="175" w:name="_Toc97226709"/>
      <w:bookmarkStart w:id="176" w:name="_Toc131828152"/>
      <w:bookmarkStart w:id="177" w:name="_Toc316558134"/>
      <w:bookmarkStart w:id="178" w:name="_Toc143925542"/>
      <w:bookmarkStart w:id="179" w:name="_Toc142237591"/>
      <w:bookmarkStart w:id="180" w:name="_Toc319045789"/>
      <w:bookmarkStart w:id="181" w:name="_Toc99200667"/>
      <w:bookmarkStart w:id="182" w:name="_Toc96759225"/>
      <w:bookmarkStart w:id="183" w:name="_Toc239760143"/>
      <w:bookmarkStart w:id="184" w:name="_Toc112496132"/>
      <w:bookmarkStart w:id="185" w:name="_Toc239499254"/>
      <w:bookmarkStart w:id="186" w:name="_Toc5015498"/>
      <w:bookmarkStart w:id="187" w:name="_Toc240165916"/>
      <w:bookmarkStart w:id="188" w:name="_Toc142275522"/>
      <w:bookmarkStart w:id="189" w:name="_Toc97391886"/>
      <w:bookmarkStart w:id="190" w:name="_Toc148165610"/>
      <w:bookmarkStart w:id="191" w:name="_Toc5077069"/>
      <w:bookmarkStart w:id="192" w:name="_Toc133987579"/>
      <w:bookmarkStart w:id="193" w:name="_Toc131828151"/>
      <w:r>
        <w:rPr>
          <w:rFonts w:hint="eastAsia"/>
          <w:color w:val="auto"/>
          <w:sz w:val="30"/>
          <w:szCs w:val="30"/>
          <w:highlight w:val="none"/>
        </w:rPr>
        <w:t>2.</w:t>
      </w:r>
      <w:r>
        <w:rPr>
          <w:rFonts w:hint="eastAsia"/>
          <w:color w:val="auto"/>
          <w:sz w:val="30"/>
          <w:szCs w:val="30"/>
          <w:highlight w:val="none"/>
          <w:lang w:val="en-US" w:eastAsia="zh-CN"/>
        </w:rPr>
        <w:t>6</w:t>
      </w:r>
      <w:r>
        <w:rPr>
          <w:rFonts w:hint="eastAsia"/>
          <w:color w:val="auto"/>
          <w:sz w:val="30"/>
          <w:szCs w:val="30"/>
          <w:highlight w:val="none"/>
        </w:rPr>
        <w:t>环境保护目标</w:t>
      </w:r>
      <w:bookmarkEnd w:id="157"/>
      <w:bookmarkEnd w:id="158"/>
      <w:bookmarkEnd w:id="159"/>
    </w:p>
    <w:p w14:paraId="1F70F91A">
      <w:pPr>
        <w:pageBreakBefore w:val="0"/>
        <w:widowControl/>
        <w:kinsoku/>
        <w:wordWrap/>
        <w:overflowPunct/>
        <w:bidi w:val="0"/>
        <w:ind w:right="6" w:firstLine="480" w:firstLineChars="200"/>
        <w:jc w:val="both"/>
        <w:rPr>
          <w:rFonts w:hint="eastAsia" w:ascii="Times New Roman" w:hAnsi="Times New Roman" w:eastAsia="宋体" w:cs="Times New Roman"/>
          <w:color w:val="auto"/>
          <w:szCs w:val="21"/>
          <w:highlight w:val="none"/>
        </w:rPr>
      </w:pPr>
      <w:bookmarkStart w:id="194" w:name="_Toc142237590"/>
      <w:bookmarkStart w:id="195" w:name="_Toc143925541"/>
      <w:bookmarkStart w:id="196" w:name="_Toc239499253"/>
      <w:bookmarkStart w:id="197" w:name="_Toc148165609"/>
      <w:bookmarkStart w:id="198" w:name="_Toc240083826"/>
      <w:bookmarkStart w:id="199" w:name="_Toc240165915"/>
      <w:bookmarkStart w:id="200" w:name="_Toc316558133"/>
      <w:bookmarkStart w:id="201" w:name="_Toc239760142"/>
      <w:bookmarkStart w:id="202" w:name="_Toc319045788"/>
      <w:bookmarkStart w:id="203" w:name="_Toc142275521"/>
      <w:bookmarkStart w:id="204" w:name="_Toc141948808"/>
      <w:bookmarkStart w:id="205" w:name="_Toc144648429"/>
      <w:bookmarkStart w:id="206" w:name="_Toc145148602"/>
      <w:r>
        <w:rPr>
          <w:rFonts w:hint="eastAsia" w:ascii="Times New Roman" w:hAnsi="Times New Roman" w:eastAsia="宋体" w:cs="Times New Roman"/>
          <w:color w:val="auto"/>
          <w:szCs w:val="21"/>
          <w:highlight w:val="none"/>
        </w:rPr>
        <w:t>根据现场调查及《关于精河通用机场环境保护意见的函》</w:t>
      </w:r>
      <w:r>
        <w:rPr>
          <w:rFonts w:hint="eastAsia" w:cs="Times New Roman"/>
          <w:color w:val="auto"/>
          <w:szCs w:val="21"/>
          <w:highlight w:val="none"/>
          <w:lang w:eastAsia="zh-CN"/>
        </w:rPr>
        <w:t>（</w:t>
      </w:r>
      <w:r>
        <w:rPr>
          <w:rFonts w:hint="eastAsia" w:cs="Times New Roman"/>
          <w:color w:val="auto"/>
          <w:szCs w:val="21"/>
          <w:highlight w:val="none"/>
          <w:lang w:val="en-US" w:eastAsia="zh-CN"/>
        </w:rPr>
        <w:t>博州生态环境局精河县分局</w:t>
      </w:r>
      <w:r>
        <w:rPr>
          <w:rFonts w:hint="eastAsia" w:cs="Times New Roman"/>
          <w:color w:val="auto"/>
          <w:szCs w:val="21"/>
          <w:highlight w:val="none"/>
          <w:lang w:eastAsia="zh-CN"/>
        </w:rPr>
        <w:t>）</w:t>
      </w:r>
      <w:r>
        <w:rPr>
          <w:rFonts w:hint="eastAsia" w:ascii="Times New Roman" w:hAnsi="Times New Roman" w:eastAsia="宋体" w:cs="Times New Roman"/>
          <w:color w:val="auto"/>
          <w:szCs w:val="21"/>
          <w:highlight w:val="none"/>
        </w:rPr>
        <w:t>，本项目不涉及国家公园、自然保护区、自然公园等自然保护地、世界自然遗产、生态保护红线等法定生态保护区域；不涉及重要物种的天然集中分布区、栖息地、重要水生生物的产卵场、索饵场、越冬场和洄游通道，迁徙鸟类的重要繁殖地、停歇地、越冬地以及野生动物迁徙通道等重要生境</w:t>
      </w:r>
      <w:r>
        <w:rPr>
          <w:rFonts w:hint="eastAsia" w:cs="Times New Roman"/>
          <w:color w:val="auto"/>
          <w:szCs w:val="21"/>
          <w:highlight w:val="none"/>
          <w:lang w:eastAsia="zh-CN"/>
        </w:rPr>
        <w:t>。</w:t>
      </w:r>
      <w:r>
        <w:rPr>
          <w:rFonts w:hint="eastAsia" w:cs="Times New Roman"/>
          <w:color w:val="auto"/>
          <w:szCs w:val="21"/>
          <w:highlight w:val="none"/>
          <w:lang w:val="en-US" w:eastAsia="zh-CN"/>
        </w:rPr>
        <w:t>项目距离最近的红线约10.7km，红线名称为艾比湖流域生物多样性维护与防风固沙生态保护红线区</w:t>
      </w:r>
      <w:r>
        <w:rPr>
          <w:rFonts w:hint="eastAsia" w:cs="Times New Roman"/>
          <w:color w:val="auto"/>
          <w:szCs w:val="21"/>
          <w:highlight w:val="none"/>
          <w:lang w:eastAsia="zh-CN"/>
        </w:rPr>
        <w:t>。</w:t>
      </w:r>
      <w:r>
        <w:rPr>
          <w:rFonts w:hint="eastAsia" w:cs="Times New Roman"/>
          <w:color w:val="auto"/>
          <w:szCs w:val="21"/>
          <w:highlight w:val="none"/>
          <w:lang w:val="en-US" w:eastAsia="zh-CN"/>
        </w:rPr>
        <w:t>评价区域主要的生态环境</w:t>
      </w:r>
      <w:r>
        <w:rPr>
          <w:rFonts w:hint="eastAsia" w:ascii="Times New Roman" w:hAnsi="Times New Roman" w:eastAsia="宋体" w:cs="Times New Roman"/>
          <w:color w:val="auto"/>
          <w:szCs w:val="21"/>
          <w:highlight w:val="none"/>
        </w:rPr>
        <w:t>保护目标</w:t>
      </w:r>
      <w:r>
        <w:rPr>
          <w:rFonts w:hint="eastAsia" w:cs="Times New Roman"/>
          <w:color w:val="auto"/>
          <w:szCs w:val="21"/>
          <w:highlight w:val="none"/>
          <w:lang w:val="en-US" w:eastAsia="zh-CN"/>
        </w:rPr>
        <w:t>为</w:t>
      </w:r>
      <w:r>
        <w:rPr>
          <w:rFonts w:hint="eastAsia" w:ascii="Times New Roman" w:hAnsi="Times New Roman" w:eastAsia="宋体" w:cs="Times New Roman"/>
          <w:color w:val="auto"/>
          <w:szCs w:val="21"/>
          <w:highlight w:val="none"/>
        </w:rPr>
        <w:t>公益林、永久基本农田、分散式饮用水水源井</w:t>
      </w:r>
      <w:r>
        <w:rPr>
          <w:rFonts w:hint="eastAsia" w:cs="Times New Roman"/>
          <w:color w:val="auto"/>
          <w:szCs w:val="21"/>
          <w:highlight w:val="none"/>
          <w:lang w:val="en-US" w:eastAsia="zh-CN"/>
        </w:rPr>
        <w:t>以及重要物种等</w:t>
      </w:r>
      <w:r>
        <w:rPr>
          <w:rFonts w:hint="eastAsia" w:ascii="Times New Roman" w:hAnsi="Times New Roman" w:eastAsia="宋体" w:cs="Times New Roman"/>
          <w:color w:val="auto"/>
          <w:szCs w:val="21"/>
          <w:highlight w:val="none"/>
        </w:rPr>
        <w:t>。</w:t>
      </w:r>
    </w:p>
    <w:p w14:paraId="7DED6EB6">
      <w:pPr>
        <w:pStyle w:val="5"/>
        <w:pageBreakBefore w:val="0"/>
        <w:kinsoku/>
        <w:wordWrap/>
        <w:overflowPunct/>
        <w:bidi w:val="0"/>
        <w:rPr>
          <w:rFonts w:hint="eastAsia" w:ascii="黑体" w:hAnsi="黑体"/>
          <w:color w:val="auto"/>
          <w:sz w:val="28"/>
          <w:szCs w:val="28"/>
          <w:highlight w:val="none"/>
          <w:lang w:val="en-US" w:eastAsia="zh-CN"/>
        </w:rPr>
      </w:pPr>
      <w:r>
        <w:rPr>
          <w:rFonts w:hint="eastAsia" w:ascii="黑体" w:hAnsi="黑体"/>
          <w:color w:val="auto"/>
          <w:sz w:val="28"/>
          <w:szCs w:val="28"/>
          <w:highlight w:val="none"/>
          <w:lang w:val="en-US" w:eastAsia="zh-CN"/>
        </w:rPr>
        <w:t>2.6.1声环境保护目标</w:t>
      </w:r>
    </w:p>
    <w:p w14:paraId="62D06601">
      <w:pPr>
        <w:pageBreakBefore w:val="0"/>
        <w:widowControl/>
        <w:kinsoku/>
        <w:wordWrap/>
        <w:overflowPunct/>
        <w:bidi w:val="0"/>
        <w:ind w:right="6" w:firstLine="480" w:firstLineChars="200"/>
        <w:jc w:val="both"/>
        <w:rPr>
          <w:rFonts w:hint="default" w:cs="Times New Roman"/>
          <w:color w:val="auto"/>
          <w:szCs w:val="21"/>
          <w:highlight w:val="none"/>
          <w:lang w:val="en-US" w:eastAsia="zh-CN"/>
        </w:rPr>
      </w:pPr>
      <w:r>
        <w:rPr>
          <w:rFonts w:hint="eastAsia" w:cs="Times New Roman"/>
          <w:color w:val="auto"/>
          <w:szCs w:val="21"/>
          <w:highlight w:val="none"/>
          <w:lang w:val="en-US" w:eastAsia="zh-CN"/>
        </w:rPr>
        <w:t>根据《环境影响评价技术导则 民用机场建设工程》（HJ87-2023），“声环境保护目标应包括评价范围内以用于居住、科学研究、医疗卫生、文化教育、机关团体办公和社会福利等的建筑物为主的噪声敏感建筑物集中区域以及其他分散的噪声敏感建筑物”。经现场调查，本项目评价范围内声环境保护目标主要为牧业四队居住区及周边散户。</w:t>
      </w:r>
    </w:p>
    <w:p w14:paraId="6AAC7F2D">
      <w:pPr>
        <w:pageBreakBefore w:val="0"/>
        <w:widowControl/>
        <w:kinsoku/>
        <w:wordWrap/>
        <w:overflowPunct/>
        <w:bidi w:val="0"/>
        <w:ind w:right="6" w:firstLine="480" w:firstLineChars="200"/>
        <w:jc w:val="both"/>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根据</w:t>
      </w:r>
      <w:r>
        <w:rPr>
          <w:rFonts w:ascii="Times New Roman" w:hAnsi="Times New Roman" w:eastAsia="宋体" w:cs="Times New Roman"/>
          <w:color w:val="auto"/>
          <w:szCs w:val="21"/>
          <w:highlight w:val="none"/>
        </w:rPr>
        <w:t>《环境影响评价技术导则 声环境》（HJ2.4-2021）</w:t>
      </w:r>
      <w:r>
        <w:rPr>
          <w:rFonts w:hint="eastAsia" w:ascii="Times New Roman" w:hAnsi="Times New Roman" w:eastAsia="宋体" w:cs="Times New Roman"/>
          <w:color w:val="auto"/>
          <w:szCs w:val="21"/>
          <w:highlight w:val="none"/>
        </w:rPr>
        <w:t>，声环境保护目标应明确跑道一端为声环境保护目标坐标的原点，并确定正负方向，确定跑道两侧的正负方向。</w:t>
      </w:r>
      <w:r>
        <w:rPr>
          <w:rFonts w:hint="eastAsia" w:cs="Times New Roman"/>
          <w:color w:val="auto"/>
          <w:szCs w:val="21"/>
          <w:highlight w:val="none"/>
          <w:lang w:val="en-US" w:eastAsia="zh-CN"/>
        </w:rPr>
        <w:t>评价对象精河通用机场的跑道呈南北向分布，因此</w:t>
      </w:r>
      <w:r>
        <w:rPr>
          <w:rFonts w:ascii="Times New Roman" w:hAnsi="Times New Roman" w:eastAsia="宋体" w:cs="Times New Roman"/>
          <w:color w:val="auto"/>
          <w:szCs w:val="21"/>
          <w:highlight w:val="none"/>
        </w:rPr>
        <w:t>本</w:t>
      </w:r>
      <w:r>
        <w:rPr>
          <w:rFonts w:hint="eastAsia" w:ascii="Times New Roman" w:hAnsi="Times New Roman" w:eastAsia="宋体" w:cs="Times New Roman"/>
          <w:color w:val="auto"/>
          <w:szCs w:val="21"/>
          <w:highlight w:val="none"/>
        </w:rPr>
        <w:t>次评价将跑道</w:t>
      </w:r>
      <w:r>
        <w:rPr>
          <w:rFonts w:hint="eastAsia" w:cs="Times New Roman"/>
          <w:color w:val="auto"/>
          <w:szCs w:val="21"/>
          <w:highlight w:val="none"/>
          <w:lang w:val="en-US" w:eastAsia="zh-CN"/>
        </w:rPr>
        <w:t>南端</w:t>
      </w:r>
      <w:r>
        <w:rPr>
          <w:rFonts w:hint="eastAsia" w:ascii="Times New Roman" w:hAnsi="Times New Roman" w:eastAsia="宋体" w:cs="Times New Roman"/>
          <w:color w:val="auto"/>
          <w:szCs w:val="21"/>
          <w:highlight w:val="none"/>
        </w:rPr>
        <w:t>作为坐标原点</w:t>
      </w:r>
      <w:r>
        <w:rPr>
          <w:rFonts w:hint="eastAsia" w:cs="Times New Roman"/>
          <w:color w:val="auto"/>
          <w:szCs w:val="21"/>
          <w:highlight w:val="none"/>
          <w:lang w:eastAsia="zh-CN"/>
        </w:rPr>
        <w:t>、</w:t>
      </w:r>
      <w:r>
        <w:rPr>
          <w:rFonts w:ascii="Times New Roman" w:hAnsi="Times New Roman" w:eastAsia="宋体" w:cs="Times New Roman"/>
          <w:color w:val="auto"/>
          <w:szCs w:val="21"/>
          <w:highlight w:val="none"/>
        </w:rPr>
        <w:t>以沿跑道方向为</w:t>
      </w:r>
      <w:r>
        <w:rPr>
          <w:rFonts w:hint="eastAsia" w:cs="Times New Roman"/>
          <w:color w:val="auto"/>
          <w:szCs w:val="21"/>
          <w:highlight w:val="none"/>
          <w:lang w:val="en-US" w:eastAsia="zh-CN"/>
        </w:rPr>
        <w:t>Y</w:t>
      </w:r>
      <w:r>
        <w:rPr>
          <w:rFonts w:ascii="Times New Roman" w:hAnsi="Times New Roman" w:eastAsia="宋体" w:cs="Times New Roman"/>
          <w:color w:val="auto"/>
          <w:szCs w:val="21"/>
          <w:highlight w:val="none"/>
        </w:rPr>
        <w:t>轴</w:t>
      </w:r>
      <w:r>
        <w:rPr>
          <w:rFonts w:hint="eastAsia" w:cs="Times New Roman"/>
          <w:color w:val="auto"/>
          <w:szCs w:val="21"/>
          <w:highlight w:val="none"/>
          <w:lang w:eastAsia="zh-CN"/>
        </w:rPr>
        <w:t>（</w:t>
      </w:r>
      <w:r>
        <w:rPr>
          <w:rFonts w:hint="eastAsia" w:cs="Times New Roman"/>
          <w:color w:val="auto"/>
          <w:szCs w:val="21"/>
          <w:highlight w:val="none"/>
          <w:lang w:val="en-US" w:eastAsia="zh-CN"/>
        </w:rPr>
        <w:t>北正/南负</w:t>
      </w:r>
      <w:r>
        <w:rPr>
          <w:rFonts w:hint="eastAsia" w:cs="Times New Roman"/>
          <w:color w:val="auto"/>
          <w:szCs w:val="21"/>
          <w:highlight w:val="none"/>
          <w:lang w:eastAsia="zh-CN"/>
        </w:rPr>
        <w:t>）、</w:t>
      </w:r>
      <w:r>
        <w:rPr>
          <w:rFonts w:ascii="Times New Roman" w:hAnsi="Times New Roman" w:eastAsia="宋体" w:cs="Times New Roman"/>
          <w:color w:val="auto"/>
          <w:szCs w:val="21"/>
          <w:highlight w:val="none"/>
        </w:rPr>
        <w:t>垂直跑道方向为</w:t>
      </w:r>
      <w:r>
        <w:rPr>
          <w:rFonts w:hint="eastAsia" w:cs="Times New Roman"/>
          <w:color w:val="auto"/>
          <w:szCs w:val="21"/>
          <w:highlight w:val="none"/>
          <w:lang w:val="en-US" w:eastAsia="zh-CN"/>
        </w:rPr>
        <w:t>X</w:t>
      </w:r>
      <w:r>
        <w:rPr>
          <w:rFonts w:ascii="Times New Roman" w:hAnsi="Times New Roman" w:eastAsia="宋体" w:cs="Times New Roman"/>
          <w:color w:val="auto"/>
          <w:szCs w:val="21"/>
          <w:highlight w:val="none"/>
        </w:rPr>
        <w:t>轴</w:t>
      </w:r>
      <w:r>
        <w:rPr>
          <w:rFonts w:hint="eastAsia" w:cs="Times New Roman"/>
          <w:color w:val="auto"/>
          <w:szCs w:val="21"/>
          <w:highlight w:val="none"/>
          <w:lang w:eastAsia="zh-CN"/>
        </w:rPr>
        <w:t>（</w:t>
      </w:r>
      <w:r>
        <w:rPr>
          <w:rFonts w:hint="eastAsia" w:cs="Times New Roman"/>
          <w:color w:val="auto"/>
          <w:szCs w:val="21"/>
          <w:highlight w:val="none"/>
          <w:lang w:val="en-US" w:eastAsia="zh-CN"/>
        </w:rPr>
        <w:t>东正/西负</w:t>
      </w:r>
      <w:r>
        <w:rPr>
          <w:rFonts w:hint="eastAsia" w:cs="Times New Roman"/>
          <w:color w:val="auto"/>
          <w:szCs w:val="21"/>
          <w:highlight w:val="none"/>
          <w:lang w:eastAsia="zh-CN"/>
        </w:rPr>
        <w:t>）</w:t>
      </w:r>
      <w:r>
        <w:rPr>
          <w:rFonts w:ascii="Times New Roman" w:hAnsi="Times New Roman" w:eastAsia="宋体" w:cs="Times New Roman"/>
          <w:color w:val="auto"/>
          <w:szCs w:val="21"/>
          <w:highlight w:val="none"/>
        </w:rPr>
        <w:t>，建立二维坐标系。</w:t>
      </w:r>
      <w:r>
        <w:rPr>
          <w:rFonts w:hint="eastAsia" w:ascii="Times New Roman" w:hAnsi="Times New Roman" w:eastAsia="宋体" w:cs="Times New Roman"/>
          <w:color w:val="auto"/>
          <w:szCs w:val="21"/>
          <w:highlight w:val="none"/>
        </w:rPr>
        <w:t>如图2.6-1所示。</w:t>
      </w:r>
    </w:p>
    <w:p w14:paraId="5716C949">
      <w:pPr>
        <w:pageBreakBefore w:val="0"/>
        <w:widowControl/>
        <w:kinsoku/>
        <w:wordWrap/>
        <w:overflowPunct/>
        <w:bidi w:val="0"/>
        <w:ind w:right="6"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以跑道南、</w:t>
      </w:r>
      <w:r>
        <w:rPr>
          <w:rFonts w:hint="default" w:ascii="Times New Roman" w:hAnsi="Times New Roman" w:cs="Times New Roman"/>
          <w:color w:val="auto"/>
          <w:szCs w:val="21"/>
          <w:highlight w:val="none"/>
          <w:lang w:eastAsia="zh-CN"/>
        </w:rPr>
        <w:t>北两端端点垂线为界，将平面划分为三个区域（Ⅰ区、Ⅱ区、Ⅲ区）。如图2.6-1所示</w:t>
      </w:r>
      <w:r>
        <w:rPr>
          <w:rFonts w:hint="eastAsia" w:cs="Times New Roman"/>
          <w:color w:val="auto"/>
          <w:szCs w:val="21"/>
          <w:highlight w:val="none"/>
          <w:lang w:eastAsia="zh-CN"/>
        </w:rPr>
        <w:t>。</w:t>
      </w:r>
    </w:p>
    <w:p w14:paraId="2C27E943">
      <w:pPr>
        <w:pageBreakBefore w:val="0"/>
        <w:widowControl/>
        <w:kinsoku/>
        <w:wordWrap/>
        <w:overflowPunct/>
        <w:bidi w:val="0"/>
        <w:ind w:right="6" w:firstLine="480" w:firstLineChars="200"/>
        <w:jc w:val="both"/>
        <w:rPr>
          <w:rFonts w:hint="eastAsia" w:ascii="Times New Roman" w:hAnsi="Times New Roman" w:eastAsia="宋体" w:cs="Times New Roman"/>
          <w:color w:val="auto"/>
          <w:szCs w:val="21"/>
          <w:highlight w:val="none"/>
          <w:lang w:eastAsia="zh-CN"/>
        </w:rPr>
      </w:pPr>
      <w:r>
        <w:rPr>
          <w:rFonts w:hint="eastAsia" w:cs="Times New Roman"/>
          <w:color w:val="auto"/>
          <w:szCs w:val="21"/>
          <w:highlight w:val="none"/>
          <w:lang w:eastAsia="zh-CN"/>
        </w:rPr>
        <w:t>评价范围内声环境保护目标见表2.6-1。</w:t>
      </w:r>
    </w:p>
    <w:p w14:paraId="661E1CBF">
      <w:pPr>
        <w:pageBreakBefore w:val="0"/>
        <w:widowControl w:val="0"/>
        <w:kinsoku/>
        <w:wordWrap/>
        <w:overflowPunct/>
        <w:bidi w:val="0"/>
        <w:spacing w:before="120" w:beforeLines="50" w:after="120" w:afterLines="50" w:line="240" w:lineRule="auto"/>
        <w:ind w:left="0" w:leftChars="0" w:firstLine="0" w:firstLineChars="0"/>
        <w:jc w:val="center"/>
        <w:rPr>
          <w:rFonts w:ascii="Times New Roman" w:hAnsi="Times New Roman" w:eastAsia="黑体" w:cs="Times New Roman"/>
          <w:color w:val="auto"/>
          <w:kern w:val="2"/>
          <w:sz w:val="21"/>
          <w:szCs w:val="18"/>
          <w:highlight w:val="none"/>
          <w:lang w:val="en-US" w:eastAsia="zh-CN" w:bidi="ar-SA"/>
        </w:rPr>
        <w:sectPr>
          <w:pgSz w:w="11906" w:h="16838"/>
          <w:pgMar w:top="1474" w:right="1474" w:bottom="1474" w:left="1814" w:header="851" w:footer="992" w:gutter="0"/>
          <w:pgNumType w:fmt="decimal"/>
          <w:cols w:space="425" w:num="1"/>
          <w:docGrid w:linePitch="326" w:charSpace="0"/>
        </w:sectPr>
      </w:pPr>
    </w:p>
    <w:p w14:paraId="44C34E2F">
      <w:pPr>
        <w:pStyle w:val="5"/>
        <w:pageBreakBefore w:val="0"/>
        <w:kinsoku/>
        <w:wordWrap/>
        <w:overflowPunct/>
        <w:bidi w:val="0"/>
        <w:rPr>
          <w:rFonts w:hint="eastAsia" w:ascii="黑体" w:hAnsi="黑体"/>
          <w:color w:val="auto"/>
          <w:sz w:val="28"/>
          <w:szCs w:val="28"/>
          <w:highlight w:val="none"/>
          <w:lang w:val="en-US" w:eastAsia="zh-CN"/>
        </w:rPr>
      </w:pPr>
      <w:r>
        <w:rPr>
          <w:rFonts w:hint="eastAsia" w:ascii="黑体" w:hAnsi="黑体"/>
          <w:color w:val="auto"/>
          <w:sz w:val="28"/>
          <w:szCs w:val="28"/>
          <w:highlight w:val="none"/>
          <w:lang w:val="en-US" w:eastAsia="zh-CN"/>
        </w:rPr>
        <w:t>2.6.2生态保护目标</w:t>
      </w:r>
    </w:p>
    <w:p w14:paraId="5281EF0B">
      <w:pPr>
        <w:pageBreakBefore w:val="0"/>
        <w:widowControl/>
        <w:kinsoku/>
        <w:wordWrap/>
        <w:overflowPunct/>
        <w:bidi w:val="0"/>
        <w:ind w:right="6" w:firstLine="480" w:firstLineChars="200"/>
        <w:jc w:val="both"/>
        <w:rPr>
          <w:rFonts w:hint="eastAsia" w:cs="Times New Roman"/>
          <w:bCs/>
          <w:color w:val="auto"/>
          <w:szCs w:val="21"/>
          <w:highlight w:val="none"/>
          <w:lang w:val="en-US" w:eastAsia="zh-CN"/>
        </w:rPr>
      </w:pPr>
      <w:bookmarkStart w:id="207" w:name="_Hlk38643276"/>
      <w:r>
        <w:rPr>
          <w:rFonts w:hint="eastAsia" w:cs="Times New Roman"/>
          <w:bCs/>
          <w:color w:val="auto"/>
          <w:szCs w:val="21"/>
          <w:highlight w:val="none"/>
          <w:lang w:val="en-US" w:eastAsia="zh-CN"/>
        </w:rPr>
        <w:t>根据《环境影响评价技术导则 民用机场建设工程》（HJ87-2023），“生态保护目标应包括评价范围内受影响的重要物种、生态敏感区以及其他需要保护的物种、种群、生物群落及生态空间等”。经现场调查，本项目生态保护目标见表2.6-2。</w:t>
      </w:r>
    </w:p>
    <w:p w14:paraId="7AEDF5D9">
      <w:pPr>
        <w:pageBreakBefore w:val="0"/>
        <w:widowControl/>
        <w:kinsoku/>
        <w:wordWrap/>
        <w:overflowPunct/>
        <w:bidi w:val="0"/>
        <w:spacing w:line="360" w:lineRule="auto"/>
        <w:ind w:left="0" w:leftChars="0" w:right="0" w:rightChars="0" w:firstLine="0" w:firstLineChars="0"/>
        <w:jc w:val="center"/>
        <w:rPr>
          <w:rFonts w:hint="eastAsia" w:ascii="黑体" w:hAnsi="黑体" w:eastAsia="黑体" w:cs="黑体"/>
          <w:b w:val="0"/>
          <w:bCs/>
          <w:color w:val="auto"/>
          <w:kern w:val="0"/>
          <w:sz w:val="21"/>
          <w:szCs w:val="18"/>
          <w:highlight w:val="none"/>
          <w:lang w:val="en-US" w:eastAsia="zh-CN"/>
        </w:rPr>
      </w:pPr>
      <w:r>
        <w:rPr>
          <w:rFonts w:hint="eastAsia" w:ascii="黑体" w:hAnsi="黑体" w:eastAsia="黑体" w:cs="黑体"/>
          <w:b w:val="0"/>
          <w:bCs/>
          <w:color w:val="auto"/>
          <w:kern w:val="0"/>
          <w:sz w:val="21"/>
          <w:szCs w:val="18"/>
          <w:highlight w:val="none"/>
        </w:rPr>
        <w:t>表2.</w:t>
      </w:r>
      <w:r>
        <w:rPr>
          <w:rFonts w:hint="eastAsia" w:ascii="黑体" w:hAnsi="黑体" w:eastAsia="黑体" w:cs="黑体"/>
          <w:b w:val="0"/>
          <w:bCs/>
          <w:color w:val="auto"/>
          <w:kern w:val="0"/>
          <w:sz w:val="21"/>
          <w:szCs w:val="18"/>
          <w:highlight w:val="none"/>
          <w:lang w:val="en-US" w:eastAsia="zh-CN"/>
        </w:rPr>
        <w:t>6</w:t>
      </w:r>
      <w:r>
        <w:rPr>
          <w:rFonts w:hint="eastAsia" w:ascii="黑体" w:hAnsi="黑体" w:eastAsia="黑体" w:cs="黑体"/>
          <w:b w:val="0"/>
          <w:bCs/>
          <w:color w:val="auto"/>
          <w:kern w:val="0"/>
          <w:sz w:val="21"/>
          <w:szCs w:val="18"/>
          <w:highlight w:val="none"/>
        </w:rPr>
        <w:t>-</w:t>
      </w:r>
      <w:r>
        <w:rPr>
          <w:rFonts w:hint="eastAsia" w:ascii="黑体" w:hAnsi="黑体" w:eastAsia="黑体" w:cs="黑体"/>
          <w:b w:val="0"/>
          <w:bCs/>
          <w:color w:val="auto"/>
          <w:kern w:val="0"/>
          <w:sz w:val="21"/>
          <w:szCs w:val="18"/>
          <w:highlight w:val="none"/>
          <w:lang w:val="en-US" w:eastAsia="zh-CN"/>
        </w:rPr>
        <w:t>2</w:t>
      </w:r>
      <w:r>
        <w:rPr>
          <w:rFonts w:hint="eastAsia" w:ascii="黑体" w:hAnsi="黑体" w:eastAsia="黑体" w:cs="黑体"/>
          <w:b w:val="0"/>
          <w:bCs/>
          <w:color w:val="auto"/>
          <w:kern w:val="0"/>
          <w:sz w:val="21"/>
          <w:szCs w:val="18"/>
          <w:highlight w:val="none"/>
        </w:rPr>
        <w:t xml:space="preserve">  生态保护目标</w:t>
      </w:r>
      <w:r>
        <w:rPr>
          <w:rFonts w:hint="eastAsia" w:ascii="黑体" w:hAnsi="黑体" w:eastAsia="黑体" w:cs="黑体"/>
          <w:b w:val="0"/>
          <w:bCs/>
          <w:color w:val="auto"/>
          <w:kern w:val="0"/>
          <w:sz w:val="21"/>
          <w:szCs w:val="18"/>
          <w:highlight w:val="none"/>
          <w:lang w:val="en-US" w:eastAsia="zh-CN"/>
        </w:rPr>
        <w:t>一览表</w:t>
      </w:r>
    </w:p>
    <w:tbl>
      <w:tblPr>
        <w:tblStyle w:val="8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774"/>
        <w:gridCol w:w="942"/>
        <w:gridCol w:w="2959"/>
        <w:gridCol w:w="3355"/>
      </w:tblGrid>
      <w:tr w14:paraId="79BE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452" w:type="pct"/>
            <w:vAlign w:val="center"/>
          </w:tcPr>
          <w:p w14:paraId="593EB5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bidi="ar-SA"/>
              </w:rPr>
              <w:t>环境要素</w:t>
            </w:r>
          </w:p>
        </w:tc>
        <w:tc>
          <w:tcPr>
            <w:tcW w:w="971" w:type="pct"/>
            <w:gridSpan w:val="2"/>
            <w:vAlign w:val="center"/>
          </w:tcPr>
          <w:p w14:paraId="559241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sz w:val="21"/>
                <w:szCs w:val="21"/>
                <w:highlight w:val="none"/>
                <w:lang w:val="en-US" w:eastAsia="zh-CN" w:bidi="ar-SA"/>
              </w:rPr>
            </w:pPr>
            <w:r>
              <w:rPr>
                <w:rFonts w:hint="eastAsia" w:ascii="Times New Roman" w:hAnsi="Times New Roman" w:eastAsia="宋体" w:cs="Times New Roman"/>
                <w:color w:val="auto"/>
                <w:spacing w:val="0"/>
                <w:sz w:val="21"/>
                <w:szCs w:val="21"/>
                <w:highlight w:val="none"/>
                <w:lang w:val="en-US" w:eastAsia="zh-CN" w:bidi="ar-SA"/>
              </w:rPr>
              <w:t>主要保护对象</w:t>
            </w:r>
          </w:p>
        </w:tc>
        <w:tc>
          <w:tcPr>
            <w:tcW w:w="1675" w:type="pct"/>
            <w:vAlign w:val="center"/>
          </w:tcPr>
          <w:p w14:paraId="17D016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bidi="ar-SA"/>
              </w:rPr>
              <w:t>与机场的位置关系/环保目标特征</w:t>
            </w:r>
          </w:p>
        </w:tc>
        <w:tc>
          <w:tcPr>
            <w:tcW w:w="1899" w:type="pct"/>
            <w:vAlign w:val="center"/>
          </w:tcPr>
          <w:p w14:paraId="7D299C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bidi="ar-SA"/>
              </w:rPr>
              <w:t>保护要求</w:t>
            </w:r>
          </w:p>
        </w:tc>
      </w:tr>
      <w:tr w14:paraId="361D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452" w:type="pct"/>
            <w:vMerge w:val="restart"/>
            <w:vAlign w:val="center"/>
          </w:tcPr>
          <w:p w14:paraId="3267C4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bidi="ar-SA"/>
              </w:rPr>
              <w:t>生态环境</w:t>
            </w:r>
          </w:p>
        </w:tc>
        <w:tc>
          <w:tcPr>
            <w:tcW w:w="971" w:type="pct"/>
            <w:gridSpan w:val="2"/>
            <w:vAlign w:val="center"/>
          </w:tcPr>
          <w:p w14:paraId="013B16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sz w:val="21"/>
                <w:szCs w:val="21"/>
                <w:highlight w:val="none"/>
                <w:lang w:val="en-US" w:eastAsia="zh-CN" w:bidi="ar-SA"/>
              </w:rPr>
            </w:pPr>
            <w:r>
              <w:rPr>
                <w:rFonts w:hint="eastAsia" w:ascii="Times New Roman" w:hAnsi="Times New Roman" w:eastAsia="宋体" w:cs="Times New Roman"/>
                <w:color w:val="auto"/>
                <w:spacing w:val="0"/>
                <w:sz w:val="21"/>
                <w:szCs w:val="21"/>
                <w:highlight w:val="none"/>
                <w:lang w:val="en-US" w:eastAsia="zh-CN" w:bidi="ar-SA"/>
              </w:rPr>
              <w:t>重要物种</w:t>
            </w:r>
          </w:p>
        </w:tc>
        <w:tc>
          <w:tcPr>
            <w:tcW w:w="1675" w:type="pct"/>
            <w:vAlign w:val="center"/>
          </w:tcPr>
          <w:p w14:paraId="7C9662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spacing w:val="0"/>
                <w:sz w:val="21"/>
                <w:szCs w:val="21"/>
                <w:highlight w:val="none"/>
                <w:lang w:val="en-US" w:eastAsia="zh-CN" w:bidi="ar-SA"/>
              </w:rPr>
            </w:pPr>
            <w:r>
              <w:rPr>
                <w:rFonts w:hint="eastAsia" w:ascii="Times New Roman" w:hAnsi="Times New Roman" w:eastAsia="宋体" w:cs="Times New Roman"/>
                <w:color w:val="auto"/>
                <w:spacing w:val="-6"/>
                <w:sz w:val="21"/>
                <w:szCs w:val="21"/>
                <w:highlight w:val="none"/>
                <w:lang w:val="en-US" w:eastAsia="zh-CN" w:bidi="ar-SA"/>
              </w:rPr>
              <w:t>评价区域内</w:t>
            </w:r>
            <w:r>
              <w:rPr>
                <w:rFonts w:hint="eastAsia" w:cs="Times New Roman"/>
                <w:color w:val="auto"/>
                <w:spacing w:val="-6"/>
                <w:sz w:val="21"/>
                <w:szCs w:val="21"/>
                <w:highlight w:val="none"/>
                <w:lang w:val="en-US" w:eastAsia="zh-CN" w:bidi="ar-SA"/>
              </w:rPr>
              <w:t>的国家、自治区重点</w:t>
            </w:r>
            <w:r>
              <w:rPr>
                <w:rFonts w:hint="eastAsia" w:ascii="Times New Roman" w:hAnsi="Times New Roman" w:eastAsia="宋体" w:cs="Times New Roman"/>
                <w:color w:val="auto"/>
                <w:spacing w:val="-6"/>
                <w:sz w:val="21"/>
                <w:szCs w:val="21"/>
                <w:highlight w:val="none"/>
                <w:lang w:val="en-US" w:eastAsia="zh-CN" w:bidi="ar-SA"/>
              </w:rPr>
              <w:t>保护</w:t>
            </w:r>
            <w:r>
              <w:rPr>
                <w:rFonts w:hint="eastAsia" w:cs="Times New Roman"/>
                <w:color w:val="auto"/>
                <w:spacing w:val="-6"/>
                <w:sz w:val="21"/>
                <w:szCs w:val="21"/>
                <w:highlight w:val="none"/>
                <w:lang w:val="en-US" w:eastAsia="zh-CN" w:bidi="ar-SA"/>
              </w:rPr>
              <w:t>野生</w:t>
            </w:r>
            <w:r>
              <w:rPr>
                <w:rFonts w:hint="eastAsia" w:ascii="Times New Roman" w:hAnsi="Times New Roman" w:eastAsia="宋体" w:cs="Times New Roman"/>
                <w:color w:val="auto"/>
                <w:spacing w:val="-6"/>
                <w:sz w:val="21"/>
                <w:szCs w:val="21"/>
                <w:highlight w:val="none"/>
                <w:lang w:val="en-US" w:eastAsia="zh-CN" w:bidi="ar-SA"/>
              </w:rPr>
              <w:t>动物及其生境等</w:t>
            </w:r>
          </w:p>
        </w:tc>
        <w:tc>
          <w:tcPr>
            <w:tcW w:w="1899" w:type="pct"/>
            <w:vAlign w:val="center"/>
          </w:tcPr>
          <w:p w14:paraId="0EDF97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spacing w:val="0"/>
                <w:sz w:val="21"/>
                <w:szCs w:val="21"/>
                <w:highlight w:val="none"/>
                <w:lang w:val="en-US" w:eastAsia="zh-CN" w:bidi="ar-SA"/>
              </w:rPr>
            </w:pPr>
            <w:r>
              <w:rPr>
                <w:rFonts w:hint="eastAsia" w:ascii="Times New Roman" w:hAnsi="Times New Roman" w:eastAsia="宋体" w:cs="Times New Roman"/>
                <w:color w:val="auto"/>
                <w:spacing w:val="0"/>
                <w:sz w:val="21"/>
                <w:szCs w:val="21"/>
                <w:highlight w:val="none"/>
                <w:lang w:val="en-US" w:eastAsia="zh-CN" w:bidi="ar-SA"/>
              </w:rPr>
              <w:t>《中华人民共和国陆生野生动物保护实施条例》</w:t>
            </w:r>
            <w:r>
              <w:rPr>
                <w:rFonts w:hint="eastAsia" w:cs="Times New Roman"/>
                <w:color w:val="auto"/>
                <w:spacing w:val="0"/>
                <w:sz w:val="21"/>
                <w:szCs w:val="21"/>
                <w:highlight w:val="none"/>
                <w:lang w:val="en-US" w:eastAsia="zh-CN" w:bidi="ar-SA"/>
              </w:rPr>
              <w:t>；</w:t>
            </w:r>
            <w:r>
              <w:rPr>
                <w:rFonts w:hint="eastAsia" w:ascii="Times New Roman" w:hAnsi="Times New Roman" w:eastAsia="宋体" w:cs="Times New Roman"/>
                <w:color w:val="auto"/>
                <w:spacing w:val="0"/>
                <w:sz w:val="21"/>
                <w:szCs w:val="21"/>
                <w:highlight w:val="none"/>
                <w:lang w:val="en-US" w:eastAsia="zh-CN" w:bidi="ar-SA"/>
              </w:rPr>
              <w:t>做好飞行区的鸟情控制</w:t>
            </w:r>
            <w:r>
              <w:rPr>
                <w:rFonts w:hint="eastAsia" w:cs="Times New Roman"/>
                <w:color w:val="auto"/>
                <w:spacing w:val="0"/>
                <w:sz w:val="21"/>
                <w:szCs w:val="21"/>
                <w:highlight w:val="none"/>
                <w:lang w:val="en-US" w:eastAsia="zh-CN" w:bidi="ar-SA"/>
              </w:rPr>
              <w:t>，落实驱鸟措施，防范鸟击</w:t>
            </w:r>
          </w:p>
        </w:tc>
      </w:tr>
      <w:tr w14:paraId="6BD4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blHeader/>
          <w:jc w:val="center"/>
        </w:trPr>
        <w:tc>
          <w:tcPr>
            <w:tcW w:w="452" w:type="pct"/>
            <w:vMerge w:val="continue"/>
            <w:vAlign w:val="center"/>
          </w:tcPr>
          <w:p w14:paraId="4E5BCB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sz w:val="21"/>
                <w:szCs w:val="21"/>
                <w:highlight w:val="none"/>
                <w:lang w:val="en-US" w:eastAsia="zh-CN" w:bidi="ar-SA"/>
              </w:rPr>
            </w:pPr>
          </w:p>
        </w:tc>
        <w:tc>
          <w:tcPr>
            <w:tcW w:w="438" w:type="pct"/>
            <w:vMerge w:val="restart"/>
            <w:vAlign w:val="center"/>
          </w:tcPr>
          <w:p w14:paraId="5FDE74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sz w:val="21"/>
                <w:szCs w:val="21"/>
                <w:highlight w:val="none"/>
                <w:lang w:val="en-US" w:eastAsia="zh-CN" w:bidi="ar-SA"/>
              </w:rPr>
            </w:pPr>
            <w:r>
              <w:rPr>
                <w:rFonts w:hint="eastAsia" w:cs="Times New Roman"/>
                <w:color w:val="auto"/>
                <w:spacing w:val="0"/>
                <w:sz w:val="21"/>
                <w:szCs w:val="21"/>
                <w:highlight w:val="none"/>
                <w:lang w:val="en-US" w:eastAsia="zh-CN" w:bidi="ar-SA"/>
              </w:rPr>
              <w:t>其他环境保护目标</w:t>
            </w:r>
          </w:p>
        </w:tc>
        <w:tc>
          <w:tcPr>
            <w:tcW w:w="533" w:type="pct"/>
            <w:vAlign w:val="center"/>
          </w:tcPr>
          <w:p w14:paraId="1371AA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s="Times New Roman"/>
                <w:color w:val="auto"/>
                <w:spacing w:val="0"/>
                <w:sz w:val="21"/>
                <w:szCs w:val="21"/>
                <w:highlight w:val="none"/>
                <w:lang w:val="en-US" w:eastAsia="zh-CN" w:bidi="ar-SA"/>
              </w:rPr>
            </w:pPr>
            <w:r>
              <w:rPr>
                <w:rFonts w:hint="eastAsia" w:cs="Times New Roman"/>
                <w:color w:val="auto"/>
                <w:spacing w:val="0"/>
                <w:sz w:val="21"/>
                <w:szCs w:val="21"/>
                <w:highlight w:val="none"/>
                <w:lang w:val="en-US" w:eastAsia="zh-CN" w:bidi="ar-SA"/>
              </w:rPr>
              <w:t>基本农田</w:t>
            </w:r>
          </w:p>
        </w:tc>
        <w:tc>
          <w:tcPr>
            <w:tcW w:w="1675" w:type="pct"/>
            <w:vAlign w:val="center"/>
          </w:tcPr>
          <w:p w14:paraId="57313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spacing w:val="-6"/>
                <w:sz w:val="21"/>
                <w:szCs w:val="21"/>
                <w:highlight w:val="none"/>
                <w:lang w:val="en-US" w:eastAsia="zh-CN" w:bidi="ar-SA"/>
              </w:rPr>
            </w:pPr>
            <w:r>
              <w:rPr>
                <w:rFonts w:hint="eastAsia" w:cs="Times New Roman"/>
                <w:color w:val="auto"/>
                <w:spacing w:val="-6"/>
                <w:sz w:val="21"/>
                <w:szCs w:val="21"/>
                <w:highlight w:val="none"/>
                <w:lang w:val="en-US" w:eastAsia="zh-CN" w:bidi="ar-SA"/>
              </w:rPr>
              <w:t>机场四周分布有基本农田，主要种植有玉米、小麦、棉花等作物。本项目不占用</w:t>
            </w:r>
          </w:p>
        </w:tc>
        <w:tc>
          <w:tcPr>
            <w:tcW w:w="1899" w:type="pct"/>
            <w:vAlign w:val="center"/>
          </w:tcPr>
          <w:p w14:paraId="6B4275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Times New Roman" w:hAnsi="Times New Roman" w:eastAsia="宋体" w:cs="Times New Roman"/>
                <w:color w:val="auto"/>
                <w:spacing w:val="0"/>
                <w:sz w:val="21"/>
                <w:szCs w:val="21"/>
                <w:highlight w:val="none"/>
                <w:lang w:val="en-US" w:eastAsia="zh-CN" w:bidi="ar-SA"/>
              </w:rPr>
            </w:pPr>
            <w:r>
              <w:rPr>
                <w:rFonts w:hint="eastAsia" w:ascii="Times New Roman" w:hAnsi="Times New Roman" w:eastAsia="宋体" w:cs="Times New Roman"/>
                <w:color w:val="auto"/>
                <w:spacing w:val="0"/>
                <w:sz w:val="21"/>
                <w:szCs w:val="21"/>
                <w:highlight w:val="none"/>
                <w:lang w:val="en-US" w:eastAsia="zh-CN" w:bidi="ar-SA"/>
              </w:rPr>
              <w:t>严格控制工程占地，临时设施不得占用基本农田</w:t>
            </w:r>
          </w:p>
        </w:tc>
      </w:tr>
      <w:tr w14:paraId="0173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blHeader/>
          <w:jc w:val="center"/>
        </w:trPr>
        <w:tc>
          <w:tcPr>
            <w:tcW w:w="452" w:type="pct"/>
            <w:vMerge w:val="continue"/>
            <w:vAlign w:val="center"/>
          </w:tcPr>
          <w:p w14:paraId="7D4030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sz w:val="21"/>
                <w:szCs w:val="21"/>
                <w:highlight w:val="none"/>
                <w:lang w:val="en-US" w:eastAsia="zh-CN" w:bidi="ar-SA"/>
              </w:rPr>
            </w:pPr>
          </w:p>
        </w:tc>
        <w:tc>
          <w:tcPr>
            <w:tcW w:w="438" w:type="pct"/>
            <w:vMerge w:val="continue"/>
            <w:vAlign w:val="center"/>
          </w:tcPr>
          <w:p w14:paraId="51D7B3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Times New Roman" w:hAnsi="Times New Roman" w:eastAsia="宋体" w:cs="Times New Roman"/>
                <w:color w:val="auto"/>
                <w:spacing w:val="0"/>
                <w:sz w:val="21"/>
                <w:szCs w:val="21"/>
                <w:highlight w:val="none"/>
                <w:lang w:val="en-US" w:eastAsia="zh-CN" w:bidi="ar-SA"/>
              </w:rPr>
            </w:pPr>
          </w:p>
        </w:tc>
        <w:tc>
          <w:tcPr>
            <w:tcW w:w="533" w:type="pct"/>
            <w:vAlign w:val="center"/>
          </w:tcPr>
          <w:p w14:paraId="66B180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sz w:val="21"/>
                <w:szCs w:val="21"/>
                <w:highlight w:val="none"/>
                <w:lang w:val="en-US" w:eastAsia="zh-CN" w:bidi="ar-SA"/>
              </w:rPr>
            </w:pPr>
            <w:r>
              <w:rPr>
                <w:rFonts w:hint="eastAsia" w:cs="Times New Roman"/>
                <w:color w:val="auto"/>
                <w:spacing w:val="0"/>
                <w:sz w:val="21"/>
                <w:szCs w:val="21"/>
                <w:highlight w:val="none"/>
                <w:lang w:val="en-US" w:eastAsia="zh-CN" w:bidi="ar-SA"/>
              </w:rPr>
              <w:t>公益林</w:t>
            </w:r>
          </w:p>
        </w:tc>
        <w:tc>
          <w:tcPr>
            <w:tcW w:w="1675" w:type="pct"/>
            <w:vAlign w:val="center"/>
          </w:tcPr>
          <w:p w14:paraId="1132C3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spacing w:val="-6"/>
                <w:sz w:val="21"/>
                <w:szCs w:val="21"/>
                <w:highlight w:val="none"/>
                <w:lang w:val="en-US" w:eastAsia="zh-CN" w:bidi="ar-SA"/>
              </w:rPr>
            </w:pPr>
            <w:r>
              <w:rPr>
                <w:rFonts w:hint="eastAsia" w:cs="Times New Roman"/>
                <w:color w:val="auto"/>
                <w:spacing w:val="-6"/>
                <w:sz w:val="21"/>
                <w:szCs w:val="21"/>
                <w:highlight w:val="none"/>
                <w:lang w:val="en-US" w:eastAsia="zh-CN" w:bidi="ar-SA"/>
              </w:rPr>
              <w:t>机场西北部分布有胡杨林，距离用地红线约180m，公益林级别为地方公益林</w:t>
            </w:r>
          </w:p>
        </w:tc>
        <w:tc>
          <w:tcPr>
            <w:tcW w:w="1899" w:type="pct"/>
            <w:vAlign w:val="center"/>
          </w:tcPr>
          <w:p w14:paraId="71A49F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spacing w:val="0"/>
                <w:sz w:val="21"/>
                <w:szCs w:val="21"/>
                <w:highlight w:val="none"/>
                <w:lang w:val="en-US" w:eastAsia="zh-CN" w:bidi="ar-SA"/>
              </w:rPr>
            </w:pPr>
            <w:r>
              <w:rPr>
                <w:rFonts w:hint="eastAsia" w:ascii="Times New Roman" w:hAnsi="Times New Roman" w:eastAsia="宋体" w:cs="Times New Roman"/>
                <w:color w:val="auto"/>
                <w:spacing w:val="0"/>
                <w:sz w:val="21"/>
                <w:szCs w:val="21"/>
                <w:highlight w:val="none"/>
                <w:lang w:val="en-US" w:eastAsia="zh-CN" w:bidi="ar-SA"/>
              </w:rPr>
              <w:t>严格控制工程占地，</w:t>
            </w:r>
            <w:r>
              <w:rPr>
                <w:rFonts w:hint="eastAsia" w:cs="Times New Roman"/>
                <w:color w:val="auto"/>
                <w:spacing w:val="0"/>
                <w:sz w:val="21"/>
                <w:szCs w:val="21"/>
                <w:highlight w:val="none"/>
                <w:lang w:val="en-US" w:eastAsia="zh-CN" w:bidi="ar-SA"/>
              </w:rPr>
              <w:t>严禁乱砍滥伐胡杨林木</w:t>
            </w:r>
          </w:p>
        </w:tc>
      </w:tr>
      <w:tr w14:paraId="0AA65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blHeader/>
          <w:jc w:val="center"/>
        </w:trPr>
        <w:tc>
          <w:tcPr>
            <w:tcW w:w="452" w:type="pct"/>
            <w:vMerge w:val="continue"/>
            <w:vAlign w:val="center"/>
          </w:tcPr>
          <w:p w14:paraId="07CBBE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sz w:val="21"/>
                <w:szCs w:val="21"/>
                <w:highlight w:val="none"/>
                <w:lang w:val="en-US" w:eastAsia="zh-CN" w:bidi="ar-SA"/>
              </w:rPr>
            </w:pPr>
          </w:p>
        </w:tc>
        <w:tc>
          <w:tcPr>
            <w:tcW w:w="438" w:type="pct"/>
            <w:vMerge w:val="restart"/>
            <w:vAlign w:val="center"/>
          </w:tcPr>
          <w:p w14:paraId="348B4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sz w:val="21"/>
                <w:szCs w:val="21"/>
                <w:highlight w:val="none"/>
                <w:lang w:val="en-US" w:eastAsia="zh-CN" w:bidi="ar-SA"/>
              </w:rPr>
            </w:pPr>
            <w:r>
              <w:rPr>
                <w:rFonts w:hint="eastAsia" w:cs="Times New Roman"/>
                <w:color w:val="auto"/>
                <w:spacing w:val="0"/>
                <w:sz w:val="21"/>
                <w:szCs w:val="21"/>
                <w:highlight w:val="none"/>
                <w:lang w:val="en-US" w:eastAsia="zh-CN" w:bidi="ar-SA"/>
              </w:rPr>
              <w:t>关心点</w:t>
            </w:r>
          </w:p>
        </w:tc>
        <w:tc>
          <w:tcPr>
            <w:tcW w:w="533" w:type="pct"/>
            <w:vAlign w:val="center"/>
          </w:tcPr>
          <w:p w14:paraId="0AA128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cs="Times New Roman"/>
                <w:color w:val="auto"/>
                <w:spacing w:val="0"/>
                <w:sz w:val="21"/>
                <w:szCs w:val="21"/>
                <w:highlight w:val="none"/>
                <w:lang w:val="en-US" w:eastAsia="zh-CN" w:bidi="ar-SA"/>
              </w:rPr>
            </w:pPr>
            <w:r>
              <w:rPr>
                <w:rFonts w:hint="eastAsia" w:cs="Times New Roman"/>
                <w:color w:val="auto"/>
                <w:spacing w:val="0"/>
                <w:sz w:val="21"/>
                <w:szCs w:val="21"/>
                <w:highlight w:val="none"/>
                <w:lang w:val="en-US" w:eastAsia="zh-CN" w:bidi="ar-SA"/>
              </w:rPr>
              <w:t>艾比湖湿地鸟类重要停歇地</w:t>
            </w:r>
          </w:p>
        </w:tc>
        <w:tc>
          <w:tcPr>
            <w:tcW w:w="1675" w:type="pct"/>
            <w:vAlign w:val="center"/>
          </w:tcPr>
          <w:p w14:paraId="426CF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s="Times New Roman"/>
                <w:color w:val="auto"/>
                <w:spacing w:val="-6"/>
                <w:sz w:val="21"/>
                <w:szCs w:val="21"/>
                <w:highlight w:val="none"/>
                <w:lang w:val="en-US" w:eastAsia="zh-CN" w:bidi="ar-SA"/>
              </w:rPr>
            </w:pPr>
            <w:r>
              <w:rPr>
                <w:rFonts w:hint="eastAsia" w:cs="Times New Roman"/>
                <w:color w:val="auto"/>
                <w:spacing w:val="-6"/>
                <w:sz w:val="21"/>
                <w:szCs w:val="21"/>
                <w:highlight w:val="none"/>
                <w:lang w:val="en-US" w:eastAsia="zh-CN" w:bidi="ar-SA"/>
              </w:rPr>
              <w:t>艾比湖湿地鸟类重要停歇地位于本项目北部18km处，艾比湖湿地国家级自然保护区南侧。有鸟类100多种，其中保护鸟类23种。是鸟类迁徙在新疆境内一个重要的中转地，持续2个月（每年的8月中下旬至10月中下旬），主要为集大群的雁鸭类和鸻（héng）鹬（yù）类等，还有猛禽和雀形目候鸟等，这些候鸟在这里经过短暂的休息后继续迁徙</w:t>
            </w:r>
          </w:p>
        </w:tc>
        <w:tc>
          <w:tcPr>
            <w:tcW w:w="1899" w:type="pct"/>
            <w:vAlign w:val="center"/>
          </w:tcPr>
          <w:p w14:paraId="2DEDB4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Times New Roman" w:hAnsi="Times New Roman" w:eastAsia="宋体" w:cs="Times New Roman"/>
                <w:color w:val="auto"/>
                <w:spacing w:val="0"/>
                <w:sz w:val="21"/>
                <w:szCs w:val="21"/>
                <w:highlight w:val="none"/>
                <w:lang w:val="en-US" w:eastAsia="zh-CN" w:bidi="ar-SA"/>
              </w:rPr>
            </w:pPr>
            <w:r>
              <w:rPr>
                <w:rFonts w:hint="eastAsia" w:cs="Times New Roman"/>
                <w:color w:val="auto"/>
                <w:spacing w:val="0"/>
                <w:sz w:val="21"/>
                <w:szCs w:val="21"/>
                <w:highlight w:val="none"/>
                <w:lang w:val="en-US" w:eastAsia="zh-CN" w:bidi="ar-SA"/>
              </w:rPr>
              <w:t>鸟类重要停歇地是候鸟迁徙过程中补充能量、休憩的关键区域，严禁围垦、采砂、填埋、污染等破坏行为，禁止猎捕、毒杀、交易候鸟及破坏食物链；主管部门制定季节性保护期，期间加强执法巡查。推行“退养还湿”“河湖连通”等工程，恢复湿地水文节律和生态功能‌</w:t>
            </w:r>
          </w:p>
        </w:tc>
      </w:tr>
      <w:tr w14:paraId="0B49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blHeader/>
          <w:jc w:val="center"/>
        </w:trPr>
        <w:tc>
          <w:tcPr>
            <w:tcW w:w="452" w:type="pct"/>
            <w:vMerge w:val="continue"/>
            <w:vAlign w:val="center"/>
          </w:tcPr>
          <w:p w14:paraId="49069B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sz w:val="21"/>
                <w:szCs w:val="21"/>
                <w:highlight w:val="none"/>
                <w:lang w:val="en-US" w:eastAsia="zh-CN" w:bidi="ar-SA"/>
              </w:rPr>
            </w:pPr>
          </w:p>
        </w:tc>
        <w:tc>
          <w:tcPr>
            <w:tcW w:w="438" w:type="pct"/>
            <w:vMerge w:val="continue"/>
            <w:vAlign w:val="center"/>
          </w:tcPr>
          <w:p w14:paraId="285618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cs="Times New Roman"/>
                <w:color w:val="auto"/>
                <w:spacing w:val="0"/>
                <w:sz w:val="21"/>
                <w:szCs w:val="21"/>
                <w:highlight w:val="none"/>
                <w:lang w:val="en-US" w:eastAsia="zh-CN" w:bidi="ar-SA"/>
              </w:rPr>
            </w:pPr>
          </w:p>
        </w:tc>
        <w:tc>
          <w:tcPr>
            <w:tcW w:w="533" w:type="pct"/>
            <w:vAlign w:val="center"/>
          </w:tcPr>
          <w:p w14:paraId="66C7D1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cs="Times New Roman"/>
                <w:color w:val="auto"/>
                <w:spacing w:val="0"/>
                <w:sz w:val="21"/>
                <w:szCs w:val="21"/>
                <w:highlight w:val="none"/>
                <w:lang w:val="en-US" w:eastAsia="zh-CN" w:bidi="ar-SA"/>
              </w:rPr>
            </w:pPr>
            <w:r>
              <w:rPr>
                <w:rFonts w:hint="eastAsia" w:cs="Times New Roman"/>
                <w:color w:val="auto"/>
                <w:spacing w:val="0"/>
                <w:sz w:val="21"/>
                <w:szCs w:val="21"/>
                <w:highlight w:val="none"/>
                <w:lang w:val="en-US" w:eastAsia="zh-CN" w:bidi="ar-SA"/>
              </w:rPr>
              <w:t>艾比湖湿地国家级自然保护区</w:t>
            </w:r>
          </w:p>
        </w:tc>
        <w:tc>
          <w:tcPr>
            <w:tcW w:w="1675" w:type="pct"/>
            <w:vAlign w:val="center"/>
          </w:tcPr>
          <w:p w14:paraId="5F7567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s="Times New Roman"/>
                <w:color w:val="auto"/>
                <w:spacing w:val="-6"/>
                <w:sz w:val="21"/>
                <w:szCs w:val="21"/>
                <w:highlight w:val="none"/>
                <w:lang w:val="en-US" w:eastAsia="zh-CN" w:bidi="ar-SA"/>
              </w:rPr>
            </w:pPr>
            <w:r>
              <w:rPr>
                <w:rFonts w:hint="eastAsia" w:cs="Times New Roman"/>
                <w:color w:val="auto"/>
                <w:spacing w:val="-6"/>
                <w:sz w:val="21"/>
                <w:szCs w:val="21"/>
                <w:highlight w:val="none"/>
                <w:lang w:val="en-US" w:eastAsia="zh-CN" w:bidi="ar-SA"/>
              </w:rPr>
              <w:t>新疆艾比湖湿地国家级自然保护区位于艾比湖流域生物多样性维护与防风固沙生态保护红线内，面积约26.708万公顷，距离本项目最近处约10.8km（NE），与本场空域及生态评价范围均无交叠</w:t>
            </w:r>
          </w:p>
        </w:tc>
        <w:tc>
          <w:tcPr>
            <w:tcW w:w="1899" w:type="pct"/>
            <w:vAlign w:val="center"/>
          </w:tcPr>
          <w:p w14:paraId="6CDCDA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Times New Roman" w:hAnsi="Times New Roman" w:eastAsia="宋体" w:cs="Times New Roman"/>
                <w:color w:val="auto"/>
                <w:spacing w:val="0"/>
                <w:sz w:val="21"/>
                <w:szCs w:val="21"/>
                <w:highlight w:val="none"/>
                <w:lang w:val="en-US" w:eastAsia="zh-CN" w:bidi="ar-SA"/>
              </w:rPr>
            </w:pPr>
            <w:r>
              <w:rPr>
                <w:rFonts w:hint="eastAsia" w:ascii="Times New Roman" w:hAnsi="Times New Roman" w:eastAsia="宋体" w:cs="Times New Roman"/>
                <w:color w:val="auto"/>
                <w:spacing w:val="0"/>
                <w:sz w:val="21"/>
                <w:szCs w:val="21"/>
                <w:highlight w:val="none"/>
                <w:lang w:val="en-US" w:eastAsia="zh-CN" w:bidi="ar-SA"/>
              </w:rPr>
              <w:t>生态修复优先</w:t>
            </w:r>
            <w:r>
              <w:rPr>
                <w:rFonts w:hint="eastAsia" w:cs="Times New Roman"/>
                <w:color w:val="auto"/>
                <w:spacing w:val="0"/>
                <w:sz w:val="21"/>
                <w:szCs w:val="21"/>
                <w:highlight w:val="none"/>
                <w:lang w:val="en-US" w:eastAsia="zh-CN" w:bidi="ar-SA"/>
              </w:rPr>
              <w:t>、水资源保障、动态监测机制、盐碱化治理。以保护艾比湖水体、珍稀濒危野生动植物物种、野生动植物天然集中分布区及原生地和珍稀鸟类栖息繁殖地、停歇地、越冬地为主要保护对象的内陆湿地超大型自然保护区</w:t>
            </w:r>
          </w:p>
        </w:tc>
      </w:tr>
      <w:tr w14:paraId="72F0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blHeader/>
          <w:jc w:val="center"/>
        </w:trPr>
        <w:tc>
          <w:tcPr>
            <w:tcW w:w="452" w:type="pct"/>
            <w:vMerge w:val="continue"/>
            <w:vAlign w:val="center"/>
          </w:tcPr>
          <w:p w14:paraId="5F5F54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sz w:val="21"/>
                <w:szCs w:val="21"/>
                <w:highlight w:val="none"/>
                <w:lang w:val="en-US" w:eastAsia="zh-CN" w:bidi="ar-SA"/>
              </w:rPr>
            </w:pPr>
          </w:p>
        </w:tc>
        <w:tc>
          <w:tcPr>
            <w:tcW w:w="438" w:type="pct"/>
            <w:vMerge w:val="continue"/>
            <w:vAlign w:val="center"/>
          </w:tcPr>
          <w:p w14:paraId="54ED15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cs="Times New Roman"/>
                <w:color w:val="auto"/>
                <w:spacing w:val="0"/>
                <w:sz w:val="21"/>
                <w:szCs w:val="21"/>
                <w:highlight w:val="none"/>
                <w:lang w:val="en-US" w:eastAsia="zh-CN" w:bidi="ar-SA"/>
              </w:rPr>
            </w:pPr>
          </w:p>
        </w:tc>
        <w:tc>
          <w:tcPr>
            <w:tcW w:w="533" w:type="pct"/>
            <w:vAlign w:val="center"/>
          </w:tcPr>
          <w:p w14:paraId="28C1F6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s="Times New Roman"/>
                <w:color w:val="auto"/>
                <w:spacing w:val="0"/>
                <w:sz w:val="21"/>
                <w:szCs w:val="21"/>
                <w:highlight w:val="none"/>
                <w:lang w:val="en-US" w:eastAsia="zh-CN" w:bidi="ar-SA"/>
              </w:rPr>
            </w:pPr>
            <w:r>
              <w:rPr>
                <w:rFonts w:hint="eastAsia" w:cs="Times New Roman"/>
                <w:color w:val="auto"/>
                <w:spacing w:val="0"/>
                <w:sz w:val="21"/>
                <w:szCs w:val="21"/>
                <w:highlight w:val="none"/>
                <w:lang w:val="en-US" w:eastAsia="zh-CN" w:bidi="ar-SA"/>
              </w:rPr>
              <w:t>艾比湖湖区</w:t>
            </w:r>
          </w:p>
        </w:tc>
        <w:tc>
          <w:tcPr>
            <w:tcW w:w="1675" w:type="pct"/>
            <w:vAlign w:val="center"/>
          </w:tcPr>
          <w:p w14:paraId="5CEF55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s="Times New Roman"/>
                <w:color w:val="auto"/>
                <w:spacing w:val="-6"/>
                <w:sz w:val="21"/>
                <w:szCs w:val="21"/>
                <w:highlight w:val="none"/>
                <w:lang w:val="en-US" w:eastAsia="zh-CN" w:bidi="ar-SA"/>
              </w:rPr>
            </w:pPr>
            <w:r>
              <w:rPr>
                <w:rFonts w:hint="eastAsia" w:cs="Times New Roman"/>
                <w:color w:val="auto"/>
                <w:spacing w:val="-6"/>
                <w:sz w:val="21"/>
                <w:szCs w:val="21"/>
                <w:highlight w:val="none"/>
                <w:lang w:val="en-US" w:eastAsia="zh-CN" w:bidi="ar-SA"/>
              </w:rPr>
              <w:t>艾比湖湖区面积8.75万公顷，距离本项目约23km（NE），与本场空域及生态评价范围均无交叠</w:t>
            </w:r>
          </w:p>
        </w:tc>
        <w:tc>
          <w:tcPr>
            <w:tcW w:w="1899" w:type="pct"/>
            <w:vAlign w:val="center"/>
          </w:tcPr>
          <w:p w14:paraId="30EDDD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spacing w:val="0"/>
                <w:sz w:val="21"/>
                <w:szCs w:val="21"/>
                <w:highlight w:val="none"/>
                <w:lang w:val="en-US" w:eastAsia="zh-CN" w:bidi="ar-SA"/>
              </w:rPr>
            </w:pPr>
            <w:r>
              <w:rPr>
                <w:rFonts w:hint="eastAsia" w:cs="Times New Roman"/>
                <w:color w:val="auto"/>
                <w:spacing w:val="0"/>
                <w:sz w:val="21"/>
                <w:szCs w:val="21"/>
                <w:highlight w:val="none"/>
                <w:lang w:val="en-US" w:eastAsia="zh-CN" w:bidi="ar-SA"/>
              </w:rPr>
              <w:t>保护要求同新疆艾比湖湿地国家级自然保护区</w:t>
            </w:r>
          </w:p>
        </w:tc>
      </w:tr>
      <w:bookmarkEnd w:id="207"/>
    </w:tbl>
    <w:p w14:paraId="286D6758">
      <w:pPr>
        <w:pStyle w:val="5"/>
        <w:pageBreakBefore w:val="0"/>
        <w:kinsoku/>
        <w:wordWrap/>
        <w:overflowPunct/>
        <w:bidi w:val="0"/>
        <w:rPr>
          <w:rFonts w:hint="eastAsia" w:ascii="黑体" w:hAnsi="黑体"/>
          <w:color w:val="auto"/>
          <w:sz w:val="28"/>
          <w:szCs w:val="28"/>
          <w:highlight w:val="none"/>
          <w:lang w:val="en-US" w:eastAsia="zh-CN"/>
        </w:rPr>
      </w:pPr>
      <w:r>
        <w:rPr>
          <w:rFonts w:hint="eastAsia" w:ascii="黑体" w:hAnsi="黑体"/>
          <w:color w:val="auto"/>
          <w:sz w:val="28"/>
          <w:szCs w:val="28"/>
          <w:highlight w:val="none"/>
          <w:lang w:val="en-US" w:eastAsia="zh-CN"/>
        </w:rPr>
        <w:t>2.6.3大气保护目标</w:t>
      </w:r>
    </w:p>
    <w:p w14:paraId="35077B50">
      <w:pPr>
        <w:pageBreakBefore w:val="0"/>
        <w:widowControl/>
        <w:kinsoku/>
        <w:wordWrap/>
        <w:overflowPunct/>
        <w:bidi w:val="0"/>
        <w:ind w:right="6" w:firstLine="480" w:firstLineChars="200"/>
        <w:jc w:val="both"/>
        <w:rPr>
          <w:rFonts w:hint="eastAsia" w:cs="Times New Roman"/>
          <w:bCs/>
          <w:color w:val="auto"/>
          <w:szCs w:val="21"/>
          <w:highlight w:val="none"/>
          <w:lang w:val="en-US" w:eastAsia="zh-CN"/>
        </w:rPr>
      </w:pPr>
      <w:r>
        <w:rPr>
          <w:rFonts w:hint="eastAsia" w:cs="Times New Roman"/>
          <w:bCs/>
          <w:color w:val="auto"/>
          <w:szCs w:val="21"/>
          <w:highlight w:val="none"/>
          <w:lang w:val="en-US" w:eastAsia="zh-CN"/>
        </w:rPr>
        <w:t>根据《环境影响评价技术导则 民用机场建设工程》（HJ87-2023），“大气保护目标应包括评价范围内按GB3095规定划分为一类区的国家公园、自然保护区、风景名胜区及自然公园等自然保护地和其他需要特殊保护的区域以及二类区中的居住区、文化区和农村地区中人群较集中的区域”。经现场调查，本项目大气保护目标见表2.6-3。</w:t>
      </w:r>
    </w:p>
    <w:p w14:paraId="44806171">
      <w:pPr>
        <w:pStyle w:val="5"/>
        <w:pageBreakBefore w:val="0"/>
        <w:kinsoku/>
        <w:wordWrap/>
        <w:overflowPunct/>
        <w:bidi w:val="0"/>
        <w:rPr>
          <w:rFonts w:hint="eastAsia" w:ascii="黑体" w:hAnsi="黑体"/>
          <w:color w:val="auto"/>
          <w:sz w:val="28"/>
          <w:szCs w:val="28"/>
          <w:highlight w:val="none"/>
          <w:lang w:val="en-US" w:eastAsia="zh-CN"/>
        </w:rPr>
      </w:pPr>
      <w:r>
        <w:rPr>
          <w:rFonts w:hint="eastAsia" w:ascii="黑体" w:hAnsi="黑体"/>
          <w:color w:val="auto"/>
          <w:sz w:val="28"/>
          <w:szCs w:val="28"/>
          <w:highlight w:val="none"/>
          <w:lang w:val="en-US" w:eastAsia="zh-CN"/>
        </w:rPr>
        <w:t>2.6.4地下水环境保护目标</w:t>
      </w:r>
    </w:p>
    <w:p w14:paraId="24EAD7E2">
      <w:pPr>
        <w:pageBreakBefore w:val="0"/>
        <w:widowControl/>
        <w:kinsoku/>
        <w:wordWrap/>
        <w:overflowPunct/>
        <w:bidi w:val="0"/>
        <w:ind w:right="6" w:firstLine="480" w:firstLineChars="200"/>
        <w:jc w:val="both"/>
        <w:rPr>
          <w:rFonts w:hint="default" w:cs="Times New Roman"/>
          <w:bCs/>
          <w:color w:val="auto"/>
          <w:szCs w:val="21"/>
          <w:highlight w:val="none"/>
          <w:lang w:val="en-US" w:eastAsia="zh-CN"/>
        </w:rPr>
      </w:pPr>
      <w:r>
        <w:rPr>
          <w:rFonts w:hint="eastAsia" w:cs="Times New Roman"/>
          <w:bCs/>
          <w:color w:val="auto"/>
          <w:szCs w:val="21"/>
          <w:highlight w:val="none"/>
          <w:lang w:val="en-US" w:eastAsia="zh-CN"/>
        </w:rPr>
        <w:t>根据《环境影响评价技术导则 民用机场建设工程》（HJ87-2023），“地下水环境保护目标应包括评价范围内潜水含水层、可能受机场影响且具有饮用水开发利用价值的含水层，集中式饮用水水源和分散式饮用水水源地，以及《建设项目环境影响评价分类管理名录》中所界定的涉及地下水的环境敏感区”。经现场调查，本项目地下水环境保护目标见表2.6-4。</w:t>
      </w:r>
    </w:p>
    <w:p w14:paraId="1D0CCA9F">
      <w:pPr>
        <w:pStyle w:val="5"/>
        <w:pageBreakBefore w:val="0"/>
        <w:kinsoku/>
        <w:wordWrap/>
        <w:overflowPunct/>
        <w:bidi w:val="0"/>
        <w:rPr>
          <w:rFonts w:hint="eastAsia" w:ascii="黑体" w:hAnsi="黑体"/>
          <w:color w:val="auto"/>
          <w:sz w:val="28"/>
          <w:szCs w:val="28"/>
          <w:highlight w:val="none"/>
          <w:lang w:val="en-US" w:eastAsia="zh-CN"/>
        </w:rPr>
      </w:pPr>
      <w:r>
        <w:rPr>
          <w:rFonts w:hint="eastAsia" w:ascii="黑体" w:hAnsi="黑体"/>
          <w:color w:val="auto"/>
          <w:sz w:val="28"/>
          <w:szCs w:val="28"/>
          <w:highlight w:val="none"/>
          <w:lang w:val="en-US" w:eastAsia="zh-CN"/>
        </w:rPr>
        <w:t>2.6.5土壤环境保护目标</w:t>
      </w:r>
    </w:p>
    <w:p w14:paraId="0501A74C">
      <w:pPr>
        <w:pageBreakBefore w:val="0"/>
        <w:widowControl/>
        <w:kinsoku/>
        <w:wordWrap/>
        <w:overflowPunct/>
        <w:bidi w:val="0"/>
        <w:ind w:right="6" w:firstLine="480" w:firstLineChars="200"/>
        <w:jc w:val="both"/>
        <w:rPr>
          <w:rFonts w:hint="eastAsia" w:cs="Times New Roman"/>
          <w:bCs/>
          <w:color w:val="auto"/>
          <w:szCs w:val="21"/>
          <w:highlight w:val="none"/>
          <w:lang w:val="en-US" w:eastAsia="zh-CN"/>
        </w:rPr>
      </w:pPr>
      <w:r>
        <w:rPr>
          <w:rFonts w:hint="eastAsia" w:cs="Times New Roman"/>
          <w:bCs/>
          <w:color w:val="auto"/>
          <w:szCs w:val="21"/>
          <w:highlight w:val="none"/>
          <w:lang w:val="en-US" w:eastAsia="zh-CN"/>
        </w:rPr>
        <w:t>根据《环境影响评价技术导则 民用机场建设工程》（HJ87-2023），“土壤环境保护目标应包括评价范围内的耕地、园地、牧草地、饮用水水源地及居民区、学校、医院、疗养院、养老院等”。经现场调查，本项目土壤环境保护目标见表2.6-5。</w:t>
      </w:r>
    </w:p>
    <w:p w14:paraId="6A29ED24">
      <w:pPr>
        <w:pStyle w:val="5"/>
        <w:pageBreakBefore w:val="0"/>
        <w:kinsoku/>
        <w:wordWrap/>
        <w:overflowPunct/>
        <w:bidi w:val="0"/>
        <w:rPr>
          <w:rFonts w:hint="eastAsia" w:ascii="黑体" w:hAnsi="黑体"/>
          <w:color w:val="auto"/>
          <w:sz w:val="28"/>
          <w:szCs w:val="28"/>
          <w:highlight w:val="none"/>
          <w:lang w:val="en-US" w:eastAsia="zh-CN"/>
        </w:rPr>
      </w:pPr>
      <w:r>
        <w:rPr>
          <w:rFonts w:hint="eastAsia" w:ascii="黑体" w:hAnsi="黑体"/>
          <w:color w:val="auto"/>
          <w:sz w:val="28"/>
          <w:szCs w:val="28"/>
          <w:highlight w:val="none"/>
          <w:lang w:val="en-US" w:eastAsia="zh-CN"/>
        </w:rPr>
        <w:t>2.6.6环境风险评价保护目标</w:t>
      </w:r>
    </w:p>
    <w:p w14:paraId="0C7F0F44">
      <w:pPr>
        <w:pageBreakBefore w:val="0"/>
        <w:widowControl/>
        <w:kinsoku/>
        <w:wordWrap/>
        <w:overflowPunct/>
        <w:bidi w:val="0"/>
        <w:ind w:right="6" w:firstLine="480" w:firstLineChars="200"/>
        <w:jc w:val="both"/>
        <w:rPr>
          <w:rFonts w:hint="eastAsia" w:cs="Times New Roman"/>
          <w:bCs/>
          <w:color w:val="auto"/>
          <w:szCs w:val="21"/>
          <w:highlight w:val="none"/>
          <w:lang w:val="en-US" w:eastAsia="zh-CN"/>
        </w:rPr>
      </w:pPr>
      <w:r>
        <w:rPr>
          <w:rFonts w:hint="eastAsia" w:cs="Times New Roman"/>
          <w:bCs/>
          <w:color w:val="auto"/>
          <w:szCs w:val="21"/>
          <w:highlight w:val="none"/>
          <w:lang w:val="en-US" w:eastAsia="zh-CN"/>
        </w:rPr>
        <w:t>根据《环境影响评价技术导则 民用机场建设工程》（HJ87-2023），环境风险评价保护目标参照大气、地下水给出。因此，本项目环境风险评价保护目标同表2.6-3~表2.6-4。</w:t>
      </w:r>
    </w:p>
    <w:p w14:paraId="45D46D5C">
      <w:pPr>
        <w:pStyle w:val="5"/>
        <w:pageBreakBefore w:val="0"/>
        <w:kinsoku/>
        <w:wordWrap/>
        <w:overflowPunct/>
        <w:bidi w:val="0"/>
        <w:rPr>
          <w:rFonts w:hint="eastAsia" w:ascii="黑体" w:hAnsi="黑体"/>
          <w:color w:val="auto"/>
          <w:sz w:val="28"/>
          <w:szCs w:val="28"/>
          <w:highlight w:val="none"/>
          <w:lang w:val="en-US" w:eastAsia="zh-CN"/>
        </w:rPr>
      </w:pPr>
      <w:r>
        <w:rPr>
          <w:rFonts w:hint="eastAsia" w:ascii="黑体" w:hAnsi="黑体"/>
          <w:color w:val="auto"/>
          <w:sz w:val="28"/>
          <w:szCs w:val="28"/>
          <w:highlight w:val="none"/>
          <w:lang w:val="en-US" w:eastAsia="zh-CN"/>
        </w:rPr>
        <w:t>2.6.7电磁辐射环境保护目标</w:t>
      </w:r>
    </w:p>
    <w:p w14:paraId="0266F72F">
      <w:pPr>
        <w:pageBreakBefore w:val="0"/>
        <w:kinsoku/>
        <w:wordWrap/>
        <w:overflowPunct/>
        <w:bidi w:val="0"/>
        <w:adjustRightInd w:val="0"/>
        <w:snapToGrid w:val="0"/>
        <w:ind w:firstLine="480" w:firstLineChars="200"/>
        <w:rPr>
          <w:rFonts w:hint="default"/>
          <w:color w:val="auto"/>
          <w:szCs w:val="22"/>
          <w:highlight w:val="none"/>
          <w:lang w:val="en-US"/>
        </w:rPr>
      </w:pPr>
      <w:r>
        <w:rPr>
          <w:rFonts w:hint="eastAsia" w:cs="Times New Roman"/>
          <w:color w:val="auto"/>
          <w:szCs w:val="21"/>
          <w:highlight w:val="none"/>
          <w:lang w:eastAsia="zh-CN"/>
        </w:rPr>
        <w:t>根据《环境影响评价技术导则 民用机场建设工程》（HJ87-2023），“电磁辐射环境保护目标应包括评价范围内住宅、学校、医院、办公楼、工厂等有公众居住、工作或学习的建筑物”。本项目</w:t>
      </w:r>
      <w:r>
        <w:rPr>
          <w:rFonts w:hint="eastAsia" w:cs="Times New Roman"/>
          <w:color w:val="auto"/>
          <w:szCs w:val="21"/>
          <w:highlight w:val="none"/>
          <w:lang w:val="en-US" w:eastAsia="zh-CN"/>
        </w:rPr>
        <w:t>对照导则后，未</w:t>
      </w:r>
      <w:r>
        <w:rPr>
          <w:rFonts w:hint="eastAsia" w:cs="Times New Roman"/>
          <w:color w:val="auto"/>
          <w:szCs w:val="21"/>
          <w:highlight w:val="none"/>
          <w:lang w:eastAsia="zh-CN"/>
        </w:rPr>
        <w:t>设电磁辐射环境影响评价范围，</w:t>
      </w:r>
      <w:r>
        <w:rPr>
          <w:rFonts w:hint="eastAsia" w:cs="Times New Roman"/>
          <w:color w:val="auto"/>
          <w:szCs w:val="21"/>
          <w:highlight w:val="none"/>
          <w:lang w:val="en-US" w:eastAsia="zh-CN"/>
        </w:rPr>
        <w:t>不涉及电磁辐射环境保护目标。</w:t>
      </w:r>
    </w:p>
    <w:p w14:paraId="76C27DA8">
      <w:pPr>
        <w:pStyle w:val="4"/>
        <w:pageBreakBefore w:val="0"/>
        <w:kinsoku/>
        <w:wordWrap/>
        <w:overflowPunct/>
        <w:bidi w:val="0"/>
        <w:rPr>
          <w:rFonts w:hint="eastAsia"/>
          <w:color w:val="auto"/>
          <w:sz w:val="30"/>
          <w:szCs w:val="30"/>
          <w:highlight w:val="none"/>
        </w:rPr>
      </w:pPr>
      <w:bookmarkStart w:id="208" w:name="_Toc22929"/>
      <w:bookmarkStart w:id="209" w:name="_Toc52223223"/>
      <w:r>
        <w:rPr>
          <w:rFonts w:hint="eastAsia"/>
          <w:color w:val="auto"/>
          <w:sz w:val="30"/>
          <w:szCs w:val="30"/>
          <w:highlight w:val="none"/>
        </w:rPr>
        <w:t>2.</w:t>
      </w:r>
      <w:r>
        <w:rPr>
          <w:rFonts w:hint="eastAsia"/>
          <w:color w:val="auto"/>
          <w:sz w:val="30"/>
          <w:szCs w:val="30"/>
          <w:highlight w:val="none"/>
          <w:lang w:val="en-US" w:eastAsia="zh-CN"/>
        </w:rPr>
        <w:t>7</w:t>
      </w:r>
      <w:r>
        <w:rPr>
          <w:rFonts w:hint="eastAsia"/>
          <w:color w:val="auto"/>
          <w:sz w:val="30"/>
          <w:szCs w:val="30"/>
          <w:highlight w:val="none"/>
        </w:rPr>
        <w:t>评价重点</w:t>
      </w:r>
      <w:bookmarkEnd w:id="208"/>
      <w:bookmarkEnd w:id="209"/>
    </w:p>
    <w:p w14:paraId="64BA0911">
      <w:pPr>
        <w:pageBreakBefore w:val="0"/>
        <w:pBdr>
          <w:top w:val="none" w:color="FFFFFF" w:sz="0" w:space="0"/>
          <w:left w:val="none" w:color="FFFFFF" w:sz="0" w:space="0"/>
          <w:bottom w:val="none" w:color="FFFFFF" w:sz="0" w:space="0"/>
          <w:right w:val="none" w:color="FFFFFF" w:sz="0" w:space="0"/>
        </w:pBdr>
        <w:kinsoku/>
        <w:wordWrap/>
        <w:overflowPunct/>
        <w:autoSpaceDE w:val="0"/>
        <w:autoSpaceDN w:val="0"/>
        <w:bidi w:val="0"/>
        <w:adjustRightInd w:val="0"/>
        <w:ind w:firstLine="480" w:firstLineChars="200"/>
        <w:rPr>
          <w:rFonts w:hint="eastAsia" w:eastAsia="宋体"/>
          <w:color w:val="auto"/>
          <w:szCs w:val="22"/>
          <w:highlight w:val="none"/>
          <w:lang w:val="en-US" w:eastAsia="zh-CN"/>
        </w:rPr>
      </w:pPr>
      <w:r>
        <w:rPr>
          <w:color w:val="auto"/>
          <w:szCs w:val="22"/>
          <w:highlight w:val="none"/>
        </w:rPr>
        <w:t>（1）</w:t>
      </w:r>
      <w:r>
        <w:rPr>
          <w:rFonts w:hint="eastAsia"/>
          <w:color w:val="auto"/>
          <w:szCs w:val="22"/>
          <w:highlight w:val="none"/>
          <w:lang w:val="en-US" w:eastAsia="zh-CN"/>
        </w:rPr>
        <w:t>工程分析；</w:t>
      </w:r>
    </w:p>
    <w:p w14:paraId="7AC6C907">
      <w:pPr>
        <w:pageBreakBefore w:val="0"/>
        <w:pBdr>
          <w:top w:val="none" w:color="FFFFFF" w:sz="0" w:space="0"/>
          <w:left w:val="none" w:color="FFFFFF" w:sz="0" w:space="0"/>
          <w:bottom w:val="none" w:color="FFFFFF" w:sz="0" w:space="0"/>
          <w:right w:val="none" w:color="FFFFFF" w:sz="0" w:space="0"/>
        </w:pBdr>
        <w:kinsoku/>
        <w:wordWrap/>
        <w:overflowPunct/>
        <w:autoSpaceDE w:val="0"/>
        <w:autoSpaceDN w:val="0"/>
        <w:bidi w:val="0"/>
        <w:adjustRightInd w:val="0"/>
        <w:ind w:firstLine="480" w:firstLineChars="200"/>
        <w:rPr>
          <w:rFonts w:hint="eastAsia"/>
          <w:color w:val="auto"/>
          <w:szCs w:val="22"/>
          <w:highlight w:val="none"/>
        </w:rPr>
      </w:pPr>
      <w:r>
        <w:rPr>
          <w:rFonts w:hint="eastAsia"/>
          <w:color w:val="auto"/>
          <w:szCs w:val="22"/>
          <w:highlight w:val="none"/>
          <w:lang w:eastAsia="zh-CN"/>
        </w:rPr>
        <w:t>（</w:t>
      </w:r>
      <w:r>
        <w:rPr>
          <w:rFonts w:hint="eastAsia"/>
          <w:color w:val="auto"/>
          <w:szCs w:val="22"/>
          <w:highlight w:val="none"/>
          <w:lang w:val="en-US" w:eastAsia="zh-CN"/>
        </w:rPr>
        <w:t>2</w:t>
      </w:r>
      <w:r>
        <w:rPr>
          <w:rFonts w:hint="eastAsia"/>
          <w:color w:val="auto"/>
          <w:szCs w:val="22"/>
          <w:highlight w:val="none"/>
          <w:lang w:eastAsia="zh-CN"/>
        </w:rPr>
        <w:t>）</w:t>
      </w:r>
      <w:r>
        <w:rPr>
          <w:rFonts w:hint="eastAsia"/>
          <w:color w:val="auto"/>
          <w:szCs w:val="22"/>
          <w:highlight w:val="none"/>
        </w:rPr>
        <w:t>声环境影响评价</w:t>
      </w:r>
      <w:r>
        <w:rPr>
          <w:rFonts w:hint="eastAsia"/>
          <w:color w:val="auto"/>
          <w:szCs w:val="22"/>
          <w:highlight w:val="none"/>
          <w:lang w:eastAsia="zh-CN"/>
        </w:rPr>
        <w:t>、</w:t>
      </w:r>
      <w:r>
        <w:rPr>
          <w:rFonts w:hint="eastAsia"/>
          <w:color w:val="auto"/>
          <w:szCs w:val="22"/>
          <w:highlight w:val="none"/>
          <w:lang w:val="en-US" w:eastAsia="zh-CN"/>
        </w:rPr>
        <w:t>生态</w:t>
      </w:r>
      <w:r>
        <w:rPr>
          <w:rFonts w:hint="eastAsia"/>
          <w:color w:val="auto"/>
          <w:szCs w:val="22"/>
          <w:highlight w:val="none"/>
          <w:lang w:eastAsia="zh-CN"/>
        </w:rPr>
        <w:t>环境影响评价</w:t>
      </w:r>
      <w:r>
        <w:rPr>
          <w:rFonts w:hint="eastAsia"/>
          <w:color w:val="auto"/>
          <w:szCs w:val="22"/>
          <w:highlight w:val="none"/>
        </w:rPr>
        <w:t>；</w:t>
      </w:r>
    </w:p>
    <w:p w14:paraId="408E329A">
      <w:pPr>
        <w:pageBreakBefore w:val="0"/>
        <w:pBdr>
          <w:top w:val="none" w:color="FFFFFF" w:sz="0" w:space="0"/>
          <w:left w:val="none" w:color="FFFFFF" w:sz="0" w:space="0"/>
          <w:bottom w:val="none" w:color="FFFFFF" w:sz="0" w:space="0"/>
          <w:right w:val="none" w:color="FFFFFF" w:sz="0" w:space="0"/>
        </w:pBdr>
        <w:kinsoku/>
        <w:wordWrap/>
        <w:overflowPunct/>
        <w:autoSpaceDE w:val="0"/>
        <w:autoSpaceDN w:val="0"/>
        <w:bidi w:val="0"/>
        <w:adjustRightInd w:val="0"/>
        <w:ind w:firstLine="480" w:firstLineChars="200"/>
        <w:rPr>
          <w:color w:val="auto"/>
          <w:szCs w:val="22"/>
          <w:highlight w:val="none"/>
        </w:rPr>
      </w:pPr>
      <w:r>
        <w:rPr>
          <w:rFonts w:hint="eastAsia"/>
          <w:color w:val="auto"/>
          <w:szCs w:val="22"/>
          <w:highlight w:val="none"/>
        </w:rPr>
        <w:t>（3）环境保护措施及其技术经济可行性分析。</w:t>
      </w:r>
    </w:p>
    <w:bookmarkEnd w:id="194"/>
    <w:bookmarkEnd w:id="195"/>
    <w:bookmarkEnd w:id="196"/>
    <w:bookmarkEnd w:id="197"/>
    <w:bookmarkEnd w:id="198"/>
    <w:bookmarkEnd w:id="199"/>
    <w:bookmarkEnd w:id="200"/>
    <w:bookmarkEnd w:id="201"/>
    <w:bookmarkEnd w:id="202"/>
    <w:bookmarkEnd w:id="203"/>
    <w:bookmarkEnd w:id="204"/>
    <w:bookmarkEnd w:id="205"/>
    <w:bookmarkEnd w:id="206"/>
    <w:p w14:paraId="492E7715">
      <w:pPr>
        <w:pStyle w:val="4"/>
        <w:pageBreakBefore w:val="0"/>
        <w:kinsoku/>
        <w:wordWrap/>
        <w:overflowPunct/>
        <w:bidi w:val="0"/>
        <w:rPr>
          <w:rFonts w:hint="eastAsia"/>
          <w:color w:val="auto"/>
          <w:sz w:val="30"/>
          <w:szCs w:val="30"/>
          <w:highlight w:val="none"/>
        </w:rPr>
      </w:pPr>
      <w:bookmarkStart w:id="210" w:name="_Toc7042"/>
      <w:bookmarkStart w:id="211" w:name="_Toc30416"/>
      <w:r>
        <w:rPr>
          <w:rFonts w:hint="eastAsia"/>
          <w:color w:val="auto"/>
          <w:sz w:val="30"/>
          <w:szCs w:val="30"/>
          <w:highlight w:val="none"/>
        </w:rPr>
        <w:t>2.</w:t>
      </w:r>
      <w:r>
        <w:rPr>
          <w:rFonts w:hint="eastAsia"/>
          <w:color w:val="auto"/>
          <w:sz w:val="30"/>
          <w:szCs w:val="30"/>
          <w:highlight w:val="none"/>
          <w:lang w:val="en-US" w:eastAsia="zh-CN"/>
        </w:rPr>
        <w:t>8</w:t>
      </w:r>
      <w:r>
        <w:rPr>
          <w:rFonts w:hint="eastAsia"/>
          <w:color w:val="auto"/>
          <w:sz w:val="30"/>
          <w:szCs w:val="30"/>
          <w:highlight w:val="none"/>
        </w:rPr>
        <w:t>评价时段</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210"/>
      <w:bookmarkEnd w:id="211"/>
    </w:p>
    <w:p w14:paraId="46AC137A">
      <w:pPr>
        <w:pageBreakBefore w:val="0"/>
        <w:kinsoku/>
        <w:wordWrap/>
        <w:overflowPunct/>
        <w:bidi w:val="0"/>
        <w:ind w:firstLine="480" w:firstLineChars="200"/>
        <w:rPr>
          <w:rFonts w:hint="eastAsia"/>
          <w:color w:val="auto"/>
          <w:kern w:val="0"/>
          <w:highlight w:val="none"/>
        </w:rPr>
      </w:pPr>
      <w:r>
        <w:rPr>
          <w:rFonts w:hint="eastAsia"/>
          <w:color w:val="auto"/>
          <w:kern w:val="0"/>
          <w:highlight w:val="none"/>
          <w:lang w:eastAsia="zh-CN"/>
        </w:rPr>
        <w:t>（</w:t>
      </w:r>
      <w:r>
        <w:rPr>
          <w:rFonts w:hint="eastAsia"/>
          <w:color w:val="auto"/>
          <w:kern w:val="0"/>
          <w:highlight w:val="none"/>
          <w:lang w:val="en-US" w:eastAsia="zh-CN"/>
        </w:rPr>
        <w:t>1</w:t>
      </w:r>
      <w:r>
        <w:rPr>
          <w:rFonts w:hint="eastAsia"/>
          <w:color w:val="auto"/>
          <w:kern w:val="0"/>
          <w:highlight w:val="none"/>
          <w:lang w:eastAsia="zh-CN"/>
        </w:rPr>
        <w:t>）</w:t>
      </w:r>
      <w:r>
        <w:rPr>
          <w:rFonts w:hint="eastAsia"/>
          <w:color w:val="auto"/>
          <w:kern w:val="0"/>
          <w:highlight w:val="none"/>
        </w:rPr>
        <w:t>施工期：</w:t>
      </w:r>
      <w:r>
        <w:rPr>
          <w:rFonts w:hint="eastAsia"/>
          <w:color w:val="auto"/>
          <w:kern w:val="0"/>
          <w:highlight w:val="none"/>
          <w:lang w:eastAsia="zh-CN"/>
        </w:rPr>
        <w:t>本项目</w:t>
      </w:r>
      <w:r>
        <w:rPr>
          <w:rFonts w:hint="eastAsia"/>
          <w:color w:val="auto"/>
          <w:kern w:val="0"/>
          <w:highlight w:val="none"/>
        </w:rPr>
        <w:t>计划于202</w:t>
      </w:r>
      <w:r>
        <w:rPr>
          <w:rFonts w:hint="eastAsia"/>
          <w:color w:val="auto"/>
          <w:kern w:val="0"/>
          <w:highlight w:val="none"/>
          <w:lang w:val="en-US" w:eastAsia="zh-CN"/>
        </w:rPr>
        <w:t>5</w:t>
      </w:r>
      <w:r>
        <w:rPr>
          <w:rFonts w:hint="eastAsia"/>
          <w:color w:val="auto"/>
          <w:kern w:val="0"/>
          <w:highlight w:val="none"/>
        </w:rPr>
        <w:t>年</w:t>
      </w:r>
      <w:r>
        <w:rPr>
          <w:rFonts w:hint="eastAsia"/>
          <w:color w:val="auto"/>
          <w:kern w:val="0"/>
          <w:highlight w:val="none"/>
          <w:lang w:val="en-US" w:eastAsia="zh-CN"/>
        </w:rPr>
        <w:t>11</w:t>
      </w:r>
      <w:r>
        <w:rPr>
          <w:rFonts w:hint="eastAsia"/>
          <w:color w:val="auto"/>
          <w:kern w:val="0"/>
          <w:highlight w:val="none"/>
        </w:rPr>
        <w:t>月开始施工，</w:t>
      </w:r>
      <w:r>
        <w:rPr>
          <w:rFonts w:hint="eastAsia"/>
          <w:color w:val="auto"/>
          <w:kern w:val="0"/>
          <w:highlight w:val="none"/>
          <w:lang w:val="en-US" w:eastAsia="zh-CN"/>
        </w:rPr>
        <w:t>建设期约24</w:t>
      </w:r>
      <w:r>
        <w:rPr>
          <w:rFonts w:hint="eastAsia"/>
          <w:color w:val="auto"/>
          <w:kern w:val="0"/>
          <w:highlight w:val="none"/>
        </w:rPr>
        <w:t>个月。</w:t>
      </w:r>
    </w:p>
    <w:p w14:paraId="0F8DE474">
      <w:pPr>
        <w:pageBreakBefore w:val="0"/>
        <w:kinsoku/>
        <w:wordWrap/>
        <w:overflowPunct/>
        <w:bidi w:val="0"/>
        <w:ind w:firstLine="480" w:firstLineChars="200"/>
        <w:rPr>
          <w:color w:val="auto"/>
          <w:kern w:val="0"/>
          <w:highlight w:val="none"/>
        </w:rPr>
      </w:pPr>
      <w:r>
        <w:rPr>
          <w:rFonts w:hint="eastAsia"/>
          <w:color w:val="auto"/>
          <w:kern w:val="0"/>
          <w:highlight w:val="none"/>
          <w:lang w:eastAsia="zh-CN"/>
        </w:rPr>
        <w:t>（</w:t>
      </w:r>
      <w:r>
        <w:rPr>
          <w:rFonts w:hint="eastAsia"/>
          <w:color w:val="auto"/>
          <w:kern w:val="0"/>
          <w:highlight w:val="none"/>
          <w:lang w:val="en-US" w:eastAsia="zh-CN"/>
        </w:rPr>
        <w:t>2</w:t>
      </w:r>
      <w:r>
        <w:rPr>
          <w:rFonts w:hint="eastAsia"/>
          <w:color w:val="auto"/>
          <w:kern w:val="0"/>
          <w:highlight w:val="none"/>
          <w:lang w:eastAsia="zh-CN"/>
        </w:rPr>
        <w:t>）</w:t>
      </w:r>
      <w:r>
        <w:rPr>
          <w:rFonts w:hint="eastAsia"/>
          <w:color w:val="auto"/>
          <w:kern w:val="0"/>
          <w:highlight w:val="none"/>
        </w:rPr>
        <w:t>运营期</w:t>
      </w:r>
      <w:r>
        <w:rPr>
          <w:rFonts w:hint="eastAsia"/>
          <w:color w:val="auto"/>
          <w:kern w:val="0"/>
          <w:highlight w:val="none"/>
          <w:lang w:eastAsia="zh-CN"/>
        </w:rPr>
        <w:t>：</w:t>
      </w:r>
      <w:r>
        <w:rPr>
          <w:rFonts w:hint="eastAsia"/>
          <w:color w:val="auto"/>
          <w:kern w:val="0"/>
          <w:highlight w:val="none"/>
        </w:rPr>
        <w:t>本期目标年为203</w:t>
      </w:r>
      <w:r>
        <w:rPr>
          <w:rFonts w:hint="eastAsia"/>
          <w:color w:val="auto"/>
          <w:kern w:val="0"/>
          <w:highlight w:val="none"/>
          <w:lang w:val="en-US" w:eastAsia="zh-CN"/>
        </w:rPr>
        <w:t>0</w:t>
      </w:r>
      <w:r>
        <w:rPr>
          <w:rFonts w:hint="eastAsia"/>
          <w:color w:val="auto"/>
          <w:kern w:val="0"/>
          <w:highlight w:val="none"/>
        </w:rPr>
        <w:t>年</w:t>
      </w:r>
      <w:r>
        <w:rPr>
          <w:rFonts w:hint="eastAsia"/>
          <w:color w:val="auto"/>
          <w:kern w:val="0"/>
          <w:highlight w:val="none"/>
          <w:lang w:eastAsia="zh-CN"/>
        </w:rPr>
        <w:t>、</w:t>
      </w:r>
      <w:r>
        <w:rPr>
          <w:rFonts w:hint="eastAsia"/>
          <w:color w:val="auto"/>
          <w:kern w:val="0"/>
          <w:highlight w:val="none"/>
        </w:rPr>
        <w:t>远期</w:t>
      </w:r>
      <w:r>
        <w:rPr>
          <w:rFonts w:hint="eastAsia"/>
          <w:color w:val="auto"/>
          <w:kern w:val="0"/>
          <w:highlight w:val="none"/>
          <w:lang w:val="en-US" w:eastAsia="zh-CN"/>
        </w:rPr>
        <w:t>目标年为</w:t>
      </w:r>
      <w:r>
        <w:rPr>
          <w:rFonts w:hint="eastAsia"/>
          <w:color w:val="auto"/>
          <w:kern w:val="0"/>
          <w:highlight w:val="none"/>
        </w:rPr>
        <w:t>205</w:t>
      </w:r>
      <w:r>
        <w:rPr>
          <w:rFonts w:hint="eastAsia"/>
          <w:color w:val="auto"/>
          <w:kern w:val="0"/>
          <w:highlight w:val="none"/>
          <w:lang w:val="en-US" w:eastAsia="zh-CN"/>
        </w:rPr>
        <w:t>0</w:t>
      </w:r>
      <w:r>
        <w:rPr>
          <w:rFonts w:hint="eastAsia"/>
          <w:color w:val="auto"/>
          <w:kern w:val="0"/>
          <w:highlight w:val="none"/>
        </w:rPr>
        <w:t>年</w:t>
      </w:r>
      <w:r>
        <w:rPr>
          <w:color w:val="auto"/>
          <w:kern w:val="0"/>
          <w:highlight w:val="none"/>
        </w:rPr>
        <w:t>。</w:t>
      </w:r>
      <w:bookmarkEnd w:id="1"/>
      <w:bookmarkEnd w:id="2"/>
      <w:bookmarkEnd w:id="123"/>
      <w:bookmarkEnd w:id="124"/>
      <w:bookmarkEnd w:id="125"/>
      <w:bookmarkEnd w:id="126"/>
      <w:bookmarkEnd w:id="127"/>
      <w:bookmarkEnd w:id="128"/>
      <w:bookmarkEnd w:id="129"/>
      <w:bookmarkEnd w:id="130"/>
      <w:bookmarkEnd w:id="131"/>
      <w:bookmarkEnd w:id="132"/>
      <w:bookmarkEnd w:id="133"/>
      <w:bookmarkEnd w:id="193"/>
    </w:p>
    <w:p w14:paraId="4B6D018F">
      <w:pPr>
        <w:pStyle w:val="4"/>
        <w:pageBreakBefore w:val="0"/>
        <w:kinsoku/>
        <w:wordWrap/>
        <w:overflowPunct/>
        <w:bidi w:val="0"/>
        <w:rPr>
          <w:rFonts w:hint="eastAsia"/>
          <w:color w:val="auto"/>
          <w:sz w:val="30"/>
          <w:szCs w:val="30"/>
          <w:highlight w:val="none"/>
        </w:rPr>
      </w:pPr>
      <w:bookmarkStart w:id="212" w:name="_Toc4265"/>
      <w:r>
        <w:rPr>
          <w:rFonts w:hint="eastAsia"/>
          <w:color w:val="auto"/>
          <w:sz w:val="30"/>
          <w:szCs w:val="30"/>
          <w:highlight w:val="none"/>
        </w:rPr>
        <w:t>2.</w:t>
      </w:r>
      <w:r>
        <w:rPr>
          <w:rFonts w:hint="eastAsia"/>
          <w:color w:val="auto"/>
          <w:sz w:val="30"/>
          <w:szCs w:val="30"/>
          <w:highlight w:val="none"/>
          <w:lang w:val="en-US" w:eastAsia="zh-CN"/>
        </w:rPr>
        <w:t>9</w:t>
      </w:r>
      <w:r>
        <w:rPr>
          <w:rFonts w:hint="eastAsia"/>
          <w:color w:val="auto"/>
          <w:sz w:val="30"/>
          <w:szCs w:val="30"/>
          <w:highlight w:val="none"/>
        </w:rPr>
        <w:t>评价方法</w:t>
      </w:r>
      <w:bookmarkEnd w:id="212"/>
    </w:p>
    <w:p w14:paraId="5237B2F3">
      <w:pPr>
        <w:pageBreakBefore w:val="0"/>
        <w:kinsoku/>
        <w:wordWrap/>
        <w:overflowPunct/>
        <w:bidi w:val="0"/>
        <w:ind w:firstLine="480" w:firstLineChars="200"/>
        <w:rPr>
          <w:color w:val="auto"/>
          <w:highlight w:val="none"/>
        </w:rPr>
      </w:pPr>
      <w:r>
        <w:rPr>
          <w:rFonts w:hint="eastAsia"/>
          <w:color w:val="auto"/>
          <w:highlight w:val="none"/>
          <w:lang w:eastAsia="zh-CN"/>
        </w:rPr>
        <w:t>本项目</w:t>
      </w:r>
      <w:r>
        <w:rPr>
          <w:color w:val="auto"/>
          <w:highlight w:val="none"/>
        </w:rPr>
        <w:t>采用定量评价与定性评价相结合的方法，以量化评价为主。采用环境影响评价技术导则规定的评价方法予以分析。本次评价采用了类比法、产污系数法、排污系数法</w:t>
      </w:r>
      <w:r>
        <w:rPr>
          <w:rFonts w:hint="eastAsia"/>
          <w:color w:val="auto"/>
          <w:highlight w:val="none"/>
        </w:rPr>
        <w:t>、</w:t>
      </w:r>
      <w:r>
        <w:rPr>
          <w:color w:val="auto"/>
          <w:highlight w:val="none"/>
        </w:rPr>
        <w:t>数学模式法等。本次环境评价使用的评价方法见表2.1</w:t>
      </w:r>
      <w:r>
        <w:rPr>
          <w:rFonts w:hint="eastAsia"/>
          <w:color w:val="auto"/>
          <w:highlight w:val="none"/>
        </w:rPr>
        <w:t>1</w:t>
      </w:r>
      <w:r>
        <w:rPr>
          <w:color w:val="auto"/>
          <w:highlight w:val="none"/>
        </w:rPr>
        <w:t>-1。</w:t>
      </w:r>
    </w:p>
    <w:p w14:paraId="05E626DC">
      <w:pPr>
        <w:pStyle w:val="1017"/>
        <w:pageBreakBefore w:val="0"/>
        <w:kinsoku/>
        <w:wordWrap/>
        <w:overflowPunct/>
        <w:bidi w:val="0"/>
        <w:rPr>
          <w:b w:val="0"/>
          <w:color w:val="auto"/>
          <w:highlight w:val="none"/>
        </w:rPr>
      </w:pPr>
      <w:r>
        <w:rPr>
          <w:b w:val="0"/>
          <w:color w:val="auto"/>
          <w:highlight w:val="none"/>
        </w:rPr>
        <w:t>表2.1</w:t>
      </w:r>
      <w:r>
        <w:rPr>
          <w:rFonts w:hint="eastAsia"/>
          <w:b w:val="0"/>
          <w:color w:val="auto"/>
          <w:highlight w:val="none"/>
        </w:rPr>
        <w:t>1</w:t>
      </w:r>
      <w:r>
        <w:rPr>
          <w:b w:val="0"/>
          <w:color w:val="auto"/>
          <w:highlight w:val="none"/>
        </w:rPr>
        <w:t>-1  评价方法一览表</w:t>
      </w:r>
    </w:p>
    <w:tbl>
      <w:tblPr>
        <w:tblStyle w:val="88"/>
        <w:tblW w:w="4999" w:type="pct"/>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108" w:type="dxa"/>
          <w:bottom w:w="0" w:type="dxa"/>
          <w:right w:w="108" w:type="dxa"/>
        </w:tblCellMar>
      </w:tblPr>
      <w:tblGrid>
        <w:gridCol w:w="871"/>
        <w:gridCol w:w="2654"/>
        <w:gridCol w:w="5307"/>
      </w:tblGrid>
      <w:tr w14:paraId="2E7CC92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493" w:type="pct"/>
            <w:tcBorders>
              <w:top w:val="single" w:color="000000" w:sz="8" w:space="0"/>
              <w:left w:val="single" w:color="000000" w:sz="8" w:space="0"/>
              <w:bottom w:val="single" w:color="000000" w:sz="6" w:space="0"/>
              <w:right w:val="single" w:color="000000" w:sz="6" w:space="0"/>
            </w:tcBorders>
            <w:vAlign w:val="center"/>
          </w:tcPr>
          <w:p w14:paraId="78451A5B">
            <w:pPr>
              <w:pStyle w:val="67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color w:val="auto"/>
                <w:highlight w:val="none"/>
              </w:rPr>
            </w:pPr>
            <w:r>
              <w:rPr>
                <w:rFonts w:hint="default" w:ascii="Times New Roman" w:hAnsi="Times New Roman"/>
                <w:color w:val="auto"/>
                <w:highlight w:val="none"/>
              </w:rPr>
              <w:t>序号</w:t>
            </w:r>
          </w:p>
        </w:tc>
        <w:tc>
          <w:tcPr>
            <w:tcW w:w="1502" w:type="pct"/>
            <w:tcBorders>
              <w:top w:val="single" w:color="000000" w:sz="8" w:space="0"/>
              <w:left w:val="single" w:color="000000" w:sz="6" w:space="0"/>
              <w:bottom w:val="single" w:color="000000" w:sz="6" w:space="0"/>
              <w:right w:val="single" w:color="000000" w:sz="6" w:space="0"/>
            </w:tcBorders>
            <w:vAlign w:val="center"/>
          </w:tcPr>
          <w:p w14:paraId="2C3AB59E">
            <w:pPr>
              <w:pStyle w:val="67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color w:val="auto"/>
                <w:highlight w:val="none"/>
              </w:rPr>
            </w:pPr>
            <w:r>
              <w:rPr>
                <w:rFonts w:hint="default" w:ascii="Times New Roman" w:hAnsi="Times New Roman"/>
                <w:color w:val="auto"/>
                <w:highlight w:val="none"/>
              </w:rPr>
              <w:t>项目</w:t>
            </w:r>
          </w:p>
        </w:tc>
        <w:tc>
          <w:tcPr>
            <w:tcW w:w="3004" w:type="pct"/>
            <w:tcBorders>
              <w:top w:val="single" w:color="000000" w:sz="8" w:space="0"/>
              <w:left w:val="single" w:color="000000" w:sz="6" w:space="0"/>
              <w:bottom w:val="single" w:color="000000" w:sz="6" w:space="0"/>
              <w:right w:val="single" w:color="000000" w:sz="8" w:space="0"/>
            </w:tcBorders>
            <w:vAlign w:val="center"/>
          </w:tcPr>
          <w:p w14:paraId="136456BE">
            <w:pPr>
              <w:pStyle w:val="67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color w:val="auto"/>
                <w:highlight w:val="none"/>
              </w:rPr>
            </w:pPr>
            <w:r>
              <w:rPr>
                <w:rFonts w:hint="default" w:ascii="Times New Roman" w:hAnsi="Times New Roman"/>
                <w:color w:val="auto"/>
                <w:highlight w:val="none"/>
              </w:rPr>
              <w:t>采用方法</w:t>
            </w:r>
          </w:p>
        </w:tc>
      </w:tr>
      <w:tr w14:paraId="39DD042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493" w:type="pct"/>
            <w:tcBorders>
              <w:top w:val="single" w:color="000000" w:sz="6" w:space="0"/>
              <w:left w:val="single" w:color="000000" w:sz="8" w:space="0"/>
              <w:bottom w:val="single" w:color="000000" w:sz="6" w:space="0"/>
              <w:right w:val="single" w:color="000000" w:sz="6" w:space="0"/>
            </w:tcBorders>
            <w:vAlign w:val="center"/>
          </w:tcPr>
          <w:p w14:paraId="638243B3">
            <w:pPr>
              <w:pStyle w:val="67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color w:val="auto"/>
                <w:highlight w:val="none"/>
              </w:rPr>
            </w:pPr>
            <w:r>
              <w:rPr>
                <w:rFonts w:hint="default" w:ascii="Times New Roman" w:hAnsi="Times New Roman"/>
                <w:color w:val="auto"/>
                <w:highlight w:val="none"/>
              </w:rPr>
              <w:t>1</w:t>
            </w:r>
          </w:p>
        </w:tc>
        <w:tc>
          <w:tcPr>
            <w:tcW w:w="1502" w:type="pct"/>
            <w:tcBorders>
              <w:top w:val="single" w:color="000000" w:sz="6" w:space="0"/>
              <w:left w:val="single" w:color="000000" w:sz="6" w:space="0"/>
              <w:bottom w:val="single" w:color="000000" w:sz="6" w:space="0"/>
              <w:right w:val="single" w:color="000000" w:sz="6" w:space="0"/>
            </w:tcBorders>
            <w:vAlign w:val="center"/>
          </w:tcPr>
          <w:p w14:paraId="54F402DB">
            <w:pPr>
              <w:pStyle w:val="67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color w:val="auto"/>
                <w:highlight w:val="none"/>
              </w:rPr>
            </w:pPr>
            <w:r>
              <w:rPr>
                <w:rFonts w:hint="default" w:ascii="Times New Roman" w:hAnsi="Times New Roman"/>
                <w:color w:val="auto"/>
                <w:highlight w:val="none"/>
              </w:rPr>
              <w:t>环境影响因素识别方法</w:t>
            </w:r>
          </w:p>
        </w:tc>
        <w:tc>
          <w:tcPr>
            <w:tcW w:w="3004" w:type="pct"/>
            <w:tcBorders>
              <w:top w:val="single" w:color="000000" w:sz="6" w:space="0"/>
              <w:left w:val="single" w:color="000000" w:sz="6" w:space="0"/>
              <w:bottom w:val="single" w:color="000000" w:sz="6" w:space="0"/>
              <w:right w:val="single" w:color="000000" w:sz="8" w:space="0"/>
            </w:tcBorders>
            <w:vAlign w:val="center"/>
          </w:tcPr>
          <w:p w14:paraId="065F3D03">
            <w:pPr>
              <w:pStyle w:val="67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color w:val="auto"/>
                <w:highlight w:val="none"/>
              </w:rPr>
            </w:pPr>
            <w:r>
              <w:rPr>
                <w:rFonts w:hint="eastAsia" w:ascii="Times New Roman" w:hAnsi="Times New Roman"/>
                <w:color w:val="auto"/>
                <w:highlight w:val="none"/>
              </w:rPr>
              <w:t>矩阵法</w:t>
            </w:r>
          </w:p>
        </w:tc>
      </w:tr>
      <w:tr w14:paraId="538C2C1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493" w:type="pct"/>
            <w:tcBorders>
              <w:top w:val="single" w:color="000000" w:sz="6" w:space="0"/>
              <w:left w:val="single" w:color="000000" w:sz="8" w:space="0"/>
              <w:bottom w:val="single" w:color="000000" w:sz="6" w:space="0"/>
              <w:right w:val="single" w:color="000000" w:sz="6" w:space="0"/>
            </w:tcBorders>
            <w:vAlign w:val="center"/>
          </w:tcPr>
          <w:p w14:paraId="0EEFDED2">
            <w:pPr>
              <w:pStyle w:val="67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color w:val="auto"/>
                <w:highlight w:val="none"/>
              </w:rPr>
            </w:pPr>
            <w:r>
              <w:rPr>
                <w:rFonts w:hint="default" w:ascii="Times New Roman" w:hAnsi="Times New Roman"/>
                <w:color w:val="auto"/>
                <w:highlight w:val="none"/>
              </w:rPr>
              <w:t>2</w:t>
            </w:r>
          </w:p>
        </w:tc>
        <w:tc>
          <w:tcPr>
            <w:tcW w:w="1502" w:type="pct"/>
            <w:tcBorders>
              <w:top w:val="single" w:color="000000" w:sz="6" w:space="0"/>
              <w:left w:val="single" w:color="000000" w:sz="6" w:space="0"/>
              <w:bottom w:val="single" w:color="000000" w:sz="6" w:space="0"/>
              <w:right w:val="single" w:color="000000" w:sz="6" w:space="0"/>
            </w:tcBorders>
            <w:vAlign w:val="center"/>
          </w:tcPr>
          <w:p w14:paraId="35FB8A02">
            <w:pPr>
              <w:pStyle w:val="67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color w:val="auto"/>
                <w:highlight w:val="none"/>
              </w:rPr>
            </w:pPr>
            <w:r>
              <w:rPr>
                <w:rFonts w:hint="default" w:ascii="Times New Roman" w:hAnsi="Times New Roman"/>
                <w:color w:val="auto"/>
                <w:highlight w:val="none"/>
              </w:rPr>
              <w:t>环境现状调查</w:t>
            </w:r>
          </w:p>
        </w:tc>
        <w:tc>
          <w:tcPr>
            <w:tcW w:w="3004" w:type="pct"/>
            <w:tcBorders>
              <w:top w:val="single" w:color="000000" w:sz="6" w:space="0"/>
              <w:left w:val="single" w:color="000000" w:sz="6" w:space="0"/>
              <w:bottom w:val="single" w:color="000000" w:sz="6" w:space="0"/>
              <w:right w:val="single" w:color="000000" w:sz="8" w:space="0"/>
            </w:tcBorders>
            <w:vAlign w:val="center"/>
          </w:tcPr>
          <w:p w14:paraId="643BE057">
            <w:pPr>
              <w:pStyle w:val="67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color w:val="auto"/>
                <w:highlight w:val="none"/>
              </w:rPr>
            </w:pPr>
            <w:r>
              <w:rPr>
                <w:rFonts w:hint="default" w:ascii="Times New Roman" w:hAnsi="Times New Roman"/>
                <w:color w:val="auto"/>
                <w:highlight w:val="none"/>
              </w:rPr>
              <w:t>收集资料法、现场调查法、数据统计与评估方法</w:t>
            </w:r>
          </w:p>
        </w:tc>
      </w:tr>
      <w:tr w14:paraId="39FD675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493" w:type="pct"/>
            <w:tcBorders>
              <w:top w:val="single" w:color="000000" w:sz="6" w:space="0"/>
              <w:left w:val="single" w:color="000000" w:sz="8" w:space="0"/>
              <w:bottom w:val="single" w:color="000000" w:sz="6" w:space="0"/>
              <w:right w:val="single" w:color="000000" w:sz="6" w:space="0"/>
            </w:tcBorders>
            <w:vAlign w:val="center"/>
          </w:tcPr>
          <w:p w14:paraId="54DBC6B9">
            <w:pPr>
              <w:pStyle w:val="67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color w:val="auto"/>
                <w:highlight w:val="none"/>
              </w:rPr>
            </w:pPr>
            <w:r>
              <w:rPr>
                <w:rFonts w:hint="default" w:ascii="Times New Roman" w:hAnsi="Times New Roman"/>
                <w:color w:val="auto"/>
                <w:highlight w:val="none"/>
              </w:rPr>
              <w:t>3</w:t>
            </w:r>
          </w:p>
        </w:tc>
        <w:tc>
          <w:tcPr>
            <w:tcW w:w="1502" w:type="pct"/>
            <w:tcBorders>
              <w:top w:val="single" w:color="000000" w:sz="6" w:space="0"/>
              <w:left w:val="single" w:color="000000" w:sz="6" w:space="0"/>
              <w:bottom w:val="single" w:color="000000" w:sz="6" w:space="0"/>
              <w:right w:val="single" w:color="000000" w:sz="6" w:space="0"/>
            </w:tcBorders>
            <w:vAlign w:val="center"/>
          </w:tcPr>
          <w:p w14:paraId="2ED96B45">
            <w:pPr>
              <w:pStyle w:val="67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color w:val="auto"/>
                <w:highlight w:val="none"/>
              </w:rPr>
            </w:pPr>
            <w:r>
              <w:rPr>
                <w:rFonts w:hint="default" w:ascii="Times New Roman" w:hAnsi="Times New Roman"/>
                <w:color w:val="auto"/>
                <w:highlight w:val="none"/>
              </w:rPr>
              <w:t>工程分析</w:t>
            </w:r>
          </w:p>
        </w:tc>
        <w:tc>
          <w:tcPr>
            <w:tcW w:w="3004" w:type="pct"/>
            <w:tcBorders>
              <w:top w:val="single" w:color="000000" w:sz="6" w:space="0"/>
              <w:left w:val="single" w:color="000000" w:sz="6" w:space="0"/>
              <w:bottom w:val="single" w:color="000000" w:sz="6" w:space="0"/>
              <w:right w:val="single" w:color="000000" w:sz="8" w:space="0"/>
            </w:tcBorders>
            <w:vAlign w:val="center"/>
          </w:tcPr>
          <w:p w14:paraId="129EB6D6">
            <w:pPr>
              <w:pStyle w:val="67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color w:val="auto"/>
                <w:highlight w:val="none"/>
              </w:rPr>
            </w:pPr>
            <w:r>
              <w:rPr>
                <w:rFonts w:hint="default" w:ascii="Times New Roman" w:hAnsi="Times New Roman"/>
                <w:color w:val="auto"/>
                <w:highlight w:val="none"/>
              </w:rPr>
              <w:t>类比分析法、查阅参考资料法、产污系数法、排污系数法</w:t>
            </w:r>
          </w:p>
        </w:tc>
      </w:tr>
      <w:tr w14:paraId="42FD033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493" w:type="pct"/>
            <w:tcBorders>
              <w:top w:val="single" w:color="000000" w:sz="6" w:space="0"/>
              <w:left w:val="single" w:color="000000" w:sz="8" w:space="0"/>
              <w:bottom w:val="single" w:color="000000" w:sz="8" w:space="0"/>
              <w:right w:val="single" w:color="000000" w:sz="6" w:space="0"/>
            </w:tcBorders>
            <w:vAlign w:val="center"/>
          </w:tcPr>
          <w:p w14:paraId="623B6CAC">
            <w:pPr>
              <w:pStyle w:val="67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color w:val="auto"/>
                <w:highlight w:val="none"/>
              </w:rPr>
            </w:pPr>
            <w:r>
              <w:rPr>
                <w:rFonts w:hint="default" w:ascii="Times New Roman" w:hAnsi="Times New Roman"/>
                <w:color w:val="auto"/>
                <w:highlight w:val="none"/>
              </w:rPr>
              <w:t>4</w:t>
            </w:r>
          </w:p>
        </w:tc>
        <w:tc>
          <w:tcPr>
            <w:tcW w:w="1502" w:type="pct"/>
            <w:tcBorders>
              <w:top w:val="single" w:color="000000" w:sz="6" w:space="0"/>
              <w:left w:val="single" w:color="000000" w:sz="6" w:space="0"/>
              <w:bottom w:val="single" w:color="000000" w:sz="8" w:space="0"/>
              <w:right w:val="single" w:color="000000" w:sz="6" w:space="0"/>
            </w:tcBorders>
            <w:vAlign w:val="center"/>
          </w:tcPr>
          <w:p w14:paraId="1A479C59">
            <w:pPr>
              <w:pStyle w:val="67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color w:val="auto"/>
                <w:highlight w:val="none"/>
              </w:rPr>
            </w:pPr>
            <w:r>
              <w:rPr>
                <w:rFonts w:hint="default" w:ascii="Times New Roman" w:hAnsi="Times New Roman"/>
                <w:color w:val="auto"/>
                <w:highlight w:val="none"/>
              </w:rPr>
              <w:t>影响评价</w:t>
            </w:r>
          </w:p>
        </w:tc>
        <w:tc>
          <w:tcPr>
            <w:tcW w:w="3004" w:type="pct"/>
            <w:tcBorders>
              <w:top w:val="single" w:color="000000" w:sz="6" w:space="0"/>
              <w:left w:val="single" w:color="000000" w:sz="6" w:space="0"/>
              <w:bottom w:val="single" w:color="000000" w:sz="8" w:space="0"/>
              <w:right w:val="single" w:color="000000" w:sz="8" w:space="0"/>
            </w:tcBorders>
            <w:vAlign w:val="center"/>
          </w:tcPr>
          <w:p w14:paraId="20BFB7BE">
            <w:pPr>
              <w:pStyle w:val="672"/>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Times New Roman" w:hAnsi="Times New Roman"/>
                <w:color w:val="auto"/>
                <w:highlight w:val="none"/>
              </w:rPr>
            </w:pPr>
            <w:r>
              <w:rPr>
                <w:rFonts w:hint="default" w:ascii="Times New Roman" w:hAnsi="Times New Roman"/>
                <w:color w:val="auto"/>
                <w:highlight w:val="none"/>
              </w:rPr>
              <w:t>数学模式法、预测模式</w:t>
            </w:r>
          </w:p>
        </w:tc>
      </w:tr>
    </w:tbl>
    <w:p w14:paraId="2AA6C8A0">
      <w:pPr>
        <w:pageBreakBefore w:val="0"/>
        <w:kinsoku/>
        <w:wordWrap/>
        <w:overflowPunct/>
        <w:bidi w:val="0"/>
        <w:ind w:firstLine="480" w:firstLineChars="200"/>
        <w:rPr>
          <w:color w:val="auto"/>
          <w:highlight w:val="none"/>
        </w:rPr>
        <w:sectPr>
          <w:pgSz w:w="11906" w:h="16838"/>
          <w:pgMar w:top="1474" w:right="1474" w:bottom="1474" w:left="1814" w:header="851" w:footer="992" w:gutter="0"/>
          <w:pgNumType w:fmt="decimal"/>
          <w:cols w:space="425" w:num="1"/>
          <w:docGrid w:linePitch="326" w:charSpace="0"/>
        </w:sectPr>
      </w:pPr>
      <w:r>
        <w:rPr>
          <w:color w:val="auto"/>
          <w:highlight w:val="none"/>
        </w:rPr>
        <w:br w:type="page"/>
      </w:r>
    </w:p>
    <w:p w14:paraId="602765FB">
      <w:pPr>
        <w:keepNext/>
        <w:keepLines/>
        <w:pageBreakBefore w:val="0"/>
        <w:widowControl w:val="0"/>
        <w:numPr>
          <w:ilvl w:val="0"/>
          <w:numId w:val="10"/>
        </w:numPr>
        <w:kinsoku/>
        <w:overflowPunct/>
        <w:bidi w:val="0"/>
        <w:spacing w:before="0" w:after="0" w:line="360" w:lineRule="auto"/>
        <w:ind w:left="425" w:hanging="425"/>
        <w:jc w:val="both"/>
        <w:outlineLvl w:val="0"/>
        <w:rPr>
          <w:rFonts w:ascii="Times New Roman" w:hAnsi="Times New Roman" w:eastAsia="黑体" w:cs="Times New Roman"/>
          <w:b w:val="0"/>
          <w:bCs w:val="0"/>
          <w:color w:val="auto"/>
          <w:kern w:val="44"/>
          <w:sz w:val="44"/>
          <w:szCs w:val="44"/>
          <w:highlight w:val="none"/>
          <w:lang w:val="en-US" w:eastAsia="zh-CN" w:bidi="ar-SA"/>
        </w:rPr>
      </w:pPr>
      <w:bookmarkStart w:id="213" w:name="_Toc22029"/>
      <w:r>
        <w:rPr>
          <w:rFonts w:hint="eastAsia" w:ascii="Times New Roman" w:hAnsi="Times New Roman" w:eastAsia="黑体" w:cs="Times New Roman"/>
          <w:b w:val="0"/>
          <w:bCs w:val="0"/>
          <w:color w:val="auto"/>
          <w:kern w:val="44"/>
          <w:sz w:val="44"/>
          <w:szCs w:val="44"/>
          <w:highlight w:val="none"/>
          <w:lang w:val="en-US" w:eastAsia="zh-CN" w:bidi="ar-SA"/>
        </w:rPr>
        <w:t>工程概况</w:t>
      </w:r>
      <w:r>
        <w:rPr>
          <w:rFonts w:hint="eastAsia" w:eastAsia="黑体" w:cs="Times New Roman"/>
          <w:b w:val="0"/>
          <w:bCs w:val="0"/>
          <w:color w:val="auto"/>
          <w:kern w:val="44"/>
          <w:sz w:val="44"/>
          <w:szCs w:val="44"/>
          <w:highlight w:val="none"/>
          <w:lang w:val="en-US" w:eastAsia="zh-CN" w:bidi="ar-SA"/>
        </w:rPr>
        <w:t>及工程分析</w:t>
      </w:r>
      <w:bookmarkEnd w:id="213"/>
    </w:p>
    <w:p w14:paraId="1AB1EED7">
      <w:pPr>
        <w:keepNext/>
        <w:keepLines/>
        <w:pageBreakBefore w:val="0"/>
        <w:widowControl w:val="0"/>
        <w:numPr>
          <w:ilvl w:val="1"/>
          <w:numId w:val="10"/>
        </w:numPr>
        <w:kinsoku/>
        <w:overflowPunct/>
        <w:bidi w:val="0"/>
        <w:spacing w:line="360" w:lineRule="auto"/>
        <w:ind w:left="567" w:hanging="567"/>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14" w:name="_Toc7873"/>
      <w:r>
        <w:rPr>
          <w:rFonts w:hint="eastAsia" w:ascii="Times New Roman" w:hAnsi="Times New Roman" w:eastAsia="黑体" w:cs="Times New Roman"/>
          <w:bCs/>
          <w:color w:val="auto"/>
          <w:spacing w:val="0"/>
          <w:w w:val="100"/>
          <w:kern w:val="28"/>
          <w:sz w:val="30"/>
          <w:szCs w:val="30"/>
          <w:highlight w:val="none"/>
          <w:lang w:val="en-US" w:eastAsia="zh-CN" w:bidi="ar-SA"/>
        </w:rPr>
        <w:t>基本情况</w:t>
      </w:r>
      <w:bookmarkEnd w:id="214"/>
    </w:p>
    <w:p w14:paraId="12261939">
      <w:pPr>
        <w:pageBreakBefore w:val="0"/>
        <w:widowControl/>
        <w:kinsoku/>
        <w:wordWrap/>
        <w:overflowPunct/>
        <w:autoSpaceDE w:val="0"/>
        <w:autoSpaceDN w:val="0"/>
        <w:bidi w:val="0"/>
        <w:ind w:firstLine="480" w:firstLineChars="200"/>
        <w:jc w:val="left"/>
        <w:rPr>
          <w:rFonts w:hint="eastAsia" w:cs="Times New Roman"/>
          <w:color w:val="auto"/>
          <w:szCs w:val="24"/>
          <w:highlight w:val="none"/>
          <w:lang w:val="en-US" w:eastAsia="zh-CN"/>
        </w:rPr>
      </w:pPr>
      <w:r>
        <w:rPr>
          <w:rFonts w:hint="eastAsia" w:cs="Times New Roman"/>
          <w:color w:val="auto"/>
          <w:szCs w:val="24"/>
          <w:highlight w:val="none"/>
          <w:lang w:val="en-US" w:eastAsia="zh-CN"/>
        </w:rPr>
        <w:t>根据《环境影响评价技术导则 民用机场建设工程》（HJ87-2023）中附录A要求，对新疆精河通用机场建设项目进行梳理，项目基本情况详见表3.1-1。</w:t>
      </w:r>
    </w:p>
    <w:p w14:paraId="3AE94B97">
      <w:pPr>
        <w:pageBreakBefore w:val="0"/>
        <w:widowControl/>
        <w:kinsoku/>
        <w:wordWrap/>
        <w:overflowPunct/>
        <w:autoSpaceDE w:val="0"/>
        <w:autoSpaceDN w:val="0"/>
        <w:bidi w:val="0"/>
        <w:ind w:left="0" w:leftChars="0" w:right="0" w:rightChars="0" w:firstLine="0" w:firstLineChars="0"/>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表3.1-1  本项目基本情况一览表</w:t>
      </w:r>
    </w:p>
    <w:tbl>
      <w:tblPr>
        <w:tblStyle w:val="8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1517"/>
        <w:gridCol w:w="191"/>
        <w:gridCol w:w="1711"/>
        <w:gridCol w:w="4407"/>
      </w:tblGrid>
      <w:tr w14:paraId="77FC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568" w:type="pct"/>
            <w:vAlign w:val="center"/>
          </w:tcPr>
          <w:p w14:paraId="7A3327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b/>
                <w:bCs/>
                <w:color w:val="auto"/>
                <w:sz w:val="21"/>
                <w:szCs w:val="21"/>
                <w:highlight w:val="none"/>
                <w:lang w:val="en-US" w:eastAsia="zh-CN"/>
              </w:rPr>
            </w:pPr>
            <w:r>
              <w:rPr>
                <w:rFonts w:hint="eastAsia" w:ascii="Times New Roman" w:eastAsia="宋体"/>
                <w:b/>
                <w:bCs/>
                <w:color w:val="auto"/>
                <w:sz w:val="21"/>
                <w:szCs w:val="21"/>
                <w:highlight w:val="none"/>
                <w:lang w:val="en-US" w:eastAsia="zh-CN"/>
              </w:rPr>
              <w:t>序号</w:t>
            </w:r>
          </w:p>
        </w:tc>
        <w:tc>
          <w:tcPr>
            <w:tcW w:w="1936" w:type="pct"/>
            <w:gridSpan w:val="3"/>
            <w:vAlign w:val="center"/>
          </w:tcPr>
          <w:p w14:paraId="4E0680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b/>
                <w:bCs/>
                <w:color w:val="auto"/>
                <w:sz w:val="21"/>
                <w:szCs w:val="21"/>
                <w:highlight w:val="none"/>
                <w:lang w:val="en-US" w:eastAsia="zh-CN"/>
              </w:rPr>
            </w:pPr>
            <w:r>
              <w:rPr>
                <w:rFonts w:hint="eastAsia" w:ascii="Times New Roman" w:eastAsia="宋体"/>
                <w:b/>
                <w:bCs/>
                <w:color w:val="auto"/>
                <w:sz w:val="21"/>
                <w:szCs w:val="21"/>
                <w:highlight w:val="none"/>
                <w:lang w:val="en-US" w:eastAsia="zh-CN"/>
              </w:rPr>
              <w:t>项目</w:t>
            </w:r>
          </w:p>
        </w:tc>
        <w:tc>
          <w:tcPr>
            <w:tcW w:w="2495" w:type="pct"/>
            <w:vAlign w:val="center"/>
          </w:tcPr>
          <w:p w14:paraId="71250B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b/>
                <w:bCs/>
                <w:color w:val="auto"/>
                <w:sz w:val="21"/>
                <w:szCs w:val="21"/>
                <w:highlight w:val="none"/>
                <w:lang w:val="en-US" w:eastAsia="zh-CN"/>
              </w:rPr>
            </w:pPr>
            <w:r>
              <w:rPr>
                <w:rFonts w:hint="eastAsia"/>
                <w:b/>
                <w:bCs/>
                <w:color w:val="auto"/>
                <w:sz w:val="21"/>
                <w:szCs w:val="21"/>
                <w:highlight w:val="none"/>
                <w:lang w:val="en-US" w:eastAsia="zh-CN"/>
              </w:rPr>
              <w:t>拟建</w:t>
            </w:r>
            <w:r>
              <w:rPr>
                <w:rFonts w:hint="eastAsia" w:ascii="Times New Roman" w:eastAsia="宋体"/>
                <w:b/>
                <w:bCs/>
                <w:color w:val="auto"/>
                <w:sz w:val="21"/>
                <w:szCs w:val="21"/>
                <w:highlight w:val="none"/>
                <w:lang w:val="en-US" w:eastAsia="zh-CN"/>
              </w:rPr>
              <w:t>工程</w:t>
            </w:r>
          </w:p>
        </w:tc>
      </w:tr>
      <w:tr w14:paraId="68F5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vAlign w:val="center"/>
          </w:tcPr>
          <w:p w14:paraId="485C5F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b/>
                <w:bCs/>
                <w:color w:val="auto"/>
                <w:sz w:val="21"/>
                <w:szCs w:val="21"/>
                <w:highlight w:val="none"/>
                <w:lang w:val="en-US" w:eastAsia="zh-CN"/>
              </w:rPr>
            </w:pPr>
            <w:r>
              <w:rPr>
                <w:rFonts w:hint="eastAsia" w:ascii="Times New Roman" w:eastAsia="宋体"/>
                <w:b/>
                <w:bCs/>
                <w:color w:val="auto"/>
                <w:sz w:val="21"/>
                <w:szCs w:val="21"/>
                <w:highlight w:val="none"/>
                <w:lang w:val="en-US" w:eastAsia="zh-CN"/>
              </w:rPr>
              <w:t>一、机场基本信息</w:t>
            </w:r>
          </w:p>
        </w:tc>
      </w:tr>
      <w:tr w14:paraId="1059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015761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1</w:t>
            </w:r>
          </w:p>
        </w:tc>
        <w:tc>
          <w:tcPr>
            <w:tcW w:w="1936" w:type="pct"/>
            <w:gridSpan w:val="3"/>
            <w:vAlign w:val="center"/>
          </w:tcPr>
          <w:p w14:paraId="4544D9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机场所在地理位置</w:t>
            </w:r>
          </w:p>
        </w:tc>
        <w:tc>
          <w:tcPr>
            <w:tcW w:w="2495" w:type="pct"/>
            <w:vAlign w:val="center"/>
          </w:tcPr>
          <w:p w14:paraId="7ED784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精河县</w:t>
            </w:r>
          </w:p>
        </w:tc>
      </w:tr>
      <w:tr w14:paraId="41CC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61B76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olor w:val="auto"/>
                <w:sz w:val="21"/>
                <w:szCs w:val="21"/>
                <w:highlight w:val="none"/>
                <w:lang w:val="en-US" w:eastAsia="zh-CN"/>
              </w:rPr>
              <w:t>2</w:t>
            </w:r>
          </w:p>
        </w:tc>
        <w:tc>
          <w:tcPr>
            <w:tcW w:w="1936" w:type="pct"/>
            <w:gridSpan w:val="3"/>
            <w:shd w:val="clear" w:color="auto" w:fill="auto"/>
            <w:vAlign w:val="center"/>
          </w:tcPr>
          <w:p w14:paraId="526FCF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olor w:val="auto"/>
                <w:sz w:val="21"/>
                <w:szCs w:val="21"/>
                <w:highlight w:val="none"/>
                <w:lang w:val="en-US" w:eastAsia="zh-CN"/>
              </w:rPr>
              <w:t>机场类型</w:t>
            </w:r>
          </w:p>
        </w:tc>
        <w:tc>
          <w:tcPr>
            <w:tcW w:w="2495" w:type="pct"/>
            <w:shd w:val="clear" w:color="auto" w:fill="auto"/>
            <w:vAlign w:val="center"/>
          </w:tcPr>
          <w:p w14:paraId="1FA716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民用</w:t>
            </w:r>
            <w:r>
              <w:rPr>
                <w:rFonts w:hint="eastAsia" w:ascii="Times New Roman" w:eastAsia="宋体"/>
                <w:color w:val="auto"/>
                <w:sz w:val="21"/>
                <w:szCs w:val="21"/>
                <w:highlight w:val="none"/>
                <w:lang w:val="en-US" w:eastAsia="zh-CN"/>
              </w:rPr>
              <w:t>机场</w:t>
            </w:r>
          </w:p>
        </w:tc>
      </w:tr>
      <w:tr w14:paraId="1972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2522AA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3</w:t>
            </w:r>
          </w:p>
        </w:tc>
        <w:tc>
          <w:tcPr>
            <w:tcW w:w="1936" w:type="pct"/>
            <w:gridSpan w:val="3"/>
            <w:shd w:val="clear" w:color="auto" w:fill="auto"/>
            <w:vAlign w:val="center"/>
          </w:tcPr>
          <w:p w14:paraId="2E7111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olor w:val="auto"/>
                <w:sz w:val="21"/>
                <w:szCs w:val="21"/>
                <w:highlight w:val="none"/>
                <w:lang w:val="en-US" w:eastAsia="zh-CN"/>
              </w:rPr>
              <w:t>建设性质</w:t>
            </w:r>
          </w:p>
        </w:tc>
        <w:tc>
          <w:tcPr>
            <w:tcW w:w="2495" w:type="pct"/>
            <w:shd w:val="clear" w:color="auto" w:fill="auto"/>
            <w:vAlign w:val="center"/>
          </w:tcPr>
          <w:p w14:paraId="263A48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新建</w:t>
            </w:r>
          </w:p>
        </w:tc>
      </w:tr>
      <w:tr w14:paraId="0BC8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661A06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olor w:val="auto"/>
                <w:sz w:val="21"/>
                <w:szCs w:val="21"/>
                <w:highlight w:val="none"/>
                <w:lang w:val="en-US" w:eastAsia="zh-CN"/>
              </w:rPr>
              <w:t>4</w:t>
            </w:r>
          </w:p>
        </w:tc>
        <w:tc>
          <w:tcPr>
            <w:tcW w:w="1936" w:type="pct"/>
            <w:gridSpan w:val="3"/>
            <w:vAlign w:val="center"/>
          </w:tcPr>
          <w:p w14:paraId="1CF98A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机场基准点地理坐标</w:t>
            </w:r>
          </w:p>
        </w:tc>
        <w:tc>
          <w:tcPr>
            <w:tcW w:w="2495" w:type="pct"/>
            <w:vAlign w:val="center"/>
          </w:tcPr>
          <w:p w14:paraId="27B744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rPr>
            </w:pPr>
            <w:r>
              <w:rPr>
                <w:rFonts w:hint="eastAsia"/>
                <w:color w:val="auto"/>
                <w:sz w:val="21"/>
                <w:szCs w:val="21"/>
                <w:highlight w:val="none"/>
                <w:lang w:val="en-US" w:eastAsia="zh-CN"/>
              </w:rPr>
              <w:t>*</w:t>
            </w:r>
          </w:p>
        </w:tc>
      </w:tr>
      <w:tr w14:paraId="071F2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4AD9A8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5</w:t>
            </w:r>
          </w:p>
        </w:tc>
        <w:tc>
          <w:tcPr>
            <w:tcW w:w="1936" w:type="pct"/>
            <w:gridSpan w:val="3"/>
            <w:vAlign w:val="center"/>
          </w:tcPr>
          <w:p w14:paraId="59EEEF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机场标高</w:t>
            </w:r>
          </w:p>
        </w:tc>
        <w:tc>
          <w:tcPr>
            <w:tcW w:w="2495" w:type="pct"/>
            <w:vAlign w:val="center"/>
          </w:tcPr>
          <w:p w14:paraId="77AFAB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269.825m</w:t>
            </w:r>
          </w:p>
          <w:p w14:paraId="46E4ED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（18号跑道265.775m/36号跑道274.04m）</w:t>
            </w:r>
          </w:p>
        </w:tc>
      </w:tr>
      <w:tr w14:paraId="2B25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7880E3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6</w:t>
            </w:r>
          </w:p>
        </w:tc>
        <w:tc>
          <w:tcPr>
            <w:tcW w:w="1936" w:type="pct"/>
            <w:gridSpan w:val="3"/>
            <w:vAlign w:val="center"/>
          </w:tcPr>
          <w:p w14:paraId="2A10E2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跑道磁方位/真方位</w:t>
            </w:r>
          </w:p>
        </w:tc>
        <w:tc>
          <w:tcPr>
            <w:tcW w:w="2495" w:type="pct"/>
            <w:vAlign w:val="center"/>
          </w:tcPr>
          <w:p w14:paraId="1D2D27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olor w:val="auto"/>
                <w:sz w:val="21"/>
                <w:szCs w:val="21"/>
                <w:highlight w:val="none"/>
                <w:lang w:eastAsia="zh-CN"/>
              </w:rPr>
            </w:pPr>
            <w:r>
              <w:rPr>
                <w:rFonts w:hint="eastAsia"/>
                <w:color w:val="auto"/>
                <w:sz w:val="21"/>
                <w:szCs w:val="21"/>
                <w:highlight w:val="none"/>
                <w:lang w:val="en-US" w:eastAsia="zh-CN"/>
              </w:rPr>
              <w:t>*</w:t>
            </w:r>
          </w:p>
        </w:tc>
      </w:tr>
      <w:tr w14:paraId="6892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7E71FB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zh-CN"/>
              </w:rPr>
            </w:pPr>
            <w:r>
              <w:rPr>
                <w:rFonts w:hint="eastAsia"/>
                <w:color w:val="auto"/>
                <w:sz w:val="21"/>
                <w:szCs w:val="21"/>
                <w:highlight w:val="none"/>
                <w:lang w:val="en-US" w:eastAsia="zh-CN"/>
              </w:rPr>
              <w:t>7</w:t>
            </w:r>
          </w:p>
        </w:tc>
        <w:tc>
          <w:tcPr>
            <w:tcW w:w="1936" w:type="pct"/>
            <w:gridSpan w:val="3"/>
            <w:vAlign w:val="center"/>
          </w:tcPr>
          <w:p w14:paraId="1D9EE1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机场与所在城市位置关系</w:t>
            </w:r>
          </w:p>
        </w:tc>
        <w:tc>
          <w:tcPr>
            <w:tcW w:w="2495" w:type="pct"/>
            <w:vAlign w:val="center"/>
          </w:tcPr>
          <w:p w14:paraId="127C5C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color w:val="auto"/>
                <w:sz w:val="21"/>
                <w:szCs w:val="21"/>
                <w:highlight w:val="none"/>
                <w:lang w:val="en-US" w:eastAsia="zh-CN"/>
              </w:rPr>
            </w:pPr>
            <w:r>
              <w:rPr>
                <w:rFonts w:hint="eastAsia"/>
                <w:color w:val="auto"/>
                <w:sz w:val="21"/>
                <w:szCs w:val="21"/>
                <w:highlight w:val="none"/>
              </w:rPr>
              <w:t>距精河县城中心直线距离约9km</w:t>
            </w:r>
          </w:p>
        </w:tc>
      </w:tr>
      <w:tr w14:paraId="4E69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7FA00F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olor w:val="auto"/>
                <w:sz w:val="21"/>
                <w:szCs w:val="21"/>
                <w:highlight w:val="none"/>
                <w:lang w:val="en-US" w:eastAsia="zh-CN"/>
              </w:rPr>
              <w:t>8</w:t>
            </w:r>
          </w:p>
        </w:tc>
        <w:tc>
          <w:tcPr>
            <w:tcW w:w="1936" w:type="pct"/>
            <w:gridSpan w:val="3"/>
            <w:vAlign w:val="center"/>
          </w:tcPr>
          <w:p w14:paraId="386B4C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占地规模</w:t>
            </w:r>
          </w:p>
        </w:tc>
        <w:tc>
          <w:tcPr>
            <w:tcW w:w="2495" w:type="pct"/>
            <w:vAlign w:val="center"/>
          </w:tcPr>
          <w:p w14:paraId="6B20CC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rPr>
            </w:pPr>
            <w:r>
              <w:rPr>
                <w:rFonts w:hint="eastAsia"/>
                <w:color w:val="auto"/>
                <w:sz w:val="21"/>
                <w:szCs w:val="21"/>
                <w:highlight w:val="none"/>
              </w:rPr>
              <w:t>65.2804hm</w:t>
            </w:r>
            <w:r>
              <w:rPr>
                <w:rFonts w:hint="eastAsia"/>
                <w:color w:val="auto"/>
                <w:sz w:val="21"/>
                <w:szCs w:val="21"/>
                <w:highlight w:val="none"/>
                <w:vertAlign w:val="superscript"/>
              </w:rPr>
              <w:t>2</w:t>
            </w:r>
          </w:p>
        </w:tc>
      </w:tr>
      <w:tr w14:paraId="4F0E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687C4B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olor w:val="auto"/>
                <w:sz w:val="21"/>
                <w:szCs w:val="21"/>
                <w:highlight w:val="none"/>
                <w:lang w:val="en-US" w:eastAsia="zh-CN"/>
              </w:rPr>
              <w:t>9</w:t>
            </w:r>
          </w:p>
        </w:tc>
        <w:tc>
          <w:tcPr>
            <w:tcW w:w="1936" w:type="pct"/>
            <w:gridSpan w:val="3"/>
            <w:vAlign w:val="center"/>
          </w:tcPr>
          <w:p w14:paraId="3F459D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建设时间</w:t>
            </w:r>
          </w:p>
        </w:tc>
        <w:tc>
          <w:tcPr>
            <w:tcW w:w="2495" w:type="pct"/>
            <w:vAlign w:val="center"/>
          </w:tcPr>
          <w:p w14:paraId="2BCD57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20</w:t>
            </w:r>
            <w:r>
              <w:rPr>
                <w:rFonts w:hint="eastAsia"/>
                <w:color w:val="auto"/>
                <w:sz w:val="21"/>
                <w:szCs w:val="21"/>
                <w:highlight w:val="none"/>
                <w:lang w:val="en-US" w:eastAsia="zh-CN"/>
              </w:rPr>
              <w:t>25</w:t>
            </w:r>
            <w:r>
              <w:rPr>
                <w:rFonts w:hint="eastAsia" w:ascii="Times New Roman" w:eastAsia="宋体"/>
                <w:color w:val="auto"/>
                <w:sz w:val="21"/>
                <w:szCs w:val="21"/>
                <w:highlight w:val="none"/>
                <w:lang w:val="en-US" w:eastAsia="zh-CN"/>
              </w:rPr>
              <w:t>年</w:t>
            </w:r>
            <w:r>
              <w:rPr>
                <w:rFonts w:hint="eastAsia"/>
                <w:color w:val="auto"/>
                <w:sz w:val="21"/>
                <w:szCs w:val="21"/>
                <w:highlight w:val="none"/>
                <w:lang w:val="en-US" w:eastAsia="zh-CN"/>
              </w:rPr>
              <w:t>-2027年</w:t>
            </w:r>
          </w:p>
        </w:tc>
      </w:tr>
      <w:tr w14:paraId="25ED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410B8F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olor w:val="auto"/>
                <w:sz w:val="21"/>
                <w:szCs w:val="21"/>
                <w:highlight w:val="none"/>
                <w:lang w:val="en-US" w:eastAsia="zh-CN"/>
              </w:rPr>
              <w:t>10</w:t>
            </w:r>
          </w:p>
        </w:tc>
        <w:tc>
          <w:tcPr>
            <w:tcW w:w="1936" w:type="pct"/>
            <w:gridSpan w:val="3"/>
            <w:vAlign w:val="center"/>
          </w:tcPr>
          <w:p w14:paraId="0D41A5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建设单位</w:t>
            </w:r>
          </w:p>
        </w:tc>
        <w:tc>
          <w:tcPr>
            <w:tcW w:w="2495" w:type="pct"/>
            <w:vAlign w:val="center"/>
          </w:tcPr>
          <w:p w14:paraId="7B04AA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新疆杞福机场经营管理有限责任公司</w:t>
            </w:r>
          </w:p>
        </w:tc>
      </w:tr>
      <w:tr w14:paraId="3868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0E43BD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olor w:val="auto"/>
                <w:sz w:val="21"/>
                <w:szCs w:val="21"/>
                <w:highlight w:val="none"/>
                <w:lang w:val="en-US" w:eastAsia="zh-CN"/>
              </w:rPr>
              <w:t>11</w:t>
            </w:r>
          </w:p>
        </w:tc>
        <w:tc>
          <w:tcPr>
            <w:tcW w:w="1936" w:type="pct"/>
            <w:gridSpan w:val="3"/>
            <w:vAlign w:val="center"/>
          </w:tcPr>
          <w:p w14:paraId="72511C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设计目标年</w:t>
            </w:r>
          </w:p>
        </w:tc>
        <w:tc>
          <w:tcPr>
            <w:tcW w:w="2495" w:type="pct"/>
            <w:vAlign w:val="center"/>
          </w:tcPr>
          <w:p w14:paraId="1D1225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本期2030年、远期2050年</w:t>
            </w:r>
          </w:p>
        </w:tc>
      </w:tr>
      <w:tr w14:paraId="4410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125855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12</w:t>
            </w:r>
          </w:p>
        </w:tc>
        <w:tc>
          <w:tcPr>
            <w:tcW w:w="1936" w:type="pct"/>
            <w:gridSpan w:val="3"/>
            <w:vAlign w:val="center"/>
          </w:tcPr>
          <w:p w14:paraId="5C7983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总投资</w:t>
            </w:r>
          </w:p>
        </w:tc>
        <w:tc>
          <w:tcPr>
            <w:tcW w:w="2495" w:type="pct"/>
            <w:vAlign w:val="center"/>
          </w:tcPr>
          <w:p w14:paraId="1055C0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12624</w:t>
            </w:r>
            <w:r>
              <w:rPr>
                <w:rFonts w:hint="eastAsia" w:ascii="Times New Roman" w:eastAsia="宋体"/>
                <w:color w:val="auto"/>
                <w:sz w:val="21"/>
                <w:szCs w:val="21"/>
                <w:highlight w:val="none"/>
                <w:lang w:val="en-US" w:eastAsia="zh-CN"/>
              </w:rPr>
              <w:t>万元</w:t>
            </w:r>
          </w:p>
        </w:tc>
      </w:tr>
      <w:tr w14:paraId="2443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682AA5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13</w:t>
            </w:r>
          </w:p>
        </w:tc>
        <w:tc>
          <w:tcPr>
            <w:tcW w:w="1936" w:type="pct"/>
            <w:gridSpan w:val="3"/>
            <w:vAlign w:val="center"/>
          </w:tcPr>
          <w:p w14:paraId="6CA0E5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环保投资</w:t>
            </w:r>
          </w:p>
        </w:tc>
        <w:tc>
          <w:tcPr>
            <w:tcW w:w="2495" w:type="pct"/>
            <w:vAlign w:val="center"/>
          </w:tcPr>
          <w:p w14:paraId="7D369B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855</w:t>
            </w:r>
            <w:r>
              <w:rPr>
                <w:rFonts w:hint="eastAsia" w:ascii="Times New Roman" w:eastAsia="宋体"/>
                <w:color w:val="auto"/>
                <w:sz w:val="21"/>
                <w:szCs w:val="21"/>
                <w:highlight w:val="none"/>
                <w:lang w:val="en-US" w:eastAsia="zh-CN"/>
              </w:rPr>
              <w:t>万元</w:t>
            </w:r>
          </w:p>
        </w:tc>
      </w:tr>
      <w:tr w14:paraId="764B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vAlign w:val="center"/>
          </w:tcPr>
          <w:p w14:paraId="046443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b/>
                <w:bCs/>
                <w:color w:val="auto"/>
                <w:sz w:val="21"/>
                <w:szCs w:val="21"/>
                <w:highlight w:val="none"/>
                <w:lang w:val="en-US" w:eastAsia="zh-CN"/>
              </w:rPr>
            </w:pPr>
            <w:r>
              <w:rPr>
                <w:rFonts w:hint="eastAsia" w:ascii="Times New Roman" w:eastAsia="宋体"/>
                <w:b/>
                <w:bCs/>
                <w:color w:val="auto"/>
                <w:sz w:val="21"/>
                <w:szCs w:val="21"/>
                <w:highlight w:val="none"/>
                <w:lang w:val="en-US" w:eastAsia="zh-CN"/>
              </w:rPr>
              <w:t>二、航空业务量</w:t>
            </w:r>
          </w:p>
        </w:tc>
      </w:tr>
      <w:tr w14:paraId="0AB5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7A16AC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1</w:t>
            </w:r>
          </w:p>
        </w:tc>
        <w:tc>
          <w:tcPr>
            <w:tcW w:w="1936" w:type="pct"/>
            <w:gridSpan w:val="3"/>
            <w:vAlign w:val="center"/>
          </w:tcPr>
          <w:p w14:paraId="292B1B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年旅客吞吐量</w:t>
            </w:r>
          </w:p>
        </w:tc>
        <w:tc>
          <w:tcPr>
            <w:tcW w:w="2495" w:type="pct"/>
            <w:vAlign w:val="center"/>
          </w:tcPr>
          <w:p w14:paraId="41BD19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2030年，63120人次</w:t>
            </w:r>
          </w:p>
          <w:p w14:paraId="0D9683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2050年，210240人次</w:t>
            </w:r>
          </w:p>
        </w:tc>
      </w:tr>
      <w:tr w14:paraId="3509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2F06B2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2</w:t>
            </w:r>
          </w:p>
        </w:tc>
        <w:tc>
          <w:tcPr>
            <w:tcW w:w="1936" w:type="pct"/>
            <w:gridSpan w:val="3"/>
            <w:vAlign w:val="center"/>
          </w:tcPr>
          <w:p w14:paraId="61AAB0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年货邮吞吐量</w:t>
            </w:r>
          </w:p>
        </w:tc>
        <w:tc>
          <w:tcPr>
            <w:tcW w:w="2495" w:type="pct"/>
            <w:vAlign w:val="center"/>
          </w:tcPr>
          <w:p w14:paraId="482837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r>
      <w:tr w14:paraId="71651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4FFB97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3</w:t>
            </w:r>
          </w:p>
        </w:tc>
        <w:tc>
          <w:tcPr>
            <w:tcW w:w="1936" w:type="pct"/>
            <w:gridSpan w:val="3"/>
            <w:vAlign w:val="center"/>
          </w:tcPr>
          <w:p w14:paraId="2A96A1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年航空器起降架次</w:t>
            </w:r>
          </w:p>
        </w:tc>
        <w:tc>
          <w:tcPr>
            <w:tcW w:w="2495" w:type="pct"/>
            <w:vAlign w:val="center"/>
          </w:tcPr>
          <w:p w14:paraId="67291B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eastAsia="宋体"/>
                <w:color w:val="auto"/>
                <w:spacing w:val="0"/>
                <w:sz w:val="21"/>
                <w:szCs w:val="21"/>
                <w:highlight w:val="none"/>
                <w:lang w:val="en-US" w:eastAsia="zh-CN"/>
              </w:rPr>
            </w:pPr>
            <w:r>
              <w:rPr>
                <w:rFonts w:hint="eastAsia" w:ascii="Times New Roman" w:eastAsia="宋体"/>
                <w:color w:val="auto"/>
                <w:spacing w:val="0"/>
                <w:sz w:val="21"/>
                <w:szCs w:val="21"/>
                <w:highlight w:val="none"/>
                <w:lang w:val="en-US" w:eastAsia="zh-CN"/>
              </w:rPr>
              <w:t>20</w:t>
            </w:r>
            <w:r>
              <w:rPr>
                <w:rFonts w:hint="eastAsia"/>
                <w:color w:val="auto"/>
                <w:spacing w:val="0"/>
                <w:sz w:val="21"/>
                <w:szCs w:val="21"/>
                <w:highlight w:val="none"/>
                <w:lang w:val="en-US" w:eastAsia="zh-CN"/>
              </w:rPr>
              <w:t>30</w:t>
            </w:r>
            <w:r>
              <w:rPr>
                <w:rFonts w:hint="eastAsia" w:ascii="Times New Roman" w:eastAsia="宋体"/>
                <w:color w:val="auto"/>
                <w:spacing w:val="0"/>
                <w:sz w:val="21"/>
                <w:szCs w:val="21"/>
                <w:highlight w:val="none"/>
                <w:lang w:val="en-US" w:eastAsia="zh-CN"/>
              </w:rPr>
              <w:t>年，9900架次</w:t>
            </w:r>
          </w:p>
          <w:p w14:paraId="6645A5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eastAsia="宋体"/>
                <w:color w:val="auto"/>
                <w:sz w:val="21"/>
                <w:szCs w:val="21"/>
                <w:highlight w:val="none"/>
                <w:lang w:val="en-US" w:eastAsia="zh-CN"/>
              </w:rPr>
            </w:pPr>
            <w:r>
              <w:rPr>
                <w:rFonts w:hint="eastAsia" w:ascii="Times New Roman" w:eastAsia="宋体"/>
                <w:color w:val="auto"/>
                <w:spacing w:val="0"/>
                <w:sz w:val="21"/>
                <w:szCs w:val="21"/>
                <w:highlight w:val="none"/>
                <w:lang w:val="en-US" w:eastAsia="zh-CN"/>
              </w:rPr>
              <w:t>20</w:t>
            </w:r>
            <w:r>
              <w:rPr>
                <w:rFonts w:hint="eastAsia"/>
                <w:color w:val="auto"/>
                <w:spacing w:val="0"/>
                <w:sz w:val="21"/>
                <w:szCs w:val="21"/>
                <w:highlight w:val="none"/>
                <w:lang w:val="en-US" w:eastAsia="zh-CN"/>
              </w:rPr>
              <w:t>50</w:t>
            </w:r>
            <w:r>
              <w:rPr>
                <w:rFonts w:hint="eastAsia" w:ascii="Times New Roman" w:eastAsia="宋体"/>
                <w:color w:val="auto"/>
                <w:spacing w:val="0"/>
                <w:sz w:val="21"/>
                <w:szCs w:val="21"/>
                <w:highlight w:val="none"/>
                <w:lang w:val="en-US" w:eastAsia="zh-CN"/>
              </w:rPr>
              <w:t>年，</w:t>
            </w:r>
            <w:r>
              <w:rPr>
                <w:rFonts w:hint="eastAsia"/>
                <w:color w:val="auto"/>
                <w:spacing w:val="0"/>
                <w:sz w:val="21"/>
                <w:szCs w:val="21"/>
                <w:highlight w:val="none"/>
                <w:lang w:val="en-US" w:eastAsia="zh-CN"/>
              </w:rPr>
              <w:t>27120</w:t>
            </w:r>
            <w:r>
              <w:rPr>
                <w:rFonts w:hint="eastAsia" w:ascii="Times New Roman" w:eastAsia="宋体"/>
                <w:color w:val="auto"/>
                <w:spacing w:val="0"/>
                <w:sz w:val="21"/>
                <w:szCs w:val="21"/>
                <w:highlight w:val="none"/>
                <w:lang w:val="en-US" w:eastAsia="zh-CN"/>
              </w:rPr>
              <w:t>架次</w:t>
            </w:r>
          </w:p>
        </w:tc>
      </w:tr>
      <w:tr w14:paraId="2974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6CFACE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zh-CN"/>
              </w:rPr>
            </w:pPr>
            <w:r>
              <w:rPr>
                <w:rFonts w:hint="eastAsia"/>
                <w:color w:val="auto"/>
                <w:sz w:val="21"/>
                <w:szCs w:val="21"/>
                <w:highlight w:val="none"/>
                <w:lang w:val="en-US" w:eastAsia="zh-CN"/>
              </w:rPr>
              <w:t>4</w:t>
            </w:r>
          </w:p>
        </w:tc>
        <w:tc>
          <w:tcPr>
            <w:tcW w:w="1936" w:type="pct"/>
            <w:gridSpan w:val="3"/>
            <w:vAlign w:val="center"/>
          </w:tcPr>
          <w:p w14:paraId="75E357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zh-CN"/>
              </w:rPr>
            </w:pPr>
            <w:r>
              <w:rPr>
                <w:rFonts w:hint="eastAsia"/>
                <w:color w:val="auto"/>
                <w:sz w:val="21"/>
                <w:szCs w:val="21"/>
                <w:highlight w:val="none"/>
                <w:lang w:val="en-US" w:eastAsia="zh-CN"/>
              </w:rPr>
              <w:t>主要机型</w:t>
            </w:r>
          </w:p>
        </w:tc>
        <w:tc>
          <w:tcPr>
            <w:tcW w:w="2495" w:type="pct"/>
            <w:vAlign w:val="center"/>
          </w:tcPr>
          <w:p w14:paraId="240CF5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eastAsia="宋体"/>
                <w:color w:val="auto"/>
                <w:spacing w:val="0"/>
                <w:sz w:val="21"/>
                <w:szCs w:val="21"/>
                <w:highlight w:val="none"/>
                <w:lang w:val="en-US" w:eastAsia="zh-CN"/>
              </w:rPr>
            </w:pPr>
            <w:r>
              <w:rPr>
                <w:rFonts w:hint="eastAsia" w:ascii="Times New Roman" w:eastAsia="宋体"/>
                <w:color w:val="auto"/>
                <w:spacing w:val="-6"/>
                <w:sz w:val="21"/>
                <w:szCs w:val="21"/>
                <w:highlight w:val="none"/>
                <w:lang w:val="en-US" w:eastAsia="zh-CN"/>
              </w:rPr>
              <w:t>国王350ER、运12F、运12E、运5B、赛斯纳208、大棕熊-100、PC-12及MI-171直升机等</w:t>
            </w:r>
          </w:p>
        </w:tc>
      </w:tr>
      <w:tr w14:paraId="4F00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vAlign w:val="center"/>
          </w:tcPr>
          <w:p w14:paraId="26A8C4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b/>
                <w:bCs/>
                <w:color w:val="auto"/>
                <w:sz w:val="21"/>
                <w:szCs w:val="21"/>
                <w:highlight w:val="none"/>
                <w:lang w:val="en-US" w:eastAsia="zh-CN"/>
              </w:rPr>
            </w:pPr>
            <w:r>
              <w:rPr>
                <w:rFonts w:hint="eastAsia" w:ascii="Times New Roman" w:eastAsia="宋体"/>
                <w:b/>
                <w:bCs/>
                <w:color w:val="auto"/>
                <w:sz w:val="21"/>
                <w:szCs w:val="21"/>
                <w:highlight w:val="none"/>
                <w:lang w:val="en-US" w:eastAsia="zh-CN"/>
              </w:rPr>
              <w:t>三、机场工程建设内容</w:t>
            </w:r>
          </w:p>
        </w:tc>
      </w:tr>
      <w:tr w14:paraId="52AC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59040F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b/>
                <w:bCs/>
                <w:color w:val="auto"/>
                <w:sz w:val="21"/>
                <w:szCs w:val="21"/>
                <w:highlight w:val="none"/>
                <w:lang w:val="en-US" w:eastAsia="zh-CN"/>
              </w:rPr>
            </w:pPr>
            <w:r>
              <w:rPr>
                <w:rFonts w:hint="eastAsia" w:ascii="Times New Roman" w:eastAsia="宋体"/>
                <w:b/>
                <w:bCs/>
                <w:color w:val="auto"/>
                <w:sz w:val="21"/>
                <w:szCs w:val="21"/>
                <w:highlight w:val="none"/>
                <w:lang w:val="en-US" w:eastAsia="zh-CN"/>
              </w:rPr>
              <w:t>1</w:t>
            </w:r>
          </w:p>
        </w:tc>
        <w:tc>
          <w:tcPr>
            <w:tcW w:w="4431" w:type="pct"/>
            <w:gridSpan w:val="4"/>
            <w:vAlign w:val="center"/>
          </w:tcPr>
          <w:p w14:paraId="188550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b/>
                <w:bCs/>
                <w:color w:val="auto"/>
                <w:sz w:val="21"/>
                <w:szCs w:val="21"/>
                <w:highlight w:val="none"/>
                <w:lang w:val="en-US" w:eastAsia="zh-CN"/>
              </w:rPr>
            </w:pPr>
            <w:r>
              <w:rPr>
                <w:rFonts w:hint="eastAsia" w:ascii="Times New Roman" w:eastAsia="宋体"/>
                <w:b/>
                <w:bCs/>
                <w:color w:val="auto"/>
                <w:sz w:val="21"/>
                <w:szCs w:val="21"/>
                <w:highlight w:val="none"/>
                <w:lang w:val="en-US" w:eastAsia="zh-CN"/>
              </w:rPr>
              <w:t>主体工程</w:t>
            </w:r>
          </w:p>
        </w:tc>
      </w:tr>
      <w:tr w14:paraId="2795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restart"/>
            <w:vAlign w:val="center"/>
          </w:tcPr>
          <w:p w14:paraId="5B4C4F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（1</w:t>
            </w:r>
            <w:r>
              <w:rPr>
                <w:rFonts w:hint="eastAsia"/>
                <w:color w:val="auto"/>
                <w:sz w:val="21"/>
                <w:szCs w:val="21"/>
                <w:highlight w:val="none"/>
                <w:lang w:val="en-US" w:eastAsia="zh-CN"/>
              </w:rPr>
              <w:t>)</w:t>
            </w:r>
          </w:p>
        </w:tc>
        <w:tc>
          <w:tcPr>
            <w:tcW w:w="859" w:type="pct"/>
            <w:vMerge w:val="restart"/>
            <w:vAlign w:val="center"/>
          </w:tcPr>
          <w:p w14:paraId="3BFE5F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飞行区</w:t>
            </w:r>
          </w:p>
        </w:tc>
        <w:tc>
          <w:tcPr>
            <w:tcW w:w="1077" w:type="pct"/>
            <w:gridSpan w:val="2"/>
            <w:vAlign w:val="center"/>
          </w:tcPr>
          <w:p w14:paraId="39C0E7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跑道</w:t>
            </w:r>
          </w:p>
        </w:tc>
        <w:tc>
          <w:tcPr>
            <w:tcW w:w="2495" w:type="pct"/>
            <w:vAlign w:val="center"/>
          </w:tcPr>
          <w:p w14:paraId="62698C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rPr>
            </w:pPr>
            <w:r>
              <w:rPr>
                <w:rFonts w:hint="eastAsia"/>
                <w:color w:val="auto"/>
                <w:sz w:val="21"/>
                <w:szCs w:val="21"/>
                <w:highlight w:val="none"/>
                <w:lang w:val="en-US" w:eastAsia="zh-CN"/>
              </w:rPr>
              <w:t>本期</w:t>
            </w:r>
            <w:r>
              <w:rPr>
                <w:rFonts w:hint="eastAsia" w:ascii="Times New Roman" w:eastAsia="宋体"/>
                <w:color w:val="auto"/>
                <w:sz w:val="21"/>
                <w:szCs w:val="21"/>
                <w:highlight w:val="none"/>
                <w:lang w:val="en-US" w:eastAsia="zh-CN"/>
              </w:rPr>
              <w:t>新建3B非仪表跑道长</w:t>
            </w:r>
            <w:r>
              <w:rPr>
                <w:rFonts w:hint="eastAsia"/>
                <w:color w:val="auto"/>
                <w:sz w:val="21"/>
                <w:szCs w:val="21"/>
                <w:highlight w:val="none"/>
                <w:lang w:val="en-US" w:eastAsia="zh-CN"/>
              </w:rPr>
              <w:t>18</w:t>
            </w:r>
            <w:r>
              <w:rPr>
                <w:rFonts w:hint="eastAsia" w:ascii="Times New Roman" w:eastAsia="宋体"/>
                <w:color w:val="auto"/>
                <w:sz w:val="21"/>
                <w:szCs w:val="21"/>
                <w:highlight w:val="none"/>
                <w:lang w:val="en-US" w:eastAsia="zh-CN"/>
              </w:rPr>
              <w:t>00m、宽30m</w:t>
            </w:r>
            <w:r>
              <w:rPr>
                <w:rFonts w:hint="eastAsia"/>
                <w:color w:val="auto"/>
                <w:sz w:val="21"/>
                <w:szCs w:val="21"/>
                <w:highlight w:val="none"/>
                <w:lang w:val="en-US" w:eastAsia="zh-CN"/>
              </w:rPr>
              <w:t>；南北两端分别设18号、36号进近方向</w:t>
            </w:r>
          </w:p>
        </w:tc>
      </w:tr>
      <w:tr w14:paraId="6024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01BE27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27E4D1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1D901E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滑行道</w:t>
            </w:r>
          </w:p>
        </w:tc>
        <w:tc>
          <w:tcPr>
            <w:tcW w:w="2495" w:type="pct"/>
            <w:vAlign w:val="center"/>
          </w:tcPr>
          <w:p w14:paraId="37E0F1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本期滑行道198.75m×10.5m，距跑道南端845m，在跑道与站坪间预留一条平行滑道建设空间，间距为152m，站坪后期可进一步扩展增加一排B类机位，新增机位与本期机位平行布局</w:t>
            </w:r>
          </w:p>
        </w:tc>
      </w:tr>
      <w:tr w14:paraId="73AA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6B87AD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0F985A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6C5107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垂直联络道</w:t>
            </w:r>
          </w:p>
        </w:tc>
        <w:tc>
          <w:tcPr>
            <w:tcW w:w="2495" w:type="pct"/>
            <w:vAlign w:val="center"/>
          </w:tcPr>
          <w:p w14:paraId="4EEEA8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机场</w:t>
            </w:r>
            <w:r>
              <w:rPr>
                <w:rFonts w:hint="eastAsia"/>
                <w:color w:val="auto"/>
                <w:sz w:val="21"/>
                <w:szCs w:val="21"/>
                <w:highlight w:val="none"/>
                <w:lang w:val="en-US" w:eastAsia="zh-CN"/>
              </w:rPr>
              <w:t>本期</w:t>
            </w:r>
            <w:r>
              <w:rPr>
                <w:rFonts w:hint="eastAsia" w:eastAsia="宋体"/>
                <w:color w:val="auto"/>
                <w:sz w:val="21"/>
                <w:szCs w:val="21"/>
                <w:highlight w:val="none"/>
                <w:lang w:val="en-US" w:eastAsia="zh-CN"/>
              </w:rPr>
              <w:t>在跑道与站坪之间，距跑道主降端（南端）845m处设置一条长198.75m垂直联络道，基本宽度10.5m</w:t>
            </w:r>
            <w:r>
              <w:rPr>
                <w:rFonts w:hint="eastAsia"/>
                <w:color w:val="auto"/>
                <w:sz w:val="21"/>
                <w:szCs w:val="21"/>
                <w:highlight w:val="none"/>
                <w:lang w:val="en-US" w:eastAsia="zh-CN"/>
              </w:rPr>
              <w:t>；</w:t>
            </w:r>
            <w:r>
              <w:rPr>
                <w:rFonts w:hint="eastAsia" w:eastAsia="宋体"/>
                <w:color w:val="auto"/>
                <w:sz w:val="21"/>
                <w:szCs w:val="21"/>
                <w:highlight w:val="none"/>
                <w:lang w:val="en-US" w:eastAsia="zh-CN"/>
              </w:rPr>
              <w:t>新建联络道道面总面积2630m</w:t>
            </w:r>
            <w:r>
              <w:rPr>
                <w:rFonts w:hint="eastAsia"/>
                <w:color w:val="auto"/>
                <w:sz w:val="21"/>
                <w:szCs w:val="21"/>
                <w:highlight w:val="none"/>
                <w:vertAlign w:val="superscript"/>
                <w:lang w:val="en-US" w:eastAsia="zh-CN"/>
              </w:rPr>
              <w:t>2</w:t>
            </w:r>
          </w:p>
        </w:tc>
      </w:tr>
      <w:tr w14:paraId="0179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2D7F0D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7822EB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72E2B4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机坪</w:t>
            </w:r>
            <w:r>
              <w:rPr>
                <w:rFonts w:hint="eastAsia"/>
                <w:color w:val="auto"/>
                <w:sz w:val="21"/>
                <w:szCs w:val="21"/>
                <w:highlight w:val="none"/>
                <w:lang w:val="en-US" w:eastAsia="zh-CN"/>
              </w:rPr>
              <w:t>/站坪</w:t>
            </w:r>
          </w:p>
        </w:tc>
        <w:tc>
          <w:tcPr>
            <w:tcW w:w="2495" w:type="pct"/>
            <w:vAlign w:val="center"/>
          </w:tcPr>
          <w:p w14:paraId="1C19C2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eastAsia="宋体"/>
                <w:color w:val="auto"/>
                <w:sz w:val="21"/>
                <w:szCs w:val="21"/>
                <w:highlight w:val="none"/>
                <w:lang w:eastAsia="zh-CN"/>
              </w:rPr>
            </w:pPr>
            <w:r>
              <w:rPr>
                <w:rFonts w:hint="eastAsia" w:eastAsia="宋体"/>
                <w:color w:val="auto"/>
                <w:sz w:val="21"/>
                <w:szCs w:val="21"/>
                <w:highlight w:val="none"/>
                <w:lang w:eastAsia="zh-CN"/>
              </w:rPr>
              <w:t>机场</w:t>
            </w:r>
            <w:r>
              <w:rPr>
                <w:rFonts w:hint="eastAsia"/>
                <w:color w:val="auto"/>
                <w:sz w:val="21"/>
                <w:szCs w:val="21"/>
                <w:highlight w:val="none"/>
                <w:lang w:val="en-US" w:eastAsia="zh-CN"/>
              </w:rPr>
              <w:t>本期</w:t>
            </w:r>
            <w:r>
              <w:rPr>
                <w:rFonts w:hint="eastAsia" w:eastAsia="宋体"/>
                <w:color w:val="auto"/>
                <w:sz w:val="21"/>
                <w:szCs w:val="21"/>
                <w:highlight w:val="none"/>
                <w:lang w:eastAsia="zh-CN"/>
              </w:rPr>
              <w:t>建设停机位数为7个（5B+2H），采用自滑进自滑出的运行模式，在站坪南侧设置一个加油机位，站坪尺寸为222</w:t>
            </w:r>
            <w:r>
              <w:rPr>
                <w:rFonts w:hint="eastAsia"/>
                <w:color w:val="auto"/>
                <w:sz w:val="21"/>
                <w:szCs w:val="21"/>
                <w:highlight w:val="none"/>
                <w:lang w:val="en-US" w:eastAsia="zh-CN"/>
              </w:rPr>
              <w:t>×</w:t>
            </w:r>
            <w:r>
              <w:rPr>
                <w:rFonts w:hint="eastAsia" w:eastAsia="宋体"/>
                <w:color w:val="auto"/>
                <w:sz w:val="21"/>
                <w:szCs w:val="21"/>
                <w:highlight w:val="none"/>
                <w:lang w:eastAsia="zh-CN"/>
              </w:rPr>
              <w:t>92.25m，新建站坪道面总面积23380m</w:t>
            </w:r>
            <w:r>
              <w:rPr>
                <w:rFonts w:hint="eastAsia"/>
                <w:color w:val="auto"/>
                <w:sz w:val="21"/>
                <w:szCs w:val="21"/>
                <w:highlight w:val="none"/>
                <w:vertAlign w:val="superscript"/>
                <w:lang w:val="en-US" w:eastAsia="zh-CN"/>
              </w:rPr>
              <w:t>2</w:t>
            </w:r>
          </w:p>
        </w:tc>
      </w:tr>
      <w:tr w14:paraId="538F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2623E3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176C14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66D992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防吹坪</w:t>
            </w:r>
          </w:p>
        </w:tc>
        <w:tc>
          <w:tcPr>
            <w:tcW w:w="2495" w:type="pct"/>
            <w:vAlign w:val="center"/>
          </w:tcPr>
          <w:p w14:paraId="10FD13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eastAsia="宋体"/>
                <w:color w:val="auto"/>
                <w:sz w:val="21"/>
                <w:szCs w:val="21"/>
                <w:highlight w:val="none"/>
                <w:lang w:eastAsia="zh-CN"/>
              </w:rPr>
            </w:pPr>
            <w:r>
              <w:rPr>
                <w:rFonts w:hint="default"/>
                <w:color w:val="auto"/>
                <w:sz w:val="21"/>
                <w:szCs w:val="21"/>
                <w:highlight w:val="none"/>
              </w:rPr>
              <w:t>跑道两端设45×3</w:t>
            </w:r>
            <w:r>
              <w:rPr>
                <w:rFonts w:hint="eastAsia"/>
                <w:color w:val="auto"/>
                <w:sz w:val="21"/>
                <w:szCs w:val="21"/>
                <w:highlight w:val="none"/>
                <w:lang w:val="en-US" w:eastAsia="zh-CN"/>
              </w:rPr>
              <w:t>0</w:t>
            </w:r>
            <w:r>
              <w:rPr>
                <w:rFonts w:hint="default"/>
                <w:color w:val="auto"/>
                <w:sz w:val="21"/>
                <w:szCs w:val="21"/>
                <w:highlight w:val="none"/>
              </w:rPr>
              <w:t>m防吹坪</w:t>
            </w:r>
            <w:r>
              <w:rPr>
                <w:rFonts w:hint="eastAsia"/>
                <w:color w:val="auto"/>
                <w:sz w:val="21"/>
                <w:szCs w:val="21"/>
                <w:highlight w:val="none"/>
                <w:lang w:val="en-US" w:eastAsia="zh-CN"/>
              </w:rPr>
              <w:t>各</w:t>
            </w:r>
            <w:r>
              <w:rPr>
                <w:rFonts w:hint="default"/>
                <w:color w:val="auto"/>
                <w:sz w:val="21"/>
                <w:szCs w:val="21"/>
                <w:highlight w:val="none"/>
              </w:rPr>
              <w:t>1处</w:t>
            </w:r>
            <w:r>
              <w:rPr>
                <w:rFonts w:hint="eastAsia"/>
                <w:color w:val="auto"/>
                <w:sz w:val="21"/>
                <w:szCs w:val="21"/>
                <w:highlight w:val="none"/>
                <w:lang w:eastAsia="zh-CN"/>
              </w:rPr>
              <w:t>，面积共2700m</w:t>
            </w:r>
            <w:r>
              <w:rPr>
                <w:rFonts w:hint="eastAsia"/>
                <w:color w:val="auto"/>
                <w:sz w:val="21"/>
                <w:szCs w:val="21"/>
                <w:highlight w:val="none"/>
                <w:vertAlign w:val="superscript"/>
                <w:lang w:eastAsia="zh-CN"/>
              </w:rPr>
              <w:t>2</w:t>
            </w:r>
          </w:p>
        </w:tc>
      </w:tr>
      <w:tr w14:paraId="43B2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516634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310AED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3B8861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掉头坪</w:t>
            </w:r>
          </w:p>
        </w:tc>
        <w:tc>
          <w:tcPr>
            <w:tcW w:w="2495" w:type="pct"/>
            <w:vAlign w:val="center"/>
          </w:tcPr>
          <w:p w14:paraId="4ED70C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rPr>
            </w:pPr>
            <w:r>
              <w:rPr>
                <w:rFonts w:hint="default"/>
                <w:color w:val="auto"/>
                <w:sz w:val="21"/>
                <w:szCs w:val="21"/>
                <w:highlight w:val="none"/>
              </w:rPr>
              <w:t>在跑道两端设置两块掉头坪，按照B类飞机尺寸设计</w:t>
            </w:r>
          </w:p>
        </w:tc>
      </w:tr>
      <w:tr w14:paraId="36C8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792AB9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6B1C74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7D1701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端安全区</w:t>
            </w:r>
          </w:p>
        </w:tc>
        <w:tc>
          <w:tcPr>
            <w:tcW w:w="2495" w:type="pct"/>
            <w:vAlign w:val="center"/>
          </w:tcPr>
          <w:p w14:paraId="1B8F3E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rPr>
            </w:pPr>
            <w:r>
              <w:rPr>
                <w:rFonts w:hint="default"/>
                <w:color w:val="auto"/>
                <w:sz w:val="21"/>
                <w:szCs w:val="21"/>
                <w:highlight w:val="none"/>
              </w:rPr>
              <w:t>跑道两端各设</w:t>
            </w:r>
            <w:r>
              <w:rPr>
                <w:rFonts w:hint="eastAsia"/>
                <w:color w:val="auto"/>
                <w:sz w:val="21"/>
                <w:szCs w:val="21"/>
                <w:highlight w:val="none"/>
                <w:lang w:val="en-US" w:eastAsia="zh-CN"/>
              </w:rPr>
              <w:t>90</w:t>
            </w:r>
            <w:r>
              <w:rPr>
                <w:rFonts w:hint="default"/>
                <w:color w:val="auto"/>
                <w:sz w:val="21"/>
                <w:szCs w:val="21"/>
                <w:highlight w:val="none"/>
              </w:rPr>
              <w:t>m×1</w:t>
            </w:r>
            <w:r>
              <w:rPr>
                <w:rFonts w:hint="eastAsia"/>
                <w:color w:val="auto"/>
                <w:sz w:val="21"/>
                <w:szCs w:val="21"/>
                <w:highlight w:val="none"/>
                <w:lang w:val="en-US" w:eastAsia="zh-CN"/>
              </w:rPr>
              <w:t>5</w:t>
            </w:r>
            <w:r>
              <w:rPr>
                <w:rFonts w:hint="default"/>
                <w:color w:val="auto"/>
                <w:sz w:val="21"/>
                <w:szCs w:val="21"/>
                <w:highlight w:val="none"/>
              </w:rPr>
              <w:t>0m端安全区1处</w:t>
            </w:r>
          </w:p>
        </w:tc>
      </w:tr>
      <w:tr w14:paraId="7EEE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5EC9C4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2A3841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6E647D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升降带</w:t>
            </w:r>
          </w:p>
        </w:tc>
        <w:tc>
          <w:tcPr>
            <w:tcW w:w="2495" w:type="pct"/>
            <w:vAlign w:val="center"/>
          </w:tcPr>
          <w:p w14:paraId="15892F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rPr>
            </w:pPr>
            <w:r>
              <w:rPr>
                <w:rFonts w:hint="eastAsia"/>
                <w:color w:val="auto"/>
                <w:sz w:val="21"/>
                <w:szCs w:val="21"/>
                <w:highlight w:val="none"/>
                <w:lang w:val="en-US" w:eastAsia="zh-CN"/>
              </w:rPr>
              <w:t>自</w:t>
            </w:r>
            <w:r>
              <w:rPr>
                <w:rFonts w:hint="default"/>
                <w:color w:val="auto"/>
                <w:sz w:val="21"/>
                <w:szCs w:val="21"/>
                <w:highlight w:val="none"/>
              </w:rPr>
              <w:t>跑道中线及其延长线向每侧延伸75m，在跑道入口前向外延伸60m，总长度为1920m，宽度为150m</w:t>
            </w:r>
          </w:p>
        </w:tc>
      </w:tr>
      <w:tr w14:paraId="34DCB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restart"/>
            <w:vAlign w:val="center"/>
          </w:tcPr>
          <w:p w14:paraId="4598A9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（2</w:t>
            </w:r>
            <w:r>
              <w:rPr>
                <w:rFonts w:hint="eastAsia"/>
                <w:color w:val="auto"/>
                <w:sz w:val="21"/>
                <w:szCs w:val="21"/>
                <w:highlight w:val="none"/>
                <w:lang w:val="en-US" w:eastAsia="zh-CN"/>
              </w:rPr>
              <w:t>)</w:t>
            </w:r>
          </w:p>
        </w:tc>
        <w:tc>
          <w:tcPr>
            <w:tcW w:w="859" w:type="pct"/>
            <w:vMerge w:val="restart"/>
            <w:vAlign w:val="center"/>
          </w:tcPr>
          <w:p w14:paraId="1FC1D5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航站楼</w:t>
            </w:r>
          </w:p>
        </w:tc>
        <w:tc>
          <w:tcPr>
            <w:tcW w:w="1077" w:type="pct"/>
            <w:gridSpan w:val="2"/>
            <w:vAlign w:val="center"/>
          </w:tcPr>
          <w:p w14:paraId="04EADE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旅客航站楼</w:t>
            </w:r>
          </w:p>
        </w:tc>
        <w:tc>
          <w:tcPr>
            <w:tcW w:w="2495" w:type="pct"/>
            <w:vAlign w:val="center"/>
          </w:tcPr>
          <w:p w14:paraId="182670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将航站楼、航管楼、办公用房合并为一个综合建筑，建筑面积2330m</w:t>
            </w:r>
            <w:r>
              <w:rPr>
                <w:rFonts w:hint="eastAsia"/>
                <w:color w:val="auto"/>
                <w:sz w:val="21"/>
                <w:szCs w:val="21"/>
                <w:highlight w:val="none"/>
                <w:vertAlign w:val="superscript"/>
                <w:lang w:val="en-US" w:eastAsia="zh-CN"/>
              </w:rPr>
              <w:t>2</w:t>
            </w:r>
          </w:p>
        </w:tc>
      </w:tr>
      <w:tr w14:paraId="428C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76D300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2463F9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38259B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停车场</w:t>
            </w:r>
          </w:p>
        </w:tc>
        <w:tc>
          <w:tcPr>
            <w:tcW w:w="2495" w:type="pct"/>
            <w:vAlign w:val="center"/>
          </w:tcPr>
          <w:p w14:paraId="1FB0B9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eastAsia="宋体"/>
                <w:color w:val="auto"/>
                <w:sz w:val="21"/>
                <w:szCs w:val="21"/>
                <w:highlight w:val="none"/>
                <w:lang w:val="en-US" w:eastAsia="zh-CN"/>
              </w:rPr>
            </w:pPr>
            <w:r>
              <w:rPr>
                <w:rFonts w:hint="default"/>
                <w:color w:val="auto"/>
                <w:sz w:val="21"/>
                <w:szCs w:val="21"/>
                <w:highlight w:val="none"/>
              </w:rPr>
              <w:t>停车场面积约1000m</w:t>
            </w:r>
            <w:r>
              <w:rPr>
                <w:rFonts w:hint="default"/>
                <w:color w:val="auto"/>
                <w:sz w:val="21"/>
                <w:szCs w:val="21"/>
                <w:highlight w:val="none"/>
                <w:vertAlign w:val="superscript"/>
              </w:rPr>
              <w:t>2</w:t>
            </w:r>
            <w:r>
              <w:rPr>
                <w:rFonts w:hint="eastAsia"/>
                <w:color w:val="auto"/>
                <w:sz w:val="21"/>
                <w:szCs w:val="21"/>
                <w:highlight w:val="none"/>
                <w:vertAlign w:val="baseline"/>
                <w:lang w:eastAsia="zh-CN"/>
              </w:rPr>
              <w:t>，停车位45个，预留5个直流充电桩</w:t>
            </w:r>
          </w:p>
        </w:tc>
      </w:tr>
      <w:tr w14:paraId="23C6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restart"/>
            <w:vAlign w:val="center"/>
          </w:tcPr>
          <w:p w14:paraId="355DDD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（3</w:t>
            </w:r>
            <w:r>
              <w:rPr>
                <w:rFonts w:hint="eastAsia"/>
                <w:color w:val="auto"/>
                <w:sz w:val="21"/>
                <w:szCs w:val="21"/>
                <w:highlight w:val="none"/>
                <w:lang w:val="en-US" w:eastAsia="zh-CN"/>
              </w:rPr>
              <w:t>)</w:t>
            </w:r>
          </w:p>
        </w:tc>
        <w:tc>
          <w:tcPr>
            <w:tcW w:w="859" w:type="pct"/>
            <w:vMerge w:val="restart"/>
            <w:vAlign w:val="center"/>
          </w:tcPr>
          <w:p w14:paraId="511CE1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货运区</w:t>
            </w:r>
          </w:p>
        </w:tc>
        <w:tc>
          <w:tcPr>
            <w:tcW w:w="1077" w:type="pct"/>
            <w:gridSpan w:val="2"/>
            <w:vAlign w:val="center"/>
          </w:tcPr>
          <w:p w14:paraId="263744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货运站</w:t>
            </w:r>
          </w:p>
        </w:tc>
        <w:tc>
          <w:tcPr>
            <w:tcW w:w="2495" w:type="pct"/>
            <w:vAlign w:val="center"/>
          </w:tcPr>
          <w:p w14:paraId="062F13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r>
      <w:tr w14:paraId="2D45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2886F4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264815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3D3403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货机坪</w:t>
            </w:r>
          </w:p>
        </w:tc>
        <w:tc>
          <w:tcPr>
            <w:tcW w:w="2495" w:type="pct"/>
            <w:vAlign w:val="center"/>
          </w:tcPr>
          <w:p w14:paraId="547D6B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r>
      <w:tr w14:paraId="1781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73126E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b/>
                <w:bCs/>
                <w:color w:val="auto"/>
                <w:sz w:val="21"/>
                <w:szCs w:val="21"/>
                <w:highlight w:val="none"/>
                <w:lang w:val="en-US" w:eastAsia="zh-CN"/>
              </w:rPr>
            </w:pPr>
            <w:r>
              <w:rPr>
                <w:rFonts w:hint="eastAsia" w:ascii="Times New Roman" w:eastAsia="宋体"/>
                <w:b/>
                <w:bCs/>
                <w:color w:val="auto"/>
                <w:sz w:val="21"/>
                <w:szCs w:val="21"/>
                <w:highlight w:val="none"/>
                <w:lang w:val="en-US" w:eastAsia="zh-CN"/>
              </w:rPr>
              <w:t>2</w:t>
            </w:r>
          </w:p>
        </w:tc>
        <w:tc>
          <w:tcPr>
            <w:tcW w:w="4431" w:type="pct"/>
            <w:gridSpan w:val="4"/>
            <w:vAlign w:val="center"/>
          </w:tcPr>
          <w:p w14:paraId="7B63A9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b/>
                <w:bCs/>
                <w:color w:val="auto"/>
                <w:sz w:val="21"/>
                <w:szCs w:val="21"/>
                <w:highlight w:val="none"/>
                <w:lang w:val="en-US" w:eastAsia="zh-CN"/>
              </w:rPr>
            </w:pPr>
            <w:r>
              <w:rPr>
                <w:rFonts w:hint="eastAsia" w:ascii="Times New Roman" w:eastAsia="宋体"/>
                <w:b/>
                <w:bCs/>
                <w:color w:val="auto"/>
                <w:sz w:val="21"/>
                <w:szCs w:val="21"/>
                <w:highlight w:val="none"/>
                <w:lang w:val="en-US" w:eastAsia="zh-CN"/>
              </w:rPr>
              <w:t>辅助工程</w:t>
            </w:r>
          </w:p>
        </w:tc>
      </w:tr>
      <w:tr w14:paraId="11E5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restart"/>
            <w:vAlign w:val="center"/>
          </w:tcPr>
          <w:p w14:paraId="61041C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（1</w:t>
            </w:r>
            <w:r>
              <w:rPr>
                <w:rFonts w:hint="eastAsia"/>
                <w:color w:val="auto"/>
                <w:sz w:val="21"/>
                <w:szCs w:val="21"/>
                <w:highlight w:val="none"/>
                <w:lang w:val="en-US" w:eastAsia="zh-CN"/>
              </w:rPr>
              <w:t>)</w:t>
            </w:r>
          </w:p>
        </w:tc>
        <w:tc>
          <w:tcPr>
            <w:tcW w:w="859" w:type="pct"/>
            <w:vMerge w:val="restart"/>
            <w:vAlign w:val="center"/>
          </w:tcPr>
          <w:p w14:paraId="564911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空管工程</w:t>
            </w:r>
          </w:p>
        </w:tc>
        <w:tc>
          <w:tcPr>
            <w:tcW w:w="1077" w:type="pct"/>
            <w:gridSpan w:val="2"/>
            <w:vAlign w:val="center"/>
          </w:tcPr>
          <w:p w14:paraId="084E56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航管楼</w:t>
            </w:r>
          </w:p>
        </w:tc>
        <w:tc>
          <w:tcPr>
            <w:tcW w:w="2495" w:type="pct"/>
            <w:vAlign w:val="center"/>
          </w:tcPr>
          <w:p w14:paraId="0A6CA3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将航站楼、航管楼、办公用房合并为一个综合建筑，建筑面积2330m</w:t>
            </w:r>
            <w:r>
              <w:rPr>
                <w:rFonts w:hint="eastAsia" w:ascii="Times New Roman" w:eastAsia="宋体"/>
                <w:color w:val="auto"/>
                <w:sz w:val="21"/>
                <w:szCs w:val="21"/>
                <w:highlight w:val="none"/>
                <w:vertAlign w:val="superscript"/>
                <w:lang w:val="en-US" w:eastAsia="zh-CN"/>
              </w:rPr>
              <w:t>2</w:t>
            </w:r>
          </w:p>
        </w:tc>
      </w:tr>
      <w:tr w14:paraId="14DE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27C335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00D81D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2467A7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塔台</w:t>
            </w:r>
          </w:p>
        </w:tc>
        <w:tc>
          <w:tcPr>
            <w:tcW w:w="2495" w:type="pct"/>
            <w:vAlign w:val="center"/>
          </w:tcPr>
          <w:p w14:paraId="7BAAB5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eastAsia="宋体"/>
                <w:color w:val="auto"/>
                <w:sz w:val="21"/>
                <w:szCs w:val="21"/>
                <w:highlight w:val="none"/>
                <w:lang w:val="en-US" w:eastAsia="zh-CN"/>
              </w:rPr>
            </w:pPr>
            <w:r>
              <w:rPr>
                <w:rFonts w:hint="default"/>
                <w:color w:val="auto"/>
                <w:sz w:val="21"/>
                <w:szCs w:val="21"/>
                <w:highlight w:val="none"/>
              </w:rPr>
              <w:t>新建一座空中交通管制塔台（C类塔台），使用面积约40m</w:t>
            </w:r>
            <w:r>
              <w:rPr>
                <w:rFonts w:hint="default"/>
                <w:color w:val="auto"/>
                <w:sz w:val="21"/>
                <w:szCs w:val="21"/>
                <w:highlight w:val="none"/>
                <w:vertAlign w:val="superscript"/>
              </w:rPr>
              <w:t>2</w:t>
            </w:r>
          </w:p>
        </w:tc>
      </w:tr>
      <w:tr w14:paraId="1AE7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3B0347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00B54A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6B5BE5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导航台站</w:t>
            </w:r>
          </w:p>
        </w:tc>
        <w:tc>
          <w:tcPr>
            <w:tcW w:w="2495" w:type="pct"/>
            <w:vAlign w:val="center"/>
          </w:tcPr>
          <w:p w14:paraId="0E8099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rPr>
            </w:pPr>
            <w:r>
              <w:rPr>
                <w:rFonts w:hint="default"/>
                <w:color w:val="auto"/>
                <w:sz w:val="21"/>
                <w:szCs w:val="21"/>
                <w:highlight w:val="none"/>
              </w:rPr>
              <w:t>跑道为目视跑道，不设置导航台</w:t>
            </w:r>
          </w:p>
        </w:tc>
      </w:tr>
      <w:tr w14:paraId="1FF3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6A5097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79F377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6FFBB7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通信设施</w:t>
            </w:r>
          </w:p>
        </w:tc>
        <w:tc>
          <w:tcPr>
            <w:tcW w:w="2495" w:type="pct"/>
            <w:vAlign w:val="center"/>
          </w:tcPr>
          <w:p w14:paraId="79B6C4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eastAsia="宋体"/>
                <w:color w:val="auto"/>
                <w:sz w:val="21"/>
                <w:szCs w:val="21"/>
                <w:highlight w:val="none"/>
                <w:lang w:eastAsia="zh-CN"/>
              </w:rPr>
            </w:pPr>
            <w:r>
              <w:rPr>
                <w:rFonts w:hint="default"/>
                <w:color w:val="auto"/>
                <w:sz w:val="21"/>
                <w:szCs w:val="21"/>
                <w:highlight w:val="none"/>
              </w:rPr>
              <w:t>航管楼内设置语音数据记录仪、综合布线系统、时钟系统、综合防雷系统等</w:t>
            </w:r>
            <w:r>
              <w:rPr>
                <w:rFonts w:hint="eastAsia"/>
                <w:color w:val="auto"/>
                <w:sz w:val="21"/>
                <w:szCs w:val="21"/>
                <w:highlight w:val="none"/>
                <w:lang w:eastAsia="zh-CN"/>
              </w:rPr>
              <w:t>；</w:t>
            </w:r>
            <w:r>
              <w:rPr>
                <w:rFonts w:hint="default"/>
                <w:color w:val="auto"/>
                <w:sz w:val="21"/>
                <w:szCs w:val="21"/>
                <w:highlight w:val="none"/>
              </w:rPr>
              <w:t>租用电信运营商的通信链路引接和传输博乐机场的航行情报信息</w:t>
            </w:r>
            <w:r>
              <w:rPr>
                <w:rFonts w:hint="eastAsia"/>
                <w:color w:val="auto"/>
                <w:sz w:val="21"/>
                <w:szCs w:val="21"/>
                <w:highlight w:val="none"/>
                <w:lang w:eastAsia="zh-CN"/>
              </w:rPr>
              <w:t>；</w:t>
            </w:r>
            <w:r>
              <w:rPr>
                <w:rFonts w:hint="default"/>
                <w:color w:val="auto"/>
                <w:sz w:val="21"/>
                <w:szCs w:val="21"/>
                <w:highlight w:val="none"/>
              </w:rPr>
              <w:t>甚高频配置3个信道</w:t>
            </w:r>
            <w:r>
              <w:rPr>
                <w:rFonts w:hint="eastAsia"/>
                <w:color w:val="auto"/>
                <w:sz w:val="21"/>
                <w:szCs w:val="21"/>
                <w:highlight w:val="none"/>
                <w:lang w:eastAsia="zh-CN"/>
              </w:rPr>
              <w:t>、1部便携式甚高频收发信息机</w:t>
            </w:r>
          </w:p>
        </w:tc>
      </w:tr>
      <w:tr w14:paraId="3D7EE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55D292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1DB4FE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7D04D9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气象设施</w:t>
            </w:r>
          </w:p>
        </w:tc>
        <w:tc>
          <w:tcPr>
            <w:tcW w:w="2495" w:type="pct"/>
            <w:vAlign w:val="center"/>
          </w:tcPr>
          <w:p w14:paraId="038B07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eastAsia="zh-CN"/>
              </w:rPr>
            </w:pPr>
            <w:r>
              <w:rPr>
                <w:rFonts w:hint="eastAsia" w:eastAsia="宋体"/>
                <w:color w:val="auto"/>
                <w:sz w:val="21"/>
                <w:szCs w:val="21"/>
                <w:highlight w:val="none"/>
                <w:lang w:eastAsia="zh-CN"/>
              </w:rPr>
              <w:t>在跑道南端东侧设置16×16m常规气象观测场，距离跑道中心线</w:t>
            </w:r>
            <w:r>
              <w:rPr>
                <w:rFonts w:hint="eastAsia"/>
                <w:color w:val="auto"/>
                <w:sz w:val="21"/>
                <w:szCs w:val="21"/>
                <w:highlight w:val="none"/>
                <w:lang w:val="en-US" w:eastAsia="zh-CN"/>
              </w:rPr>
              <w:t>14</w:t>
            </w:r>
            <w:r>
              <w:rPr>
                <w:rFonts w:hint="eastAsia" w:eastAsia="宋体"/>
                <w:color w:val="auto"/>
                <w:sz w:val="21"/>
                <w:szCs w:val="21"/>
                <w:highlight w:val="none"/>
                <w:lang w:eastAsia="zh-CN"/>
              </w:rPr>
              <w:t>8m；</w:t>
            </w:r>
            <w:r>
              <w:rPr>
                <w:rFonts w:hint="eastAsia"/>
                <w:color w:val="auto"/>
                <w:sz w:val="21"/>
                <w:szCs w:val="21"/>
                <w:highlight w:val="none"/>
                <w:lang w:eastAsia="zh-CN"/>
              </w:rPr>
              <w:t>装备</w:t>
            </w:r>
            <w:r>
              <w:rPr>
                <w:rFonts w:hint="eastAsia" w:eastAsia="宋体"/>
                <w:color w:val="auto"/>
                <w:sz w:val="21"/>
                <w:szCs w:val="21"/>
                <w:highlight w:val="none"/>
                <w:lang w:eastAsia="zh-CN"/>
              </w:rPr>
              <w:t>1套自动气象观测站</w:t>
            </w:r>
            <w:r>
              <w:rPr>
                <w:rFonts w:hint="eastAsia"/>
                <w:color w:val="auto"/>
                <w:sz w:val="21"/>
                <w:szCs w:val="21"/>
                <w:highlight w:val="none"/>
                <w:lang w:eastAsia="zh-CN"/>
              </w:rPr>
              <w:t>；</w:t>
            </w:r>
          </w:p>
          <w:p w14:paraId="48C2C1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eastAsia="宋体"/>
                <w:color w:val="auto"/>
                <w:sz w:val="21"/>
                <w:szCs w:val="21"/>
                <w:highlight w:val="none"/>
                <w:lang w:eastAsia="zh-CN"/>
              </w:rPr>
            </w:pPr>
            <w:r>
              <w:rPr>
                <w:rFonts w:hint="eastAsia"/>
                <w:color w:val="auto"/>
                <w:sz w:val="21"/>
                <w:szCs w:val="21"/>
                <w:highlight w:val="none"/>
                <w:lang w:eastAsia="zh-CN"/>
              </w:rPr>
              <w:t>气象信息网络系统1套，配置气象观测资料接收</w:t>
            </w:r>
            <w:r>
              <w:rPr>
                <w:rFonts w:hint="eastAsia"/>
                <w:color w:val="auto"/>
                <w:sz w:val="21"/>
                <w:szCs w:val="21"/>
                <w:highlight w:val="none"/>
                <w:lang w:val="en-US" w:eastAsia="zh-CN"/>
              </w:rPr>
              <w:t>及</w:t>
            </w:r>
            <w:r>
              <w:rPr>
                <w:rFonts w:hint="eastAsia"/>
                <w:color w:val="auto"/>
                <w:sz w:val="21"/>
                <w:szCs w:val="21"/>
                <w:highlight w:val="none"/>
                <w:lang w:eastAsia="zh-CN"/>
              </w:rPr>
              <w:t>处理子系统、图文传真设备；</w:t>
            </w:r>
          </w:p>
        </w:tc>
      </w:tr>
      <w:tr w14:paraId="7B81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03F08A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1804AE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449FCE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助航设施</w:t>
            </w:r>
          </w:p>
        </w:tc>
        <w:tc>
          <w:tcPr>
            <w:tcW w:w="2495" w:type="pct"/>
            <w:vAlign w:val="center"/>
          </w:tcPr>
          <w:p w14:paraId="5A1FA5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1</w:t>
            </w:r>
            <w:r>
              <w:rPr>
                <w:rFonts w:hint="eastAsia"/>
                <w:color w:val="auto"/>
                <w:sz w:val="21"/>
                <w:szCs w:val="21"/>
                <w:highlight w:val="none"/>
                <w:lang w:eastAsia="zh-CN"/>
              </w:rPr>
              <w:t>）</w:t>
            </w:r>
            <w:r>
              <w:rPr>
                <w:rFonts w:hint="default"/>
                <w:color w:val="auto"/>
                <w:sz w:val="21"/>
                <w:szCs w:val="21"/>
                <w:highlight w:val="none"/>
              </w:rPr>
              <w:t>风向标</w:t>
            </w:r>
          </w:p>
          <w:p w14:paraId="0E742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rPr>
            </w:pPr>
            <w:r>
              <w:rPr>
                <w:rFonts w:hint="default"/>
                <w:color w:val="auto"/>
                <w:sz w:val="21"/>
                <w:szCs w:val="21"/>
                <w:highlight w:val="none"/>
              </w:rPr>
              <w:t>在跑道两端的瞄准点起端附近、跑道入口左侧，距离跑道近边50m处各设1套风向标。</w:t>
            </w:r>
          </w:p>
          <w:p w14:paraId="25635E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w:t>
            </w:r>
            <w:r>
              <w:rPr>
                <w:rFonts w:hint="default"/>
                <w:color w:val="auto"/>
                <w:sz w:val="21"/>
                <w:szCs w:val="21"/>
                <w:highlight w:val="none"/>
              </w:rPr>
              <w:t>滑行引导标记牌</w:t>
            </w:r>
          </w:p>
          <w:p w14:paraId="0F442F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rPr>
            </w:pPr>
            <w:r>
              <w:rPr>
                <w:rFonts w:hint="default"/>
                <w:color w:val="auto"/>
                <w:sz w:val="21"/>
                <w:szCs w:val="21"/>
                <w:highlight w:val="none"/>
              </w:rPr>
              <w:t>在跑道及垂直联络道侧边设置滑行引导标记牌。牌面采用逆向反光材料，不设内部照明。</w:t>
            </w:r>
          </w:p>
          <w:p w14:paraId="041775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w:t>
            </w:r>
            <w:r>
              <w:rPr>
                <w:rFonts w:hint="default"/>
                <w:color w:val="auto"/>
                <w:sz w:val="21"/>
                <w:szCs w:val="21"/>
                <w:highlight w:val="none"/>
              </w:rPr>
              <w:t>着陆方向标</w:t>
            </w:r>
          </w:p>
          <w:p w14:paraId="319E91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rPr>
            </w:pPr>
            <w:r>
              <w:rPr>
                <w:rFonts w:hint="default"/>
                <w:color w:val="auto"/>
                <w:sz w:val="21"/>
                <w:szCs w:val="21"/>
                <w:highlight w:val="none"/>
              </w:rPr>
              <w:t>在跑道两个进近方向，位于跑道入口左侧，距离跑道近边15m、距跑道端150m处设置“T”字形标志。</w:t>
            </w:r>
          </w:p>
          <w:p w14:paraId="18D093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4</w:t>
            </w:r>
            <w:r>
              <w:rPr>
                <w:rFonts w:hint="eastAsia"/>
                <w:color w:val="auto"/>
                <w:sz w:val="21"/>
                <w:szCs w:val="21"/>
                <w:highlight w:val="none"/>
                <w:lang w:eastAsia="zh-CN"/>
              </w:rPr>
              <w:t>）</w:t>
            </w:r>
            <w:r>
              <w:rPr>
                <w:rFonts w:hint="default"/>
                <w:color w:val="auto"/>
                <w:sz w:val="21"/>
                <w:szCs w:val="21"/>
                <w:highlight w:val="none"/>
              </w:rPr>
              <w:t>FATO灯光系统</w:t>
            </w:r>
          </w:p>
          <w:p w14:paraId="149622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rPr>
            </w:pPr>
            <w:r>
              <w:rPr>
                <w:rFonts w:hint="eastAsia"/>
                <w:color w:val="auto"/>
                <w:sz w:val="21"/>
                <w:szCs w:val="21"/>
                <w:highlight w:val="none"/>
                <w:lang w:val="en-US" w:eastAsia="zh-CN"/>
              </w:rPr>
              <w:t>FATO位于跑道与滑行道交界处，FATO中心点距机场跑道中心点55m，设置15个TLOF边灯、2基高杆灯、2座配电亭；</w:t>
            </w:r>
            <w:r>
              <w:rPr>
                <w:rFonts w:hint="default"/>
                <w:color w:val="auto"/>
                <w:sz w:val="21"/>
                <w:szCs w:val="21"/>
                <w:highlight w:val="none"/>
              </w:rPr>
              <w:t>为夜间执行应急救援飞行任务的直升机提供目视引导</w:t>
            </w:r>
          </w:p>
        </w:tc>
      </w:tr>
      <w:tr w14:paraId="6C61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restart"/>
            <w:vAlign w:val="center"/>
          </w:tcPr>
          <w:p w14:paraId="3D718E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（2</w:t>
            </w:r>
            <w:r>
              <w:rPr>
                <w:rFonts w:hint="eastAsia"/>
                <w:color w:val="auto"/>
                <w:sz w:val="21"/>
                <w:szCs w:val="21"/>
                <w:highlight w:val="none"/>
                <w:lang w:val="en-US" w:eastAsia="zh-CN"/>
              </w:rPr>
              <w:t>)</w:t>
            </w:r>
          </w:p>
        </w:tc>
        <w:tc>
          <w:tcPr>
            <w:tcW w:w="859" w:type="pct"/>
            <w:vMerge w:val="restart"/>
            <w:vAlign w:val="center"/>
          </w:tcPr>
          <w:p w14:paraId="357CAF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机务维修区</w:t>
            </w:r>
          </w:p>
        </w:tc>
        <w:tc>
          <w:tcPr>
            <w:tcW w:w="1077" w:type="pct"/>
            <w:gridSpan w:val="2"/>
            <w:vAlign w:val="center"/>
          </w:tcPr>
          <w:p w14:paraId="37905D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维修机坪</w:t>
            </w:r>
          </w:p>
        </w:tc>
        <w:tc>
          <w:tcPr>
            <w:tcW w:w="2495" w:type="pct"/>
            <w:vAlign w:val="center"/>
          </w:tcPr>
          <w:p w14:paraId="4BA18D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r>
      <w:tr w14:paraId="4009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15DCDF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166C14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71EBA5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试车坪</w:t>
            </w:r>
          </w:p>
        </w:tc>
        <w:tc>
          <w:tcPr>
            <w:tcW w:w="2495" w:type="pct"/>
            <w:vAlign w:val="center"/>
          </w:tcPr>
          <w:p w14:paraId="710EE2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r>
      <w:tr w14:paraId="4FE9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restart"/>
            <w:vAlign w:val="center"/>
          </w:tcPr>
          <w:p w14:paraId="4750CB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（3</w:t>
            </w:r>
            <w:r>
              <w:rPr>
                <w:rFonts w:hint="eastAsia"/>
                <w:color w:val="auto"/>
                <w:sz w:val="21"/>
                <w:szCs w:val="21"/>
                <w:highlight w:val="none"/>
                <w:lang w:val="en-US" w:eastAsia="zh-CN"/>
              </w:rPr>
              <w:t>)</w:t>
            </w:r>
          </w:p>
        </w:tc>
        <w:tc>
          <w:tcPr>
            <w:tcW w:w="859" w:type="pct"/>
            <w:vMerge w:val="restart"/>
            <w:vAlign w:val="center"/>
          </w:tcPr>
          <w:p w14:paraId="771F00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应急救援和安全保卫设施</w:t>
            </w:r>
          </w:p>
        </w:tc>
        <w:tc>
          <w:tcPr>
            <w:tcW w:w="1077" w:type="pct"/>
            <w:gridSpan w:val="2"/>
            <w:vAlign w:val="center"/>
          </w:tcPr>
          <w:p w14:paraId="68C452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消防站</w:t>
            </w:r>
          </w:p>
        </w:tc>
        <w:tc>
          <w:tcPr>
            <w:tcW w:w="2495" w:type="pct"/>
            <w:vAlign w:val="center"/>
          </w:tcPr>
          <w:p w14:paraId="56CEF4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rPr>
            </w:pPr>
            <w:r>
              <w:rPr>
                <w:rFonts w:hint="default" w:eastAsia="宋体"/>
                <w:color w:val="auto"/>
                <w:sz w:val="21"/>
                <w:szCs w:val="21"/>
                <w:highlight w:val="none"/>
                <w:lang w:val="en-US" w:eastAsia="zh-CN"/>
              </w:rPr>
              <w:t>按1辆消防车配置，建队方式为大队，编制为7人</w:t>
            </w:r>
            <w:r>
              <w:rPr>
                <w:rFonts w:hint="eastAsia"/>
                <w:color w:val="auto"/>
                <w:sz w:val="21"/>
                <w:szCs w:val="21"/>
                <w:highlight w:val="none"/>
                <w:lang w:val="en-US" w:eastAsia="zh-CN"/>
              </w:rPr>
              <w:t>，消防车位（40m</w:t>
            </w:r>
            <w:r>
              <w:rPr>
                <w:rFonts w:hint="eastAsia"/>
                <w:color w:val="auto"/>
                <w:sz w:val="21"/>
                <w:szCs w:val="21"/>
                <w:highlight w:val="none"/>
                <w:vertAlign w:val="superscript"/>
                <w:lang w:val="en-US" w:eastAsia="zh-CN"/>
              </w:rPr>
              <w:t>2</w:t>
            </w:r>
            <w:r>
              <w:rPr>
                <w:rFonts w:hint="eastAsia"/>
                <w:color w:val="auto"/>
                <w:sz w:val="21"/>
                <w:szCs w:val="21"/>
                <w:highlight w:val="none"/>
                <w:lang w:val="en-US" w:eastAsia="zh-CN"/>
              </w:rPr>
              <w:t>/个）位于特种车库及综合功能用房内，消防保障等级为3级</w:t>
            </w:r>
          </w:p>
        </w:tc>
      </w:tr>
      <w:tr w14:paraId="4ED9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7B5037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1FF655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3ADE8D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其他消防设施</w:t>
            </w:r>
          </w:p>
        </w:tc>
        <w:tc>
          <w:tcPr>
            <w:tcW w:w="2495" w:type="pct"/>
            <w:vAlign w:val="center"/>
          </w:tcPr>
          <w:p w14:paraId="068B86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站坪设置环状消防管网系统，管径为DN100～250</w:t>
            </w:r>
            <w:r>
              <w:rPr>
                <w:rFonts w:hint="eastAsia"/>
                <w:color w:val="auto"/>
                <w:sz w:val="21"/>
                <w:szCs w:val="21"/>
                <w:highlight w:val="none"/>
                <w:lang w:val="en-US" w:eastAsia="zh-CN"/>
              </w:rPr>
              <w:t>；供水站内建设400m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蓄水池1座，经加压后供飞行区消防管网及工作区消防管网，建设200m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的水泵房（建在供水站内，供水站与机场中心变电站合建为动力中心）</w:t>
            </w:r>
            <w:r>
              <w:rPr>
                <w:rFonts w:hint="default" w:eastAsia="宋体"/>
                <w:color w:val="auto"/>
                <w:sz w:val="21"/>
                <w:szCs w:val="21"/>
                <w:highlight w:val="none"/>
                <w:lang w:val="en-US" w:eastAsia="zh-CN"/>
              </w:rPr>
              <w:t>；航站综合楼设置室内外消火栓系统</w:t>
            </w:r>
          </w:p>
        </w:tc>
      </w:tr>
      <w:tr w14:paraId="3B71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34742B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5C5BAA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34878A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应急救援设施</w:t>
            </w:r>
          </w:p>
        </w:tc>
        <w:tc>
          <w:tcPr>
            <w:tcW w:w="2495" w:type="pct"/>
            <w:vAlign w:val="center"/>
          </w:tcPr>
          <w:p w14:paraId="32EB8F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本</w:t>
            </w:r>
            <w:r>
              <w:rPr>
                <w:rFonts w:hint="default" w:eastAsia="宋体"/>
                <w:color w:val="auto"/>
                <w:sz w:val="21"/>
                <w:szCs w:val="21"/>
                <w:highlight w:val="none"/>
                <w:lang w:val="en-US" w:eastAsia="zh-CN"/>
              </w:rPr>
              <w:t>期应急救援站建筑面积为60m</w:t>
            </w:r>
            <w:r>
              <w:rPr>
                <w:rFonts w:hint="default" w:eastAsia="宋体"/>
                <w:color w:val="auto"/>
                <w:sz w:val="21"/>
                <w:szCs w:val="21"/>
                <w:highlight w:val="none"/>
                <w:vertAlign w:val="superscript"/>
                <w:lang w:val="en-US" w:eastAsia="zh-CN"/>
              </w:rPr>
              <w:t>2</w:t>
            </w:r>
            <w:r>
              <w:rPr>
                <w:rFonts w:hint="default" w:eastAsia="宋体"/>
                <w:color w:val="auto"/>
                <w:sz w:val="21"/>
                <w:szCs w:val="21"/>
                <w:highlight w:val="none"/>
                <w:lang w:val="en-US" w:eastAsia="zh-CN"/>
              </w:rPr>
              <w:t>，位于特种车库及综合功能用房内。由精河县卫健委提供机场应急救援，保证在机场运行期间有1辆救护车和相关</w:t>
            </w:r>
            <w:r>
              <w:rPr>
                <w:rFonts w:hint="eastAsia"/>
                <w:color w:val="auto"/>
                <w:sz w:val="21"/>
                <w:szCs w:val="21"/>
                <w:highlight w:val="none"/>
                <w:lang w:val="en-US" w:eastAsia="zh-CN"/>
              </w:rPr>
              <w:t>医护人员</w:t>
            </w:r>
            <w:r>
              <w:rPr>
                <w:rFonts w:hint="default" w:eastAsia="宋体"/>
                <w:color w:val="auto"/>
                <w:sz w:val="21"/>
                <w:szCs w:val="21"/>
                <w:highlight w:val="none"/>
                <w:lang w:val="en-US" w:eastAsia="zh-CN"/>
              </w:rPr>
              <w:t>执勤</w:t>
            </w:r>
          </w:p>
        </w:tc>
      </w:tr>
      <w:tr w14:paraId="209C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202F82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798948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7235EA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安保设施</w:t>
            </w:r>
          </w:p>
        </w:tc>
        <w:tc>
          <w:tcPr>
            <w:tcW w:w="2495" w:type="pct"/>
            <w:vAlign w:val="center"/>
          </w:tcPr>
          <w:p w14:paraId="1DF72C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机场安保等级按四类设置，主要单体建筑中设置视频监控系统，各主要出入口及通道设置门禁系统，停车场设置管理系统1套，道口设电动门和守卫值班室，机坪区域设置机位监控系统</w:t>
            </w:r>
          </w:p>
        </w:tc>
      </w:tr>
      <w:tr w14:paraId="07CC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17399A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1C5A5D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19D96D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机场围界</w:t>
            </w:r>
          </w:p>
        </w:tc>
        <w:tc>
          <w:tcPr>
            <w:tcW w:w="2495" w:type="pct"/>
            <w:vAlign w:val="center"/>
          </w:tcPr>
          <w:p w14:paraId="30D445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eastAsia="宋体"/>
                <w:color w:val="auto"/>
                <w:sz w:val="21"/>
                <w:szCs w:val="21"/>
                <w:highlight w:val="none"/>
                <w:lang w:eastAsia="zh-CN"/>
              </w:rPr>
            </w:pPr>
            <w:r>
              <w:rPr>
                <w:rFonts w:hint="eastAsia" w:eastAsia="宋体"/>
                <w:color w:val="auto"/>
                <w:sz w:val="21"/>
                <w:szCs w:val="21"/>
                <w:highlight w:val="none"/>
                <w:lang w:eastAsia="zh-CN"/>
              </w:rPr>
              <w:t>机场围界规格为</w:t>
            </w:r>
            <w:r>
              <w:rPr>
                <w:rFonts w:hint="eastAsia"/>
                <w:color w:val="auto"/>
                <w:sz w:val="21"/>
                <w:szCs w:val="21"/>
                <w:highlight w:val="none"/>
                <w:lang w:val="en-US" w:eastAsia="zh-CN"/>
              </w:rPr>
              <w:t>5128</w:t>
            </w:r>
            <w:r>
              <w:rPr>
                <w:rFonts w:hint="eastAsia" w:eastAsia="宋体"/>
                <w:color w:val="auto"/>
                <w:sz w:val="21"/>
                <w:szCs w:val="21"/>
                <w:highlight w:val="none"/>
                <w:lang w:eastAsia="zh-CN"/>
              </w:rPr>
              <w:t>m（飞行区）、</w:t>
            </w:r>
            <w:r>
              <w:rPr>
                <w:rFonts w:hint="eastAsia"/>
                <w:color w:val="auto"/>
                <w:sz w:val="21"/>
                <w:szCs w:val="21"/>
                <w:highlight w:val="none"/>
                <w:lang w:val="en-US" w:eastAsia="zh-CN"/>
              </w:rPr>
              <w:t>645</w:t>
            </w:r>
            <w:r>
              <w:rPr>
                <w:rFonts w:hint="eastAsia" w:eastAsia="宋体"/>
                <w:color w:val="auto"/>
                <w:sz w:val="21"/>
                <w:szCs w:val="21"/>
                <w:highlight w:val="none"/>
                <w:lang w:eastAsia="zh-CN"/>
              </w:rPr>
              <w:t>m（航站区）。飞行区采用1.8m高钢筋网围界，航站区采用1.8m高铁栅栏围界</w:t>
            </w:r>
          </w:p>
        </w:tc>
      </w:tr>
      <w:tr w14:paraId="75A3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restart"/>
            <w:vAlign w:val="center"/>
          </w:tcPr>
          <w:p w14:paraId="261265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（4</w:t>
            </w:r>
            <w:r>
              <w:rPr>
                <w:rFonts w:hint="eastAsia"/>
                <w:color w:val="auto"/>
                <w:sz w:val="21"/>
                <w:szCs w:val="21"/>
                <w:highlight w:val="none"/>
                <w:lang w:val="en-US" w:eastAsia="zh-CN"/>
              </w:rPr>
              <w:t>)</w:t>
            </w:r>
          </w:p>
        </w:tc>
        <w:tc>
          <w:tcPr>
            <w:tcW w:w="859" w:type="pct"/>
            <w:vMerge w:val="restart"/>
            <w:vAlign w:val="center"/>
          </w:tcPr>
          <w:p w14:paraId="50D962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服务保障设施</w:t>
            </w:r>
          </w:p>
        </w:tc>
        <w:tc>
          <w:tcPr>
            <w:tcW w:w="1077" w:type="pct"/>
            <w:gridSpan w:val="2"/>
            <w:vAlign w:val="center"/>
          </w:tcPr>
          <w:p w14:paraId="70E6DD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特种车库及车坪</w:t>
            </w:r>
          </w:p>
        </w:tc>
        <w:tc>
          <w:tcPr>
            <w:tcW w:w="2495" w:type="pct"/>
            <w:vAlign w:val="center"/>
          </w:tcPr>
          <w:p w14:paraId="006BF1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将特种车库、急救救援站、机务用房、场务用房合并为一个特种车库及综合功能用房综合建筑</w:t>
            </w:r>
            <w:r>
              <w:rPr>
                <w:rFonts w:hint="eastAsia"/>
                <w:color w:val="auto"/>
                <w:sz w:val="21"/>
                <w:szCs w:val="21"/>
                <w:highlight w:val="none"/>
                <w:lang w:val="en-US" w:eastAsia="zh-CN"/>
              </w:rPr>
              <w:t>；特种车辆7辆</w:t>
            </w:r>
          </w:p>
        </w:tc>
      </w:tr>
      <w:tr w14:paraId="56B8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2EDAD6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495A8C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200621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航空食品设施</w:t>
            </w:r>
          </w:p>
        </w:tc>
        <w:tc>
          <w:tcPr>
            <w:tcW w:w="2495" w:type="pct"/>
            <w:vAlign w:val="center"/>
          </w:tcPr>
          <w:p w14:paraId="0B584D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r>
      <w:tr w14:paraId="096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474AFF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1F7DFE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520522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机场旅客过夜用房</w:t>
            </w:r>
          </w:p>
        </w:tc>
        <w:tc>
          <w:tcPr>
            <w:tcW w:w="2495" w:type="pct"/>
            <w:vAlign w:val="center"/>
          </w:tcPr>
          <w:p w14:paraId="7ACF2F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r>
      <w:tr w14:paraId="40E9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1D72D5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43EF52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147A19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olor w:val="auto"/>
                <w:sz w:val="21"/>
                <w:szCs w:val="21"/>
                <w:highlight w:val="none"/>
                <w:lang w:val="en-US" w:eastAsia="zh-CN"/>
              </w:rPr>
              <w:t>机场行政办公区和生活设施</w:t>
            </w:r>
          </w:p>
        </w:tc>
        <w:tc>
          <w:tcPr>
            <w:tcW w:w="2495" w:type="pct"/>
            <w:vAlign w:val="center"/>
          </w:tcPr>
          <w:p w14:paraId="09943E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两层式职工生活用房，内设置备勤室、职工食堂、生活服务中心、物资库等功能用房。建筑高度8.7m（女儿墙顶），总建筑面积</w:t>
            </w:r>
            <w:r>
              <w:rPr>
                <w:rFonts w:hint="eastAsia"/>
                <w:color w:val="auto"/>
                <w:sz w:val="21"/>
                <w:szCs w:val="21"/>
                <w:highlight w:val="none"/>
                <w:lang w:val="en-US" w:eastAsia="zh-CN"/>
              </w:rPr>
              <w:t>668</w:t>
            </w:r>
            <w:r>
              <w:rPr>
                <w:rFonts w:hint="eastAsia"/>
                <w:color w:val="auto"/>
                <w:sz w:val="21"/>
                <w:szCs w:val="21"/>
                <w:highlight w:val="none"/>
              </w:rPr>
              <w:t>m</w:t>
            </w:r>
            <w:r>
              <w:rPr>
                <w:rFonts w:hint="eastAsia"/>
                <w:color w:val="auto"/>
                <w:sz w:val="21"/>
                <w:szCs w:val="21"/>
                <w:highlight w:val="none"/>
                <w:vertAlign w:val="superscript"/>
              </w:rPr>
              <w:t>2</w:t>
            </w:r>
          </w:p>
        </w:tc>
      </w:tr>
      <w:tr w14:paraId="5B3E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0FF96C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b/>
                <w:bCs/>
                <w:color w:val="auto"/>
                <w:sz w:val="21"/>
                <w:szCs w:val="21"/>
                <w:highlight w:val="none"/>
                <w:lang w:val="en-US" w:eastAsia="zh-CN"/>
              </w:rPr>
            </w:pPr>
            <w:r>
              <w:rPr>
                <w:rFonts w:hint="eastAsia" w:ascii="Times New Roman" w:eastAsia="宋体"/>
                <w:b/>
                <w:bCs/>
                <w:color w:val="auto"/>
                <w:sz w:val="21"/>
                <w:szCs w:val="21"/>
                <w:highlight w:val="none"/>
                <w:lang w:val="en-US" w:eastAsia="zh-CN"/>
              </w:rPr>
              <w:t>3</w:t>
            </w:r>
          </w:p>
        </w:tc>
        <w:tc>
          <w:tcPr>
            <w:tcW w:w="4431" w:type="pct"/>
            <w:gridSpan w:val="4"/>
            <w:vAlign w:val="center"/>
          </w:tcPr>
          <w:p w14:paraId="4B1346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b/>
                <w:bCs/>
                <w:color w:val="auto"/>
                <w:sz w:val="21"/>
                <w:szCs w:val="21"/>
                <w:highlight w:val="none"/>
                <w:lang w:val="en-US" w:eastAsia="zh-CN"/>
              </w:rPr>
            </w:pPr>
            <w:r>
              <w:rPr>
                <w:rFonts w:hint="eastAsia" w:ascii="Times New Roman" w:eastAsia="宋体"/>
                <w:b/>
                <w:bCs/>
                <w:color w:val="auto"/>
                <w:sz w:val="21"/>
                <w:szCs w:val="21"/>
                <w:highlight w:val="none"/>
                <w:lang w:val="en-US" w:eastAsia="zh-CN"/>
              </w:rPr>
              <w:t>公用工程</w:t>
            </w:r>
          </w:p>
        </w:tc>
      </w:tr>
      <w:tr w14:paraId="71B3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6A48D4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（1</w:t>
            </w:r>
            <w:r>
              <w:rPr>
                <w:rFonts w:hint="eastAsia"/>
                <w:color w:val="auto"/>
                <w:sz w:val="21"/>
                <w:szCs w:val="21"/>
                <w:highlight w:val="none"/>
                <w:lang w:val="en-US" w:eastAsia="zh-CN"/>
              </w:rPr>
              <w:t>)</w:t>
            </w:r>
          </w:p>
        </w:tc>
        <w:tc>
          <w:tcPr>
            <w:tcW w:w="1936" w:type="pct"/>
            <w:gridSpan w:val="3"/>
            <w:vAlign w:val="center"/>
          </w:tcPr>
          <w:p w14:paraId="4757DD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供水工程</w:t>
            </w:r>
          </w:p>
        </w:tc>
        <w:tc>
          <w:tcPr>
            <w:tcW w:w="2495" w:type="pct"/>
            <w:vAlign w:val="center"/>
          </w:tcPr>
          <w:p w14:paraId="06B60C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eastAsia="宋体"/>
                <w:color w:val="auto"/>
                <w:sz w:val="21"/>
                <w:szCs w:val="21"/>
                <w:highlight w:val="none"/>
                <w:lang w:eastAsia="zh-CN"/>
              </w:rPr>
            </w:pPr>
            <w:r>
              <w:rPr>
                <w:rFonts w:hint="eastAsia" w:eastAsia="宋体"/>
                <w:color w:val="auto"/>
                <w:sz w:val="21"/>
                <w:szCs w:val="21"/>
                <w:highlight w:val="none"/>
                <w:lang w:eastAsia="zh-CN"/>
              </w:rPr>
              <w:t>从八家户农六队分水口预留接口引接至机场，长度约5km（属场外配套工程，由地方配套）</w:t>
            </w:r>
            <w:r>
              <w:rPr>
                <w:rFonts w:hint="eastAsia"/>
                <w:color w:val="auto"/>
                <w:sz w:val="21"/>
                <w:szCs w:val="21"/>
                <w:highlight w:val="none"/>
                <w:lang w:eastAsia="zh-CN"/>
              </w:rPr>
              <w:t>，水压约为0.35MPa</w:t>
            </w:r>
          </w:p>
        </w:tc>
      </w:tr>
      <w:tr w14:paraId="1E51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75C9B3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olor w:val="auto"/>
                <w:sz w:val="21"/>
                <w:szCs w:val="21"/>
                <w:highlight w:val="none"/>
                <w:lang w:val="en-US" w:eastAsia="zh-CN"/>
              </w:rPr>
              <w:t>（2</w:t>
            </w:r>
            <w:r>
              <w:rPr>
                <w:rFonts w:hint="eastAsia"/>
                <w:color w:val="auto"/>
                <w:sz w:val="21"/>
                <w:szCs w:val="21"/>
                <w:highlight w:val="none"/>
                <w:lang w:val="en-US" w:eastAsia="zh-CN"/>
              </w:rPr>
              <w:t>)</w:t>
            </w:r>
          </w:p>
        </w:tc>
        <w:tc>
          <w:tcPr>
            <w:tcW w:w="1936" w:type="pct"/>
            <w:gridSpan w:val="3"/>
            <w:vAlign w:val="center"/>
          </w:tcPr>
          <w:p w14:paraId="00FA0C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供电工程</w:t>
            </w:r>
          </w:p>
        </w:tc>
        <w:tc>
          <w:tcPr>
            <w:tcW w:w="2495" w:type="pct"/>
            <w:vAlign w:val="center"/>
          </w:tcPr>
          <w:p w14:paraId="23A31C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eastAsia="宋体"/>
                <w:color w:val="auto"/>
                <w:sz w:val="21"/>
                <w:szCs w:val="21"/>
                <w:highlight w:val="none"/>
                <w:lang w:eastAsia="zh-CN"/>
              </w:rPr>
            </w:pPr>
            <w:r>
              <w:rPr>
                <w:rFonts w:hint="eastAsia" w:eastAsia="宋体"/>
                <w:color w:val="auto"/>
                <w:sz w:val="21"/>
                <w:szCs w:val="21"/>
                <w:highlight w:val="none"/>
                <w:lang w:eastAsia="zh-CN"/>
              </w:rPr>
              <w:t>由110kV永集湖变电站和110kV安阜变电站分别引出一回10kV机场专用供电线路（共2路10kV供电线路）至机场中心变电站</w:t>
            </w:r>
          </w:p>
        </w:tc>
      </w:tr>
      <w:tr w14:paraId="1CBA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72F946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olor w:val="auto"/>
                <w:sz w:val="21"/>
                <w:szCs w:val="21"/>
                <w:highlight w:val="none"/>
                <w:lang w:val="en-US" w:eastAsia="zh-CN"/>
              </w:rPr>
              <w:t>（3</w:t>
            </w:r>
            <w:r>
              <w:rPr>
                <w:rFonts w:hint="eastAsia"/>
                <w:color w:val="auto"/>
                <w:sz w:val="21"/>
                <w:szCs w:val="21"/>
                <w:highlight w:val="none"/>
                <w:lang w:val="en-US" w:eastAsia="zh-CN"/>
              </w:rPr>
              <w:t>)</w:t>
            </w:r>
          </w:p>
        </w:tc>
        <w:tc>
          <w:tcPr>
            <w:tcW w:w="1936" w:type="pct"/>
            <w:gridSpan w:val="3"/>
            <w:vAlign w:val="center"/>
          </w:tcPr>
          <w:p w14:paraId="29A76E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制冷工程</w:t>
            </w:r>
          </w:p>
        </w:tc>
        <w:tc>
          <w:tcPr>
            <w:tcW w:w="2495" w:type="pct"/>
            <w:vAlign w:val="center"/>
          </w:tcPr>
          <w:p w14:paraId="47EAD3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航站楼选用多联空调机组一套（制冷量144kW，耗电功率48.8kW）和新风机组一套（制冷量45kW，风量3000CMH，耗电功率12.8kW）。航管楼、办公用房、机务、场务用房等房间选用多联空调机组一套（制冷量134.1kW，耗电量41kW）和新风机组一套（制冷量22kW，风量1500CMH，耗电功率6.15kW）；塔台选用超低温型冷暖多联空调机组（可-30℃制热）一套（制冷量57kW，制热量33.25kW</w:t>
            </w:r>
            <w:r>
              <w:rPr>
                <w:rFonts w:hint="eastAsia"/>
                <w:color w:val="auto"/>
                <w:sz w:val="21"/>
                <w:szCs w:val="21"/>
                <w:highlight w:val="none"/>
                <w:lang w:val="en-US" w:eastAsia="zh-CN"/>
              </w:rPr>
              <w:t>，</w:t>
            </w:r>
            <w:r>
              <w:rPr>
                <w:rFonts w:hint="default" w:eastAsia="宋体"/>
                <w:color w:val="auto"/>
                <w:sz w:val="21"/>
                <w:szCs w:val="21"/>
                <w:highlight w:val="none"/>
                <w:lang w:val="en-US" w:eastAsia="zh-CN"/>
              </w:rPr>
              <w:t>耗电功率15.75kW）和新风机组一套（制冷量14kW，风量1000CMH，耗电功率3.35kW）</w:t>
            </w:r>
          </w:p>
        </w:tc>
      </w:tr>
      <w:tr w14:paraId="389D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0DBF16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olor w:val="auto"/>
                <w:sz w:val="21"/>
                <w:szCs w:val="21"/>
                <w:highlight w:val="none"/>
                <w:lang w:val="en-US" w:eastAsia="zh-CN"/>
              </w:rPr>
              <w:t>（4</w:t>
            </w:r>
            <w:r>
              <w:rPr>
                <w:rFonts w:hint="eastAsia"/>
                <w:color w:val="auto"/>
                <w:sz w:val="21"/>
                <w:szCs w:val="21"/>
                <w:highlight w:val="none"/>
                <w:lang w:val="en-US" w:eastAsia="zh-CN"/>
              </w:rPr>
              <w:t>)</w:t>
            </w:r>
          </w:p>
        </w:tc>
        <w:tc>
          <w:tcPr>
            <w:tcW w:w="1936" w:type="pct"/>
            <w:gridSpan w:val="3"/>
            <w:vAlign w:val="center"/>
          </w:tcPr>
          <w:p w14:paraId="485220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供热工程</w:t>
            </w:r>
          </w:p>
        </w:tc>
        <w:tc>
          <w:tcPr>
            <w:tcW w:w="2495" w:type="pct"/>
            <w:vAlign w:val="center"/>
          </w:tcPr>
          <w:p w14:paraId="14B5BF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rPr>
            </w:pPr>
            <w:r>
              <w:rPr>
                <w:rFonts w:hint="default"/>
                <w:color w:val="auto"/>
                <w:sz w:val="21"/>
                <w:szCs w:val="21"/>
                <w:highlight w:val="none"/>
              </w:rPr>
              <w:t>新建</w:t>
            </w:r>
            <w:r>
              <w:rPr>
                <w:rFonts w:hint="eastAsia"/>
                <w:color w:val="auto"/>
                <w:sz w:val="21"/>
                <w:szCs w:val="21"/>
                <w:highlight w:val="none"/>
                <w:lang w:val="en-US" w:eastAsia="zh-CN"/>
              </w:rPr>
              <w:t>电</w:t>
            </w:r>
            <w:r>
              <w:rPr>
                <w:rFonts w:hint="default"/>
                <w:color w:val="auto"/>
                <w:sz w:val="21"/>
                <w:szCs w:val="21"/>
                <w:highlight w:val="none"/>
              </w:rPr>
              <w:t>锅炉房一座，面积约为300m</w:t>
            </w:r>
            <w:r>
              <w:rPr>
                <w:rFonts w:hint="default"/>
                <w:color w:val="auto"/>
                <w:sz w:val="21"/>
                <w:szCs w:val="21"/>
                <w:highlight w:val="none"/>
                <w:vertAlign w:val="superscript"/>
              </w:rPr>
              <w:t>2</w:t>
            </w:r>
            <w:r>
              <w:rPr>
                <w:rFonts w:hint="default"/>
                <w:color w:val="auto"/>
                <w:sz w:val="21"/>
                <w:szCs w:val="21"/>
                <w:highlight w:val="none"/>
              </w:rPr>
              <w:t>，内设两台0.70MW电采暖热水锅炉</w:t>
            </w:r>
            <w:r>
              <w:rPr>
                <w:rFonts w:hint="eastAsia"/>
                <w:color w:val="auto"/>
                <w:sz w:val="21"/>
                <w:szCs w:val="21"/>
                <w:highlight w:val="none"/>
              </w:rPr>
              <w:t>（一用一备），每台电功率510kW/380V</w:t>
            </w:r>
            <w:r>
              <w:rPr>
                <w:rFonts w:hint="default"/>
                <w:color w:val="auto"/>
                <w:sz w:val="21"/>
                <w:szCs w:val="21"/>
                <w:highlight w:val="none"/>
              </w:rPr>
              <w:t>。布置供热管网，管网直埋敷设，管材选用</w:t>
            </w:r>
            <w:r>
              <w:rPr>
                <w:rFonts w:hint="eastAsia"/>
                <w:color w:val="auto"/>
                <w:sz w:val="21"/>
                <w:szCs w:val="21"/>
                <w:highlight w:val="none"/>
              </w:rPr>
              <w:t>焊接钢管，聚氨酯发泡保温，玻璃钢外壳或高密度聚乙烯外壳</w:t>
            </w:r>
            <w:r>
              <w:rPr>
                <w:rFonts w:hint="default"/>
                <w:color w:val="auto"/>
                <w:sz w:val="21"/>
                <w:szCs w:val="21"/>
                <w:highlight w:val="none"/>
              </w:rPr>
              <w:t>，建供热管线路由约2300m</w:t>
            </w:r>
            <w:r>
              <w:rPr>
                <w:rFonts w:hint="eastAsia"/>
                <w:color w:val="auto"/>
                <w:sz w:val="21"/>
                <w:szCs w:val="21"/>
                <w:highlight w:val="none"/>
              </w:rPr>
              <w:t>（属场外配套工程，由地方配套）</w:t>
            </w:r>
            <w:r>
              <w:rPr>
                <w:rFonts w:hint="default"/>
                <w:color w:val="auto"/>
                <w:sz w:val="21"/>
                <w:szCs w:val="21"/>
                <w:highlight w:val="none"/>
              </w:rPr>
              <w:t>，管径DN25～DN100</w:t>
            </w:r>
          </w:p>
        </w:tc>
      </w:tr>
      <w:tr w14:paraId="50BF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05304A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olor w:val="auto"/>
                <w:sz w:val="21"/>
                <w:szCs w:val="21"/>
                <w:highlight w:val="none"/>
                <w:lang w:val="en-US" w:eastAsia="zh-CN"/>
              </w:rPr>
              <w:t>（5</w:t>
            </w:r>
            <w:r>
              <w:rPr>
                <w:rFonts w:hint="eastAsia"/>
                <w:color w:val="auto"/>
                <w:sz w:val="21"/>
                <w:szCs w:val="21"/>
                <w:highlight w:val="none"/>
                <w:lang w:val="en-US" w:eastAsia="zh-CN"/>
              </w:rPr>
              <w:t>)</w:t>
            </w:r>
          </w:p>
        </w:tc>
        <w:tc>
          <w:tcPr>
            <w:tcW w:w="1936" w:type="pct"/>
            <w:gridSpan w:val="3"/>
            <w:vAlign w:val="center"/>
          </w:tcPr>
          <w:p w14:paraId="58C6C8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供气工程</w:t>
            </w:r>
          </w:p>
        </w:tc>
        <w:tc>
          <w:tcPr>
            <w:tcW w:w="2495" w:type="pct"/>
            <w:vAlign w:val="center"/>
          </w:tcPr>
          <w:p w14:paraId="305199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eastAsia="宋体"/>
                <w:color w:val="auto"/>
                <w:sz w:val="21"/>
                <w:szCs w:val="21"/>
                <w:highlight w:val="none"/>
                <w:lang w:eastAsia="zh-CN"/>
              </w:rPr>
            </w:pPr>
            <w:r>
              <w:rPr>
                <w:rFonts w:hint="eastAsia"/>
                <w:color w:val="auto"/>
                <w:sz w:val="21"/>
                <w:szCs w:val="21"/>
                <w:highlight w:val="none"/>
                <w:lang w:val="en-US" w:eastAsia="zh-CN"/>
              </w:rPr>
              <w:t>本</w:t>
            </w:r>
            <w:r>
              <w:rPr>
                <w:rFonts w:hint="eastAsia"/>
                <w:color w:val="auto"/>
                <w:sz w:val="21"/>
                <w:szCs w:val="21"/>
                <w:highlight w:val="none"/>
              </w:rPr>
              <w:t>期用气量约125m</w:t>
            </w:r>
            <w:r>
              <w:rPr>
                <w:rFonts w:hint="default"/>
                <w:color w:val="auto"/>
                <w:sz w:val="21"/>
                <w:szCs w:val="21"/>
                <w:highlight w:val="none"/>
                <w:vertAlign w:val="superscript"/>
              </w:rPr>
              <w:t>3</w:t>
            </w:r>
            <w:r>
              <w:rPr>
                <w:rFonts w:hint="eastAsia"/>
                <w:color w:val="auto"/>
                <w:sz w:val="21"/>
                <w:szCs w:val="21"/>
                <w:highlight w:val="none"/>
              </w:rPr>
              <w:t>/d</w:t>
            </w:r>
            <w:r>
              <w:rPr>
                <w:rFonts w:hint="eastAsia"/>
                <w:color w:val="auto"/>
                <w:sz w:val="21"/>
                <w:szCs w:val="21"/>
                <w:highlight w:val="none"/>
                <w:lang w:eastAsia="zh-CN"/>
              </w:rPr>
              <w:t>（4.56万m³/年）</w:t>
            </w:r>
            <w:r>
              <w:rPr>
                <w:rFonts w:hint="eastAsia"/>
                <w:color w:val="auto"/>
                <w:sz w:val="21"/>
                <w:szCs w:val="21"/>
                <w:highlight w:val="none"/>
              </w:rPr>
              <w:t>，采用点供（移动式压力容器供气</w:t>
            </w:r>
            <w:r>
              <w:rPr>
                <w:rFonts w:hint="eastAsia"/>
                <w:color w:val="auto"/>
                <w:sz w:val="21"/>
                <w:szCs w:val="21"/>
                <w:highlight w:val="none"/>
                <w:lang w:eastAsia="zh-CN"/>
              </w:rPr>
              <w:t>，</w:t>
            </w:r>
            <w:r>
              <w:rPr>
                <w:rFonts w:hint="eastAsia"/>
                <w:color w:val="auto"/>
                <w:sz w:val="21"/>
                <w:szCs w:val="21"/>
                <w:highlight w:val="none"/>
                <w:lang w:val="en-US" w:eastAsia="zh-CN"/>
              </w:rPr>
              <w:t>4000</w:t>
            </w:r>
            <w:r>
              <w:rPr>
                <w:rFonts w:hint="eastAsia"/>
                <w:color w:val="auto"/>
                <w:sz w:val="21"/>
                <w:szCs w:val="21"/>
                <w:highlight w:val="none"/>
                <w:vertAlign w:val="superscript"/>
                <w:lang w:val="en-US" w:eastAsia="zh-CN"/>
              </w:rPr>
              <w:t>3</w:t>
            </w:r>
            <w:r>
              <w:rPr>
                <w:rFonts w:hint="eastAsia"/>
                <w:color w:val="auto"/>
                <w:sz w:val="21"/>
                <w:szCs w:val="21"/>
                <w:highlight w:val="none"/>
              </w:rPr>
              <w:t>），供气来源为新捷燃气公司八家户美食城附近加气站；远期用气量约200m</w:t>
            </w:r>
            <w:r>
              <w:rPr>
                <w:rFonts w:hint="eastAsia"/>
                <w:color w:val="auto"/>
                <w:sz w:val="21"/>
                <w:szCs w:val="21"/>
                <w:highlight w:val="none"/>
                <w:vertAlign w:val="superscript"/>
              </w:rPr>
              <w:t>3</w:t>
            </w:r>
            <w:r>
              <w:rPr>
                <w:rFonts w:hint="eastAsia"/>
                <w:color w:val="auto"/>
                <w:sz w:val="21"/>
                <w:szCs w:val="21"/>
                <w:highlight w:val="none"/>
              </w:rPr>
              <w:t>/d，燃气供应采用城市燃气管线供给</w:t>
            </w:r>
          </w:p>
        </w:tc>
      </w:tr>
      <w:tr w14:paraId="76E9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restart"/>
            <w:vAlign w:val="center"/>
          </w:tcPr>
          <w:p w14:paraId="3D5EAF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（6</w:t>
            </w:r>
            <w:r>
              <w:rPr>
                <w:rFonts w:hint="eastAsia"/>
                <w:color w:val="auto"/>
                <w:sz w:val="21"/>
                <w:szCs w:val="21"/>
                <w:highlight w:val="none"/>
                <w:lang w:val="en-US" w:eastAsia="zh-CN"/>
              </w:rPr>
              <w:t>)</w:t>
            </w:r>
          </w:p>
        </w:tc>
        <w:tc>
          <w:tcPr>
            <w:tcW w:w="859" w:type="pct"/>
            <w:vMerge w:val="restart"/>
            <w:vAlign w:val="center"/>
          </w:tcPr>
          <w:p w14:paraId="2AE7C9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排水工程及雨水收集</w:t>
            </w:r>
          </w:p>
        </w:tc>
        <w:tc>
          <w:tcPr>
            <w:tcW w:w="1077" w:type="pct"/>
            <w:gridSpan w:val="2"/>
            <w:vAlign w:val="center"/>
          </w:tcPr>
          <w:p w14:paraId="5BFB8C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场外排水</w:t>
            </w:r>
          </w:p>
        </w:tc>
        <w:tc>
          <w:tcPr>
            <w:tcW w:w="2495" w:type="pct"/>
            <w:vAlign w:val="center"/>
          </w:tcPr>
          <w:p w14:paraId="595786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eastAsia="宋体"/>
                <w:b w:val="0"/>
                <w:bCs w:val="0"/>
                <w:color w:val="auto"/>
                <w:sz w:val="21"/>
                <w:szCs w:val="21"/>
                <w:highlight w:val="none"/>
                <w:lang w:val="en-US" w:eastAsia="zh-CN"/>
              </w:rPr>
            </w:pPr>
            <w:r>
              <w:rPr>
                <w:rFonts w:hint="eastAsia" w:eastAsia="宋体"/>
                <w:b w:val="0"/>
                <w:bCs w:val="0"/>
                <w:color w:val="auto"/>
                <w:sz w:val="21"/>
                <w:szCs w:val="21"/>
                <w:highlight w:val="none"/>
                <w:lang w:val="en-US" w:eastAsia="zh-CN"/>
              </w:rPr>
              <w:t>场外防洪标准按满足20年一遇的设计洪水频率</w:t>
            </w:r>
          </w:p>
        </w:tc>
      </w:tr>
      <w:tr w14:paraId="5664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1DC647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color w:val="auto"/>
                <w:sz w:val="21"/>
                <w:szCs w:val="21"/>
                <w:highlight w:val="none"/>
                <w:lang w:val="en-US" w:eastAsia="zh-CN"/>
              </w:rPr>
            </w:pPr>
          </w:p>
        </w:tc>
        <w:tc>
          <w:tcPr>
            <w:tcW w:w="859" w:type="pct"/>
            <w:vMerge w:val="continue"/>
            <w:vAlign w:val="center"/>
          </w:tcPr>
          <w:p w14:paraId="35C11A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color w:val="auto"/>
                <w:sz w:val="21"/>
                <w:szCs w:val="21"/>
                <w:highlight w:val="none"/>
                <w:lang w:val="en-US" w:eastAsia="zh-CN"/>
              </w:rPr>
            </w:pPr>
          </w:p>
        </w:tc>
        <w:tc>
          <w:tcPr>
            <w:tcW w:w="1077" w:type="pct"/>
            <w:gridSpan w:val="2"/>
            <w:shd w:val="clear" w:color="auto" w:fill="auto"/>
            <w:vAlign w:val="center"/>
          </w:tcPr>
          <w:p w14:paraId="4183DB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场内排水</w:t>
            </w:r>
          </w:p>
        </w:tc>
        <w:tc>
          <w:tcPr>
            <w:tcW w:w="2495" w:type="pct"/>
            <w:shd w:val="clear" w:color="auto" w:fill="auto"/>
            <w:vAlign w:val="center"/>
          </w:tcPr>
          <w:p w14:paraId="0E1F35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eastAsia="宋体"/>
                <w:color w:val="auto"/>
                <w:sz w:val="21"/>
                <w:szCs w:val="21"/>
                <w:highlight w:val="none"/>
                <w:lang w:eastAsia="zh-CN"/>
              </w:rPr>
              <w:t>场内排水按暴雨重现期3年进行设计</w:t>
            </w:r>
            <w:r>
              <w:rPr>
                <w:rFonts w:hint="eastAsia"/>
                <w:color w:val="auto"/>
                <w:sz w:val="21"/>
                <w:szCs w:val="21"/>
                <w:highlight w:val="none"/>
                <w:lang w:eastAsia="zh-CN"/>
              </w:rPr>
              <w:t>，</w:t>
            </w:r>
            <w:r>
              <w:rPr>
                <w:rFonts w:hint="eastAsia" w:eastAsia="宋体"/>
                <w:color w:val="auto"/>
                <w:sz w:val="21"/>
                <w:szCs w:val="21"/>
                <w:highlight w:val="none"/>
                <w:lang w:eastAsia="zh-CN"/>
              </w:rPr>
              <w:t>飞行区通过地势设计设置V形土沟进行排水，场内雨水顺土面区漫流、下渗、蒸发排放</w:t>
            </w:r>
          </w:p>
        </w:tc>
      </w:tr>
      <w:tr w14:paraId="53DB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329ADF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859" w:type="pct"/>
            <w:vMerge w:val="continue"/>
            <w:vAlign w:val="center"/>
          </w:tcPr>
          <w:p w14:paraId="4E4B40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1077" w:type="pct"/>
            <w:gridSpan w:val="2"/>
            <w:vAlign w:val="center"/>
          </w:tcPr>
          <w:p w14:paraId="5856BB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雨水收集</w:t>
            </w:r>
          </w:p>
        </w:tc>
        <w:tc>
          <w:tcPr>
            <w:tcW w:w="2495" w:type="pct"/>
            <w:vAlign w:val="center"/>
          </w:tcPr>
          <w:p w14:paraId="4B4204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eastAsia="宋体"/>
                <w:color w:val="auto"/>
                <w:sz w:val="21"/>
                <w:szCs w:val="21"/>
                <w:highlight w:val="none"/>
                <w:lang w:eastAsia="zh-CN"/>
              </w:rPr>
            </w:pPr>
            <w:r>
              <w:rPr>
                <w:rFonts w:hint="eastAsia" w:eastAsia="宋体"/>
                <w:color w:val="auto"/>
                <w:sz w:val="21"/>
                <w:szCs w:val="21"/>
                <w:highlight w:val="none"/>
                <w:lang w:eastAsia="zh-CN"/>
              </w:rPr>
              <w:t>场内雨水通过地势设计设置V形土沟进行排水，场内雨水顺土面区漫流、下渗、蒸发排放</w:t>
            </w:r>
          </w:p>
        </w:tc>
      </w:tr>
      <w:tr w14:paraId="62DE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4904E9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（7</w:t>
            </w:r>
            <w:r>
              <w:rPr>
                <w:rFonts w:hint="eastAsia"/>
                <w:color w:val="auto"/>
                <w:sz w:val="21"/>
                <w:szCs w:val="21"/>
                <w:highlight w:val="none"/>
                <w:lang w:val="en-US" w:eastAsia="zh-CN"/>
              </w:rPr>
              <w:t>)</w:t>
            </w:r>
          </w:p>
        </w:tc>
        <w:tc>
          <w:tcPr>
            <w:tcW w:w="1936" w:type="pct"/>
            <w:gridSpan w:val="3"/>
            <w:vAlign w:val="center"/>
          </w:tcPr>
          <w:p w14:paraId="3ECF22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除冰工程</w:t>
            </w:r>
          </w:p>
        </w:tc>
        <w:tc>
          <w:tcPr>
            <w:tcW w:w="2495" w:type="pct"/>
            <w:vAlign w:val="center"/>
          </w:tcPr>
          <w:p w14:paraId="15C266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r>
      <w:tr w14:paraId="6BE17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039E12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color w:val="auto"/>
                <w:sz w:val="21"/>
                <w:szCs w:val="21"/>
                <w:highlight w:val="none"/>
                <w:lang w:val="en-US" w:eastAsia="zh-CN"/>
              </w:rPr>
            </w:pPr>
            <w:r>
              <w:rPr>
                <w:rFonts w:hint="eastAsia"/>
                <w:color w:val="auto"/>
                <w:sz w:val="21"/>
                <w:szCs w:val="21"/>
                <w:highlight w:val="none"/>
                <w:lang w:val="en-US" w:eastAsia="zh-CN"/>
              </w:rPr>
              <w:t>（8)</w:t>
            </w:r>
          </w:p>
        </w:tc>
        <w:tc>
          <w:tcPr>
            <w:tcW w:w="1936" w:type="pct"/>
            <w:gridSpan w:val="3"/>
            <w:vAlign w:val="center"/>
          </w:tcPr>
          <w:p w14:paraId="13BA8F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服务车道及其他道路</w:t>
            </w:r>
          </w:p>
        </w:tc>
        <w:tc>
          <w:tcPr>
            <w:tcW w:w="2495" w:type="pct"/>
            <w:vAlign w:val="center"/>
          </w:tcPr>
          <w:p w14:paraId="383EC5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eastAsia="宋体"/>
                <w:color w:val="auto"/>
                <w:sz w:val="21"/>
                <w:szCs w:val="21"/>
                <w:highlight w:val="none"/>
                <w:lang w:eastAsia="zh-CN"/>
              </w:rPr>
            </w:pPr>
            <w:r>
              <w:rPr>
                <w:rFonts w:hint="eastAsia"/>
                <w:color w:val="auto"/>
                <w:sz w:val="21"/>
                <w:szCs w:val="21"/>
                <w:highlight w:val="none"/>
              </w:rPr>
              <w:t>站坪与航站楼之间设置宽度为8m、站坪南、北两侧设置宽度为4m的服务车道，航站楼、特种车库及综合功能用房楼前硬化场地均按服务车道结构设计，新建服务车道及硬化路面9090m</w:t>
            </w:r>
            <w:r>
              <w:rPr>
                <w:rFonts w:hint="eastAsia"/>
                <w:color w:val="auto"/>
                <w:sz w:val="21"/>
                <w:szCs w:val="21"/>
                <w:highlight w:val="none"/>
                <w:vertAlign w:val="superscript"/>
                <w:lang w:val="en-US" w:eastAsia="zh-CN"/>
              </w:rPr>
              <w:t>2</w:t>
            </w:r>
          </w:p>
        </w:tc>
      </w:tr>
      <w:tr w14:paraId="211B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31A869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b/>
                <w:bCs/>
                <w:color w:val="auto"/>
                <w:sz w:val="21"/>
                <w:szCs w:val="21"/>
                <w:highlight w:val="none"/>
                <w:lang w:val="en-US" w:eastAsia="zh-CN"/>
              </w:rPr>
            </w:pPr>
            <w:r>
              <w:rPr>
                <w:rFonts w:hint="eastAsia" w:ascii="Times New Roman" w:eastAsia="宋体"/>
                <w:b/>
                <w:bCs/>
                <w:color w:val="auto"/>
                <w:sz w:val="21"/>
                <w:szCs w:val="21"/>
                <w:highlight w:val="none"/>
                <w:lang w:val="en-US" w:eastAsia="zh-CN"/>
              </w:rPr>
              <w:t>4</w:t>
            </w:r>
          </w:p>
        </w:tc>
        <w:tc>
          <w:tcPr>
            <w:tcW w:w="4431" w:type="pct"/>
            <w:gridSpan w:val="4"/>
            <w:vAlign w:val="center"/>
          </w:tcPr>
          <w:p w14:paraId="57AD82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b/>
                <w:bCs/>
                <w:color w:val="auto"/>
                <w:sz w:val="21"/>
                <w:szCs w:val="21"/>
                <w:highlight w:val="none"/>
                <w:lang w:val="en-US" w:eastAsia="zh-CN"/>
              </w:rPr>
            </w:pPr>
            <w:r>
              <w:rPr>
                <w:rFonts w:hint="eastAsia" w:ascii="Times New Roman" w:eastAsia="宋体"/>
                <w:b/>
                <w:bCs/>
                <w:color w:val="auto"/>
                <w:sz w:val="21"/>
                <w:szCs w:val="21"/>
                <w:highlight w:val="none"/>
                <w:lang w:val="en-US" w:eastAsia="zh-CN"/>
              </w:rPr>
              <w:t>环保工程</w:t>
            </w:r>
          </w:p>
        </w:tc>
      </w:tr>
      <w:tr w14:paraId="6DA5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3611ED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（1</w:t>
            </w:r>
            <w:r>
              <w:rPr>
                <w:rFonts w:hint="eastAsia"/>
                <w:color w:val="auto"/>
                <w:sz w:val="21"/>
                <w:szCs w:val="21"/>
                <w:highlight w:val="none"/>
                <w:lang w:val="en-US" w:eastAsia="zh-CN"/>
              </w:rPr>
              <w:t>)</w:t>
            </w:r>
          </w:p>
        </w:tc>
        <w:tc>
          <w:tcPr>
            <w:tcW w:w="1936" w:type="pct"/>
            <w:gridSpan w:val="3"/>
            <w:vAlign w:val="center"/>
          </w:tcPr>
          <w:p w14:paraId="29E855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废气处理设施</w:t>
            </w:r>
          </w:p>
        </w:tc>
        <w:tc>
          <w:tcPr>
            <w:tcW w:w="2495" w:type="pct"/>
            <w:vAlign w:val="center"/>
          </w:tcPr>
          <w:p w14:paraId="15508F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施工期采取洒水等降尘措施，合理安排施工作业时间，减少对周围居民及大气环境的影响</w:t>
            </w:r>
            <w:r>
              <w:rPr>
                <w:rFonts w:hint="eastAsia"/>
                <w:color w:val="auto"/>
                <w:sz w:val="21"/>
                <w:szCs w:val="21"/>
                <w:highlight w:val="none"/>
                <w:lang w:val="en-US" w:eastAsia="zh-CN"/>
              </w:rPr>
              <w:t>；运营期</w:t>
            </w:r>
            <w:r>
              <w:rPr>
                <w:rFonts w:hint="default" w:eastAsia="宋体"/>
                <w:color w:val="auto"/>
                <w:sz w:val="21"/>
                <w:szCs w:val="21"/>
                <w:highlight w:val="none"/>
                <w:lang w:val="en-US" w:eastAsia="zh-CN"/>
              </w:rPr>
              <w:t>飞机尾气</w:t>
            </w:r>
            <w:r>
              <w:rPr>
                <w:rFonts w:hint="eastAsia"/>
                <w:color w:val="auto"/>
                <w:sz w:val="21"/>
                <w:szCs w:val="21"/>
                <w:highlight w:val="none"/>
                <w:lang w:val="en-US" w:eastAsia="zh-CN"/>
              </w:rPr>
              <w:t>及机动车尾气采用自身净气系统进行处理</w:t>
            </w:r>
          </w:p>
        </w:tc>
      </w:tr>
      <w:tr w14:paraId="3B1B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6F8767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（2</w:t>
            </w:r>
            <w:r>
              <w:rPr>
                <w:rFonts w:hint="eastAsia"/>
                <w:color w:val="auto"/>
                <w:sz w:val="21"/>
                <w:szCs w:val="21"/>
                <w:highlight w:val="none"/>
                <w:lang w:val="en-US" w:eastAsia="zh-CN"/>
              </w:rPr>
              <w:t>)</w:t>
            </w:r>
          </w:p>
        </w:tc>
        <w:tc>
          <w:tcPr>
            <w:tcW w:w="1936" w:type="pct"/>
            <w:gridSpan w:val="3"/>
            <w:vAlign w:val="center"/>
          </w:tcPr>
          <w:p w14:paraId="6C9478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污（废）水处理设施</w:t>
            </w:r>
          </w:p>
        </w:tc>
        <w:tc>
          <w:tcPr>
            <w:tcW w:w="2495" w:type="pct"/>
            <w:vAlign w:val="center"/>
          </w:tcPr>
          <w:p w14:paraId="0D79A1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highlight w:val="none"/>
              </w:rPr>
            </w:pPr>
            <w:r>
              <w:rPr>
                <w:rFonts w:hint="eastAsia"/>
                <w:color w:val="auto"/>
                <w:sz w:val="21"/>
                <w:szCs w:val="21"/>
                <w:highlight w:val="none"/>
                <w:lang w:val="en-US" w:eastAsia="zh-CN"/>
              </w:rPr>
              <w:t>新建</w:t>
            </w:r>
            <w:r>
              <w:rPr>
                <w:rFonts w:hint="default"/>
                <w:color w:val="auto"/>
                <w:sz w:val="21"/>
                <w:szCs w:val="21"/>
                <w:highlight w:val="none"/>
              </w:rPr>
              <w:t>一套一体化MBR污水处理设施，处理能力为5m</w:t>
            </w:r>
            <w:r>
              <w:rPr>
                <w:rFonts w:hint="default"/>
                <w:color w:val="auto"/>
                <w:sz w:val="21"/>
                <w:szCs w:val="21"/>
                <w:highlight w:val="none"/>
                <w:vertAlign w:val="superscript"/>
              </w:rPr>
              <w:t>3</w:t>
            </w:r>
            <w:r>
              <w:rPr>
                <w:rFonts w:hint="default"/>
                <w:color w:val="auto"/>
                <w:sz w:val="21"/>
                <w:szCs w:val="21"/>
                <w:highlight w:val="none"/>
              </w:rPr>
              <w:t>/h，包括格栅井、调节池、缺氧池、MBR池、设备药剂间等</w:t>
            </w:r>
            <w:r>
              <w:rPr>
                <w:rFonts w:hint="eastAsia"/>
                <w:color w:val="auto"/>
                <w:sz w:val="21"/>
                <w:szCs w:val="21"/>
                <w:highlight w:val="none"/>
                <w:lang w:eastAsia="zh-CN"/>
              </w:rPr>
              <w:t>；</w:t>
            </w:r>
            <w:r>
              <w:rPr>
                <w:rFonts w:hint="eastAsia"/>
                <w:color w:val="auto"/>
                <w:sz w:val="21"/>
                <w:szCs w:val="21"/>
                <w:highlight w:val="none"/>
                <w:lang w:val="en-US" w:eastAsia="zh-CN"/>
              </w:rPr>
              <w:t>配套</w:t>
            </w:r>
            <w:r>
              <w:rPr>
                <w:rFonts w:hint="eastAsia"/>
                <w:color w:val="auto"/>
                <w:sz w:val="21"/>
                <w:szCs w:val="21"/>
                <w:highlight w:val="none"/>
                <w:lang w:eastAsia="zh-CN"/>
              </w:rPr>
              <w:t>新建一座2000m³中水池，污（废）水处理</w:t>
            </w:r>
            <w:r>
              <w:rPr>
                <w:rFonts w:hint="eastAsia"/>
                <w:color w:val="auto"/>
                <w:sz w:val="21"/>
                <w:szCs w:val="21"/>
                <w:highlight w:val="none"/>
                <w:lang w:val="en-US" w:eastAsia="zh-CN"/>
              </w:rPr>
              <w:t>达标后冬储夏灌，零排放。</w:t>
            </w:r>
            <w:r>
              <w:rPr>
                <w:rFonts w:hint="eastAsia"/>
                <w:color w:val="auto"/>
                <w:sz w:val="21"/>
                <w:szCs w:val="21"/>
                <w:highlight w:val="none"/>
              </w:rPr>
              <w:t>水质执行《城市污水再生利用 城市杂用水水质》（GB/T18920-2020）中相应回用水水质标准</w:t>
            </w:r>
          </w:p>
        </w:tc>
      </w:tr>
      <w:tr w14:paraId="2720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restart"/>
            <w:vAlign w:val="center"/>
          </w:tcPr>
          <w:p w14:paraId="76863F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（3</w:t>
            </w:r>
            <w:r>
              <w:rPr>
                <w:rFonts w:hint="eastAsia"/>
                <w:color w:val="auto"/>
                <w:sz w:val="21"/>
                <w:szCs w:val="21"/>
                <w:highlight w:val="none"/>
                <w:lang w:val="en-US" w:eastAsia="zh-CN"/>
              </w:rPr>
              <w:t>)</w:t>
            </w:r>
          </w:p>
        </w:tc>
        <w:tc>
          <w:tcPr>
            <w:tcW w:w="967" w:type="pct"/>
            <w:gridSpan w:val="2"/>
            <w:vMerge w:val="restart"/>
            <w:vAlign w:val="center"/>
          </w:tcPr>
          <w:p w14:paraId="190CF9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固体废物收集处置设施</w:t>
            </w:r>
          </w:p>
        </w:tc>
        <w:tc>
          <w:tcPr>
            <w:tcW w:w="968" w:type="pct"/>
            <w:vAlign w:val="center"/>
          </w:tcPr>
          <w:p w14:paraId="46433D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航空垃圾</w:t>
            </w:r>
          </w:p>
          <w:p w14:paraId="15AA92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生活垃圾</w:t>
            </w:r>
          </w:p>
        </w:tc>
        <w:tc>
          <w:tcPr>
            <w:tcW w:w="2495" w:type="pct"/>
            <w:vAlign w:val="center"/>
          </w:tcPr>
          <w:p w14:paraId="00F649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本</w:t>
            </w:r>
            <w:r>
              <w:rPr>
                <w:rFonts w:hint="eastAsia"/>
                <w:color w:val="auto"/>
                <w:sz w:val="21"/>
                <w:szCs w:val="21"/>
                <w:highlight w:val="none"/>
              </w:rPr>
              <w:t>期在机场</w:t>
            </w:r>
            <w:r>
              <w:rPr>
                <w:rFonts w:hint="eastAsia"/>
                <w:color w:val="auto"/>
                <w:sz w:val="21"/>
                <w:szCs w:val="21"/>
                <w:highlight w:val="none"/>
                <w:lang w:val="en-US" w:eastAsia="zh-CN"/>
              </w:rPr>
              <w:t>新</w:t>
            </w:r>
            <w:r>
              <w:rPr>
                <w:rFonts w:hint="eastAsia"/>
                <w:color w:val="auto"/>
                <w:sz w:val="21"/>
                <w:szCs w:val="21"/>
                <w:highlight w:val="none"/>
              </w:rPr>
              <w:t>建垃圾收集站</w:t>
            </w:r>
            <w:r>
              <w:rPr>
                <w:rFonts w:hint="eastAsia"/>
                <w:color w:val="auto"/>
                <w:sz w:val="21"/>
                <w:szCs w:val="21"/>
                <w:highlight w:val="none"/>
                <w:lang w:val="en-US" w:eastAsia="zh-CN"/>
              </w:rPr>
              <w:t>1处</w:t>
            </w:r>
            <w:r>
              <w:rPr>
                <w:rFonts w:hint="eastAsia"/>
                <w:color w:val="auto"/>
                <w:sz w:val="21"/>
                <w:szCs w:val="21"/>
                <w:highlight w:val="none"/>
              </w:rPr>
              <w:t>，面积为50m</w:t>
            </w:r>
            <w:r>
              <w:rPr>
                <w:rFonts w:hint="default"/>
                <w:color w:val="auto"/>
                <w:sz w:val="21"/>
                <w:szCs w:val="21"/>
                <w:highlight w:val="none"/>
                <w:vertAlign w:val="superscript"/>
              </w:rPr>
              <w:t>2</w:t>
            </w:r>
            <w:r>
              <w:rPr>
                <w:rFonts w:hint="eastAsia"/>
                <w:color w:val="auto"/>
                <w:sz w:val="21"/>
                <w:szCs w:val="21"/>
                <w:highlight w:val="none"/>
              </w:rPr>
              <w:t>，分类收集后定期</w:t>
            </w:r>
            <w:r>
              <w:rPr>
                <w:rFonts w:hint="eastAsia"/>
                <w:color w:val="auto"/>
                <w:sz w:val="21"/>
                <w:szCs w:val="21"/>
                <w:highlight w:val="none"/>
                <w:lang w:val="en-US" w:eastAsia="zh-CN"/>
              </w:rPr>
              <w:t>通过</w:t>
            </w:r>
            <w:r>
              <w:rPr>
                <w:rFonts w:hint="eastAsia"/>
                <w:color w:val="auto"/>
                <w:sz w:val="21"/>
                <w:szCs w:val="21"/>
                <w:highlight w:val="none"/>
              </w:rPr>
              <w:t>垃圾运输车拉运处置</w:t>
            </w:r>
          </w:p>
        </w:tc>
      </w:tr>
      <w:tr w14:paraId="3CCA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5DA95B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color w:val="auto"/>
                <w:sz w:val="21"/>
                <w:szCs w:val="21"/>
                <w:highlight w:val="none"/>
                <w:lang w:val="en-US" w:eastAsia="zh-CN"/>
              </w:rPr>
            </w:pPr>
          </w:p>
        </w:tc>
        <w:tc>
          <w:tcPr>
            <w:tcW w:w="967" w:type="pct"/>
            <w:gridSpan w:val="2"/>
            <w:vMerge w:val="continue"/>
            <w:vAlign w:val="center"/>
          </w:tcPr>
          <w:p w14:paraId="42EF39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color w:val="auto"/>
                <w:sz w:val="21"/>
                <w:szCs w:val="21"/>
                <w:highlight w:val="none"/>
                <w:lang w:val="en-US" w:eastAsia="zh-CN"/>
              </w:rPr>
            </w:pPr>
          </w:p>
        </w:tc>
        <w:tc>
          <w:tcPr>
            <w:tcW w:w="968" w:type="pct"/>
            <w:vAlign w:val="center"/>
          </w:tcPr>
          <w:p w14:paraId="300D64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污水处理站污泥</w:t>
            </w:r>
          </w:p>
        </w:tc>
        <w:tc>
          <w:tcPr>
            <w:tcW w:w="2495" w:type="pct"/>
            <w:vAlign w:val="center"/>
          </w:tcPr>
          <w:p w14:paraId="58B2E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委托场外有处置能力的单位定期进行减量化、无害化处置</w:t>
            </w:r>
          </w:p>
        </w:tc>
      </w:tr>
      <w:tr w14:paraId="4212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Merge w:val="continue"/>
            <w:vAlign w:val="center"/>
          </w:tcPr>
          <w:p w14:paraId="23F12B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highlight w:val="none"/>
              </w:rPr>
            </w:pPr>
          </w:p>
        </w:tc>
        <w:tc>
          <w:tcPr>
            <w:tcW w:w="967" w:type="pct"/>
            <w:gridSpan w:val="2"/>
            <w:vMerge w:val="continue"/>
            <w:vAlign w:val="center"/>
          </w:tcPr>
          <w:p w14:paraId="5DF8A6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highlight w:val="none"/>
              </w:rPr>
            </w:pPr>
          </w:p>
        </w:tc>
        <w:tc>
          <w:tcPr>
            <w:tcW w:w="968" w:type="pct"/>
            <w:vAlign w:val="center"/>
          </w:tcPr>
          <w:p w14:paraId="4BE723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危废</w:t>
            </w:r>
          </w:p>
        </w:tc>
        <w:tc>
          <w:tcPr>
            <w:tcW w:w="2495" w:type="pct"/>
            <w:vAlign w:val="center"/>
          </w:tcPr>
          <w:p w14:paraId="179F4F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危废暂存于危废贮存点，定期委托有相应危废处理资质的单位处理</w:t>
            </w:r>
          </w:p>
        </w:tc>
      </w:tr>
      <w:tr w14:paraId="2DF0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3216BA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（4</w:t>
            </w:r>
            <w:r>
              <w:rPr>
                <w:rFonts w:hint="eastAsia"/>
                <w:color w:val="auto"/>
                <w:sz w:val="21"/>
                <w:szCs w:val="21"/>
                <w:highlight w:val="none"/>
                <w:lang w:val="en-US" w:eastAsia="zh-CN"/>
              </w:rPr>
              <w:t>)</w:t>
            </w:r>
          </w:p>
        </w:tc>
        <w:tc>
          <w:tcPr>
            <w:tcW w:w="1936" w:type="pct"/>
            <w:gridSpan w:val="3"/>
            <w:vAlign w:val="center"/>
          </w:tcPr>
          <w:p w14:paraId="19BFA4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噪声污染防治设施</w:t>
            </w:r>
          </w:p>
        </w:tc>
        <w:tc>
          <w:tcPr>
            <w:tcW w:w="2495" w:type="pct"/>
            <w:vAlign w:val="center"/>
          </w:tcPr>
          <w:p w14:paraId="7370619B">
            <w:pPr>
              <w:keepNext w:val="0"/>
              <w:keepLines w:val="0"/>
              <w:pageBreakBefore w:val="0"/>
              <w:widowControl w:val="0"/>
              <w:suppressLineNumbers w:val="0"/>
              <w:tabs>
                <w:tab w:val="left" w:pos="48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eastAsia="宋体"/>
                <w:color w:val="auto"/>
                <w:sz w:val="21"/>
                <w:szCs w:val="21"/>
                <w:highlight w:val="none"/>
                <w:lang w:eastAsia="zh-CN"/>
              </w:rPr>
            </w:pPr>
            <w:r>
              <w:rPr>
                <w:rFonts w:hint="default"/>
                <w:color w:val="auto"/>
                <w:sz w:val="21"/>
                <w:szCs w:val="21"/>
                <w:highlight w:val="none"/>
              </w:rPr>
              <w:t>绘出飞机噪声等值线图</w:t>
            </w:r>
            <w:r>
              <w:rPr>
                <w:rFonts w:hint="eastAsia"/>
                <w:color w:val="auto"/>
                <w:sz w:val="21"/>
                <w:szCs w:val="21"/>
                <w:highlight w:val="none"/>
                <w:lang w:eastAsia="zh-CN"/>
              </w:rPr>
              <w:t>，</w:t>
            </w:r>
            <w:r>
              <w:rPr>
                <w:rFonts w:hint="default"/>
                <w:color w:val="auto"/>
                <w:sz w:val="21"/>
                <w:szCs w:val="21"/>
                <w:highlight w:val="none"/>
              </w:rPr>
              <w:t>对各声级下的人口分布、建设规划</w:t>
            </w:r>
            <w:r>
              <w:rPr>
                <w:rFonts w:hint="eastAsia"/>
                <w:color w:val="auto"/>
                <w:sz w:val="21"/>
                <w:szCs w:val="21"/>
                <w:highlight w:val="none"/>
                <w:lang w:eastAsia="zh-CN"/>
              </w:rPr>
              <w:t>做出相应的</w:t>
            </w:r>
            <w:r>
              <w:rPr>
                <w:rFonts w:hint="default"/>
                <w:color w:val="auto"/>
                <w:sz w:val="21"/>
                <w:szCs w:val="21"/>
                <w:highlight w:val="none"/>
              </w:rPr>
              <w:t>对策和措施</w:t>
            </w:r>
            <w:r>
              <w:rPr>
                <w:rFonts w:hint="eastAsia"/>
                <w:color w:val="auto"/>
                <w:sz w:val="21"/>
                <w:szCs w:val="21"/>
                <w:highlight w:val="none"/>
                <w:lang w:eastAsia="zh-CN"/>
              </w:rPr>
              <w:t>；机坪周围的重要建筑物做隔音处理；在不影响机场净空要求的前提下，种植噪声防护林，以减少航空噪声的影响</w:t>
            </w:r>
          </w:p>
        </w:tc>
      </w:tr>
      <w:tr w14:paraId="19AD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687A11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（5</w:t>
            </w:r>
            <w:r>
              <w:rPr>
                <w:rFonts w:hint="eastAsia"/>
                <w:color w:val="auto"/>
                <w:sz w:val="21"/>
                <w:szCs w:val="21"/>
                <w:highlight w:val="none"/>
                <w:lang w:val="en-US" w:eastAsia="zh-CN"/>
              </w:rPr>
              <w:t>)</w:t>
            </w:r>
          </w:p>
        </w:tc>
        <w:tc>
          <w:tcPr>
            <w:tcW w:w="1936" w:type="pct"/>
            <w:gridSpan w:val="3"/>
            <w:vAlign w:val="center"/>
          </w:tcPr>
          <w:p w14:paraId="21772C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生态保护和修复工程</w:t>
            </w:r>
          </w:p>
        </w:tc>
        <w:tc>
          <w:tcPr>
            <w:tcW w:w="2495" w:type="pct"/>
            <w:vAlign w:val="center"/>
          </w:tcPr>
          <w:p w14:paraId="3E9B63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坚持“因地制宜”的原则，选择当地多年种植已适应环境的优良的植被，对机场场地进行生态保护和修复工作。对飞行区进行清理平整防止水土流失</w:t>
            </w:r>
            <w:r>
              <w:rPr>
                <w:rFonts w:hint="eastAsia"/>
                <w:color w:val="auto"/>
                <w:sz w:val="21"/>
                <w:szCs w:val="21"/>
                <w:highlight w:val="none"/>
                <w:vertAlign w:val="baseline"/>
                <w:lang w:eastAsia="zh-CN"/>
              </w:rPr>
              <w:t>、航站区</w:t>
            </w:r>
            <w:r>
              <w:rPr>
                <w:rFonts w:hint="eastAsia"/>
                <w:color w:val="auto"/>
                <w:sz w:val="21"/>
                <w:szCs w:val="21"/>
                <w:highlight w:val="none"/>
                <w:vertAlign w:val="baseline"/>
                <w:lang w:val="en-US" w:eastAsia="zh-CN"/>
              </w:rPr>
              <w:t>进行</w:t>
            </w:r>
            <w:r>
              <w:rPr>
                <w:rFonts w:hint="eastAsia"/>
                <w:color w:val="auto"/>
                <w:sz w:val="21"/>
                <w:szCs w:val="21"/>
                <w:highlight w:val="none"/>
                <w:vertAlign w:val="baseline"/>
                <w:lang w:eastAsia="zh-CN"/>
              </w:rPr>
              <w:t>绿化，面积</w:t>
            </w:r>
            <w:r>
              <w:rPr>
                <w:rFonts w:hint="eastAsia"/>
                <w:color w:val="auto"/>
                <w:sz w:val="21"/>
                <w:szCs w:val="21"/>
                <w:highlight w:val="none"/>
                <w:vertAlign w:val="baseline"/>
                <w:lang w:val="en-US" w:eastAsia="zh-CN"/>
              </w:rPr>
              <w:t>约</w:t>
            </w:r>
            <w:r>
              <w:rPr>
                <w:rFonts w:hint="eastAsia"/>
                <w:color w:val="auto"/>
                <w:sz w:val="21"/>
                <w:szCs w:val="21"/>
                <w:highlight w:val="none"/>
                <w:vertAlign w:val="baseline"/>
                <w:lang w:eastAsia="zh-CN"/>
              </w:rPr>
              <w:t>12000m</w:t>
            </w:r>
            <w:r>
              <w:rPr>
                <w:rFonts w:hint="eastAsia"/>
                <w:color w:val="auto"/>
                <w:sz w:val="21"/>
                <w:szCs w:val="21"/>
                <w:highlight w:val="none"/>
                <w:vertAlign w:val="superscript"/>
                <w:lang w:val="en-US" w:eastAsia="zh-CN"/>
              </w:rPr>
              <w:t>2</w:t>
            </w:r>
            <w:r>
              <w:rPr>
                <w:rFonts w:hint="eastAsia"/>
                <w:color w:val="auto"/>
                <w:sz w:val="21"/>
                <w:szCs w:val="21"/>
                <w:highlight w:val="none"/>
                <w:vertAlign w:val="baseline"/>
                <w:lang w:val="en-US" w:eastAsia="zh-CN"/>
              </w:rPr>
              <w:t>；利用生态学的基本原理和方法，在飞行区及场外缓冲区做好驱鸟工作</w:t>
            </w:r>
          </w:p>
        </w:tc>
      </w:tr>
      <w:tr w14:paraId="297E1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308F3E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（6</w:t>
            </w:r>
            <w:r>
              <w:rPr>
                <w:rFonts w:hint="eastAsia"/>
                <w:color w:val="auto"/>
                <w:sz w:val="21"/>
                <w:szCs w:val="21"/>
                <w:highlight w:val="none"/>
                <w:lang w:val="en-US" w:eastAsia="zh-CN"/>
              </w:rPr>
              <w:t>)</w:t>
            </w:r>
          </w:p>
        </w:tc>
        <w:tc>
          <w:tcPr>
            <w:tcW w:w="1936" w:type="pct"/>
            <w:gridSpan w:val="3"/>
            <w:vAlign w:val="center"/>
          </w:tcPr>
          <w:p w14:paraId="5700C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环境风险防范设施</w:t>
            </w:r>
          </w:p>
        </w:tc>
        <w:tc>
          <w:tcPr>
            <w:tcW w:w="2495" w:type="pct"/>
            <w:vAlign w:val="center"/>
          </w:tcPr>
          <w:p w14:paraId="17AE15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eastAsia="宋体"/>
                <w:color w:val="auto"/>
                <w:sz w:val="21"/>
                <w:szCs w:val="21"/>
                <w:highlight w:val="none"/>
                <w:lang w:eastAsia="zh-CN"/>
              </w:rPr>
            </w:pPr>
            <w:r>
              <w:rPr>
                <w:rFonts w:hint="default"/>
                <w:color w:val="auto"/>
                <w:sz w:val="21"/>
                <w:szCs w:val="21"/>
                <w:highlight w:val="none"/>
              </w:rPr>
              <w:t>编制机场突发环境事件应急预案</w:t>
            </w:r>
            <w:r>
              <w:rPr>
                <w:rFonts w:hint="eastAsia"/>
                <w:color w:val="auto"/>
                <w:sz w:val="21"/>
                <w:szCs w:val="21"/>
                <w:highlight w:val="none"/>
                <w:lang w:eastAsia="zh-CN"/>
              </w:rPr>
              <w:t>，做好防</w:t>
            </w:r>
            <w:r>
              <w:rPr>
                <w:rFonts w:hint="eastAsia"/>
                <w:color w:val="auto"/>
                <w:sz w:val="21"/>
                <w:szCs w:val="21"/>
                <w:highlight w:val="none"/>
                <w:lang w:val="en-US" w:eastAsia="zh-CN"/>
              </w:rPr>
              <w:t>鸟击</w:t>
            </w:r>
            <w:r>
              <w:rPr>
                <w:rFonts w:hint="eastAsia"/>
                <w:color w:val="auto"/>
                <w:sz w:val="21"/>
                <w:szCs w:val="21"/>
                <w:highlight w:val="none"/>
                <w:lang w:eastAsia="zh-CN"/>
              </w:rPr>
              <w:t>措施；针对每个季节不同鸟种制定不同的驱鸟措施，尤其要对春秋季节重点威胁类群做出明确的防范措施；加强驱鸟设备的及时更新维护</w:t>
            </w:r>
          </w:p>
        </w:tc>
      </w:tr>
      <w:tr w14:paraId="4F02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276EB0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b/>
                <w:bCs/>
                <w:color w:val="auto"/>
                <w:sz w:val="21"/>
                <w:szCs w:val="21"/>
                <w:highlight w:val="none"/>
                <w:lang w:val="en-US" w:eastAsia="zh-CN"/>
              </w:rPr>
            </w:pPr>
            <w:r>
              <w:rPr>
                <w:rFonts w:hint="eastAsia" w:ascii="Times New Roman" w:eastAsia="宋体"/>
                <w:b/>
                <w:bCs/>
                <w:color w:val="auto"/>
                <w:sz w:val="21"/>
                <w:szCs w:val="21"/>
                <w:highlight w:val="none"/>
                <w:lang w:val="en-US" w:eastAsia="zh-CN"/>
              </w:rPr>
              <w:t>5</w:t>
            </w:r>
          </w:p>
        </w:tc>
        <w:tc>
          <w:tcPr>
            <w:tcW w:w="4431" w:type="pct"/>
            <w:gridSpan w:val="4"/>
            <w:vAlign w:val="center"/>
          </w:tcPr>
          <w:p w14:paraId="0BB524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b/>
                <w:bCs/>
                <w:color w:val="auto"/>
                <w:sz w:val="21"/>
                <w:szCs w:val="21"/>
                <w:highlight w:val="none"/>
                <w:lang w:val="en-US" w:eastAsia="zh-CN"/>
              </w:rPr>
            </w:pPr>
            <w:r>
              <w:rPr>
                <w:rFonts w:hint="eastAsia" w:ascii="Times New Roman" w:eastAsia="宋体"/>
                <w:b/>
                <w:bCs/>
                <w:color w:val="auto"/>
                <w:sz w:val="21"/>
                <w:szCs w:val="21"/>
                <w:highlight w:val="none"/>
                <w:lang w:val="en-US" w:eastAsia="zh-CN"/>
              </w:rPr>
              <w:t>供油工程</w:t>
            </w:r>
          </w:p>
        </w:tc>
      </w:tr>
      <w:tr w14:paraId="32B2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1FD52D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（1</w:t>
            </w:r>
            <w:r>
              <w:rPr>
                <w:rFonts w:hint="eastAsia"/>
                <w:color w:val="auto"/>
                <w:sz w:val="21"/>
                <w:szCs w:val="21"/>
                <w:highlight w:val="none"/>
                <w:lang w:val="en-US" w:eastAsia="zh-CN"/>
              </w:rPr>
              <w:t>)</w:t>
            </w:r>
          </w:p>
        </w:tc>
        <w:tc>
          <w:tcPr>
            <w:tcW w:w="1936" w:type="pct"/>
            <w:gridSpan w:val="3"/>
            <w:vAlign w:val="center"/>
          </w:tcPr>
          <w:p w14:paraId="6B51C7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铁路装卸油站（装卸油码头）</w:t>
            </w:r>
          </w:p>
        </w:tc>
        <w:tc>
          <w:tcPr>
            <w:tcW w:w="2495" w:type="pct"/>
            <w:vAlign w:val="center"/>
          </w:tcPr>
          <w:p w14:paraId="299349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r>
      <w:tr w14:paraId="5BEC6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3EC52D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（2</w:t>
            </w:r>
            <w:r>
              <w:rPr>
                <w:rFonts w:hint="eastAsia"/>
                <w:color w:val="auto"/>
                <w:sz w:val="21"/>
                <w:szCs w:val="21"/>
                <w:highlight w:val="none"/>
                <w:lang w:val="en-US" w:eastAsia="zh-CN"/>
              </w:rPr>
              <w:t>)</w:t>
            </w:r>
          </w:p>
        </w:tc>
        <w:tc>
          <w:tcPr>
            <w:tcW w:w="1936" w:type="pct"/>
            <w:gridSpan w:val="3"/>
            <w:vAlign w:val="center"/>
          </w:tcPr>
          <w:p w14:paraId="493A32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中转油库</w:t>
            </w:r>
          </w:p>
        </w:tc>
        <w:tc>
          <w:tcPr>
            <w:tcW w:w="2495" w:type="pct"/>
            <w:vAlign w:val="center"/>
          </w:tcPr>
          <w:p w14:paraId="1787D4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r>
      <w:tr w14:paraId="2D3E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39F763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（3</w:t>
            </w:r>
            <w:r>
              <w:rPr>
                <w:rFonts w:hint="eastAsia"/>
                <w:color w:val="auto"/>
                <w:sz w:val="21"/>
                <w:szCs w:val="21"/>
                <w:highlight w:val="none"/>
                <w:lang w:val="en-US" w:eastAsia="zh-CN"/>
              </w:rPr>
              <w:t>)</w:t>
            </w:r>
          </w:p>
        </w:tc>
        <w:tc>
          <w:tcPr>
            <w:tcW w:w="1936" w:type="pct"/>
            <w:gridSpan w:val="3"/>
            <w:vAlign w:val="center"/>
          </w:tcPr>
          <w:p w14:paraId="7CAE28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储油库</w:t>
            </w:r>
          </w:p>
        </w:tc>
        <w:tc>
          <w:tcPr>
            <w:tcW w:w="2495" w:type="pct"/>
            <w:vAlign w:val="center"/>
          </w:tcPr>
          <w:p w14:paraId="69FBEE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r>
      <w:tr w14:paraId="238C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70D4BE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（4</w:t>
            </w:r>
            <w:r>
              <w:rPr>
                <w:rFonts w:hint="eastAsia"/>
                <w:color w:val="auto"/>
                <w:sz w:val="21"/>
                <w:szCs w:val="21"/>
                <w:highlight w:val="none"/>
                <w:lang w:val="en-US" w:eastAsia="zh-CN"/>
              </w:rPr>
              <w:t>)</w:t>
            </w:r>
          </w:p>
        </w:tc>
        <w:tc>
          <w:tcPr>
            <w:tcW w:w="1936" w:type="pct"/>
            <w:gridSpan w:val="3"/>
            <w:vAlign w:val="center"/>
          </w:tcPr>
          <w:p w14:paraId="5B497D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机场油库</w:t>
            </w:r>
          </w:p>
        </w:tc>
        <w:tc>
          <w:tcPr>
            <w:tcW w:w="2495" w:type="pct"/>
            <w:vAlign w:val="center"/>
          </w:tcPr>
          <w:p w14:paraId="300403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r>
      <w:tr w14:paraId="79F29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5F93EB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（5</w:t>
            </w:r>
            <w:r>
              <w:rPr>
                <w:rFonts w:hint="eastAsia"/>
                <w:color w:val="auto"/>
                <w:sz w:val="21"/>
                <w:szCs w:val="21"/>
                <w:highlight w:val="none"/>
                <w:lang w:val="en-US" w:eastAsia="zh-CN"/>
              </w:rPr>
              <w:t>)</w:t>
            </w:r>
          </w:p>
        </w:tc>
        <w:tc>
          <w:tcPr>
            <w:tcW w:w="1936" w:type="pct"/>
            <w:gridSpan w:val="3"/>
            <w:vAlign w:val="center"/>
          </w:tcPr>
          <w:p w14:paraId="0FEBB8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航空加油站</w:t>
            </w:r>
          </w:p>
        </w:tc>
        <w:tc>
          <w:tcPr>
            <w:tcW w:w="2495" w:type="pct"/>
            <w:vAlign w:val="center"/>
          </w:tcPr>
          <w:p w14:paraId="01457F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本期采用两辆罐式加油车供油，在站坪东北侧建设一座油车棚</w:t>
            </w:r>
            <w:r>
              <w:rPr>
                <w:rFonts w:hint="eastAsia"/>
                <w:color w:val="auto"/>
                <w:sz w:val="21"/>
                <w:szCs w:val="21"/>
                <w:highlight w:val="none"/>
                <w:lang w:val="en-US" w:eastAsia="zh-CN"/>
              </w:rPr>
              <w:t>（112.5m</w:t>
            </w:r>
            <w:r>
              <w:rPr>
                <w:rFonts w:hint="eastAsia"/>
                <w:color w:val="auto"/>
                <w:sz w:val="21"/>
                <w:szCs w:val="21"/>
                <w:highlight w:val="none"/>
                <w:vertAlign w:val="superscript"/>
                <w:lang w:val="en-US" w:eastAsia="zh-CN"/>
              </w:rPr>
              <w:t>2</w:t>
            </w:r>
            <w:r>
              <w:rPr>
                <w:rFonts w:hint="eastAsia"/>
                <w:color w:val="auto"/>
                <w:sz w:val="21"/>
                <w:szCs w:val="21"/>
                <w:highlight w:val="none"/>
                <w:lang w:val="en-US" w:eastAsia="zh-CN"/>
              </w:rPr>
              <w:t>）</w:t>
            </w:r>
            <w:r>
              <w:rPr>
                <w:rFonts w:hint="eastAsia" w:eastAsia="宋体"/>
                <w:color w:val="auto"/>
                <w:sz w:val="21"/>
                <w:szCs w:val="21"/>
                <w:highlight w:val="none"/>
                <w:lang w:val="en-US" w:eastAsia="zh-CN"/>
              </w:rPr>
              <w:t>，罐式加油车容量分别为10m</w:t>
            </w:r>
            <w:r>
              <w:rPr>
                <w:rFonts w:hint="eastAsia" w:eastAsia="宋体"/>
                <w:color w:val="auto"/>
                <w:sz w:val="21"/>
                <w:szCs w:val="21"/>
                <w:highlight w:val="none"/>
                <w:vertAlign w:val="superscript"/>
                <w:lang w:val="en-US" w:eastAsia="zh-CN"/>
              </w:rPr>
              <w:t>3</w:t>
            </w:r>
            <w:r>
              <w:rPr>
                <w:rFonts w:hint="eastAsia" w:eastAsia="宋体"/>
                <w:color w:val="auto"/>
                <w:sz w:val="21"/>
                <w:szCs w:val="21"/>
                <w:highlight w:val="none"/>
                <w:lang w:val="en-US" w:eastAsia="zh-CN"/>
              </w:rPr>
              <w:t>、25m</w:t>
            </w:r>
            <w:r>
              <w:rPr>
                <w:rFonts w:hint="eastAsia" w:eastAsia="宋体"/>
                <w:color w:val="auto"/>
                <w:sz w:val="21"/>
                <w:szCs w:val="21"/>
                <w:highlight w:val="none"/>
                <w:vertAlign w:val="superscript"/>
                <w:lang w:val="en-US" w:eastAsia="zh-CN"/>
              </w:rPr>
              <w:t>3</w:t>
            </w:r>
            <w:r>
              <w:rPr>
                <w:rFonts w:hint="eastAsia" w:eastAsia="宋体"/>
                <w:color w:val="auto"/>
                <w:sz w:val="21"/>
                <w:szCs w:val="21"/>
                <w:highlight w:val="none"/>
                <w:lang w:val="en-US" w:eastAsia="zh-CN"/>
              </w:rPr>
              <w:t>，合计容量35m</w:t>
            </w:r>
            <w:r>
              <w:rPr>
                <w:rFonts w:hint="eastAsia" w:eastAsia="宋体"/>
                <w:color w:val="auto"/>
                <w:sz w:val="21"/>
                <w:szCs w:val="21"/>
                <w:highlight w:val="none"/>
                <w:vertAlign w:val="superscript"/>
                <w:lang w:val="en-US" w:eastAsia="zh-CN"/>
              </w:rPr>
              <w:t>3</w:t>
            </w:r>
            <w:r>
              <w:rPr>
                <w:rFonts w:hint="eastAsia" w:eastAsia="宋体"/>
                <w:color w:val="auto"/>
                <w:sz w:val="21"/>
                <w:szCs w:val="21"/>
                <w:highlight w:val="none"/>
                <w:lang w:val="en-US" w:eastAsia="zh-CN"/>
              </w:rPr>
              <w:t>，预留撬装罐的建设场地</w:t>
            </w:r>
          </w:p>
        </w:tc>
      </w:tr>
      <w:tr w14:paraId="1C8E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677409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（6</w:t>
            </w:r>
            <w:r>
              <w:rPr>
                <w:rFonts w:hint="eastAsia"/>
                <w:color w:val="auto"/>
                <w:sz w:val="21"/>
                <w:szCs w:val="21"/>
                <w:highlight w:val="none"/>
                <w:lang w:val="en-US" w:eastAsia="zh-CN"/>
              </w:rPr>
              <w:t>)</w:t>
            </w:r>
          </w:p>
        </w:tc>
        <w:tc>
          <w:tcPr>
            <w:tcW w:w="1936" w:type="pct"/>
            <w:gridSpan w:val="3"/>
            <w:vAlign w:val="center"/>
          </w:tcPr>
          <w:p w14:paraId="09DD5D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输油管线</w:t>
            </w:r>
          </w:p>
        </w:tc>
        <w:tc>
          <w:tcPr>
            <w:tcW w:w="2495" w:type="pct"/>
            <w:vAlign w:val="center"/>
          </w:tcPr>
          <w:p w14:paraId="450636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r>
      <w:tr w14:paraId="5B2B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0A0EA0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（7</w:t>
            </w:r>
            <w:r>
              <w:rPr>
                <w:rFonts w:hint="eastAsia"/>
                <w:color w:val="auto"/>
                <w:sz w:val="21"/>
                <w:szCs w:val="21"/>
                <w:highlight w:val="none"/>
                <w:lang w:val="en-US" w:eastAsia="zh-CN"/>
              </w:rPr>
              <w:t>)</w:t>
            </w:r>
          </w:p>
        </w:tc>
        <w:tc>
          <w:tcPr>
            <w:tcW w:w="1936" w:type="pct"/>
            <w:gridSpan w:val="3"/>
            <w:vAlign w:val="center"/>
          </w:tcPr>
          <w:p w14:paraId="1BD8F3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汽车加油站</w:t>
            </w:r>
          </w:p>
        </w:tc>
        <w:tc>
          <w:tcPr>
            <w:tcW w:w="2495" w:type="pct"/>
            <w:vAlign w:val="center"/>
          </w:tcPr>
          <w:p w14:paraId="0EAABE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rPr>
            </w:pPr>
            <w:r>
              <w:rPr>
                <w:rFonts w:hint="eastAsia"/>
                <w:color w:val="auto"/>
                <w:sz w:val="21"/>
                <w:szCs w:val="21"/>
                <w:highlight w:val="none"/>
                <w:lang w:val="en-US" w:eastAsia="zh-CN"/>
              </w:rPr>
              <w:t>由</w:t>
            </w:r>
            <w:r>
              <w:rPr>
                <w:rFonts w:hint="default"/>
                <w:color w:val="auto"/>
                <w:sz w:val="21"/>
                <w:szCs w:val="21"/>
                <w:highlight w:val="none"/>
              </w:rPr>
              <w:t>当地社会加油站解决，本期机场不单独建设汽车加油站</w:t>
            </w:r>
          </w:p>
        </w:tc>
      </w:tr>
      <w:tr w14:paraId="1F42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vAlign w:val="center"/>
          </w:tcPr>
          <w:p w14:paraId="1034E9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b/>
                <w:bCs/>
                <w:color w:val="auto"/>
                <w:sz w:val="21"/>
                <w:szCs w:val="21"/>
                <w:highlight w:val="none"/>
                <w:lang w:val="en-US" w:eastAsia="zh-CN"/>
              </w:rPr>
            </w:pPr>
            <w:r>
              <w:rPr>
                <w:rFonts w:hint="eastAsia" w:ascii="Times New Roman" w:eastAsia="宋体"/>
                <w:b/>
                <w:bCs/>
                <w:color w:val="auto"/>
                <w:sz w:val="21"/>
                <w:szCs w:val="21"/>
                <w:highlight w:val="none"/>
                <w:lang w:val="en-US" w:eastAsia="zh-CN"/>
              </w:rPr>
              <w:t>四、依托工程</w:t>
            </w:r>
          </w:p>
        </w:tc>
      </w:tr>
      <w:tr w14:paraId="2A2E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477933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1</w:t>
            </w:r>
          </w:p>
        </w:tc>
        <w:tc>
          <w:tcPr>
            <w:tcW w:w="1936" w:type="pct"/>
            <w:gridSpan w:val="3"/>
            <w:vAlign w:val="center"/>
          </w:tcPr>
          <w:p w14:paraId="237C65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污水处理厂</w:t>
            </w:r>
          </w:p>
        </w:tc>
        <w:tc>
          <w:tcPr>
            <w:tcW w:w="2495" w:type="pct"/>
            <w:vAlign w:val="center"/>
          </w:tcPr>
          <w:p w14:paraId="007C7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r>
      <w:tr w14:paraId="11D0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58CD30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2</w:t>
            </w:r>
          </w:p>
        </w:tc>
        <w:tc>
          <w:tcPr>
            <w:tcW w:w="1936" w:type="pct"/>
            <w:gridSpan w:val="3"/>
            <w:vAlign w:val="center"/>
          </w:tcPr>
          <w:p w14:paraId="67ABEB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固废处理设施</w:t>
            </w:r>
          </w:p>
        </w:tc>
        <w:tc>
          <w:tcPr>
            <w:tcW w:w="2495" w:type="pct"/>
            <w:vAlign w:val="center"/>
          </w:tcPr>
          <w:p w14:paraId="70FB87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精河县城镇垃圾场。本项目航空垃圾、生活垃圾等依托精河县城镇垃圾场进行处置。</w:t>
            </w:r>
          </w:p>
        </w:tc>
      </w:tr>
      <w:tr w14:paraId="7732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020D52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3</w:t>
            </w:r>
          </w:p>
        </w:tc>
        <w:tc>
          <w:tcPr>
            <w:tcW w:w="1936" w:type="pct"/>
            <w:gridSpan w:val="3"/>
            <w:vAlign w:val="center"/>
          </w:tcPr>
          <w:p w14:paraId="459252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进场道路</w:t>
            </w:r>
          </w:p>
        </w:tc>
        <w:tc>
          <w:tcPr>
            <w:tcW w:w="2495" w:type="pct"/>
            <w:vAlign w:val="center"/>
          </w:tcPr>
          <w:p w14:paraId="72FCDE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自机场入口起，修建约7.54km左右机场大道穿过X214县道，与乌伊路相交（属场外配套工程，由地方配套）</w:t>
            </w:r>
          </w:p>
        </w:tc>
      </w:tr>
      <w:tr w14:paraId="18B48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2F14F6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4</w:t>
            </w:r>
          </w:p>
        </w:tc>
        <w:tc>
          <w:tcPr>
            <w:tcW w:w="1936" w:type="pct"/>
            <w:gridSpan w:val="3"/>
            <w:vAlign w:val="center"/>
          </w:tcPr>
          <w:p w14:paraId="347A5C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其他</w:t>
            </w:r>
          </w:p>
        </w:tc>
        <w:tc>
          <w:tcPr>
            <w:tcW w:w="2495" w:type="pct"/>
            <w:vAlign w:val="center"/>
          </w:tcPr>
          <w:p w14:paraId="3C4A12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机场网络及工作电话由电信公司进行保障，分为两路：一路由八家户模块局接入，共布放光缆约14km，其中利旧杆路11km，新建杆路3km，直埋1km；另一路由82团模块局接入，共布放光缆约9km，其中利旧杆路8km，新建杆路1km，属场外配套工程，由地方配套</w:t>
            </w:r>
          </w:p>
        </w:tc>
      </w:tr>
      <w:tr w14:paraId="1AE3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vAlign w:val="center"/>
          </w:tcPr>
          <w:p w14:paraId="34AA39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b/>
                <w:bCs/>
                <w:color w:val="auto"/>
                <w:sz w:val="21"/>
                <w:szCs w:val="21"/>
                <w:highlight w:val="none"/>
                <w:lang w:val="en-US" w:eastAsia="zh-CN"/>
              </w:rPr>
            </w:pPr>
            <w:r>
              <w:rPr>
                <w:rFonts w:hint="eastAsia" w:ascii="Times New Roman" w:eastAsia="宋体"/>
                <w:b/>
                <w:bCs/>
                <w:color w:val="auto"/>
                <w:sz w:val="21"/>
                <w:szCs w:val="21"/>
                <w:highlight w:val="none"/>
                <w:lang w:val="en-US" w:eastAsia="zh-CN"/>
              </w:rPr>
              <w:t>五、净空处理工程</w:t>
            </w:r>
          </w:p>
        </w:tc>
      </w:tr>
      <w:tr w14:paraId="2640A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8" w:type="pct"/>
            <w:vAlign w:val="center"/>
          </w:tcPr>
          <w:p w14:paraId="463334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1</w:t>
            </w:r>
          </w:p>
        </w:tc>
        <w:tc>
          <w:tcPr>
            <w:tcW w:w="1936" w:type="pct"/>
            <w:gridSpan w:val="3"/>
            <w:vAlign w:val="center"/>
          </w:tcPr>
          <w:p w14:paraId="0CAEB2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净空处理区</w:t>
            </w:r>
          </w:p>
        </w:tc>
        <w:tc>
          <w:tcPr>
            <w:tcW w:w="2495" w:type="pct"/>
            <w:vAlign w:val="center"/>
          </w:tcPr>
          <w:p w14:paraId="097EB7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r>
    </w:tbl>
    <w:p w14:paraId="314DA890">
      <w:pPr>
        <w:keepNext/>
        <w:keepLines/>
        <w:pageBreakBefore w:val="0"/>
        <w:widowControl w:val="0"/>
        <w:numPr>
          <w:ilvl w:val="1"/>
          <w:numId w:val="10"/>
        </w:numPr>
        <w:kinsoku/>
        <w:overflowPunct/>
        <w:bidi w:val="0"/>
        <w:spacing w:line="360" w:lineRule="auto"/>
        <w:ind w:left="567" w:hanging="567"/>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15" w:name="_Toc6863"/>
      <w:r>
        <w:rPr>
          <w:rFonts w:hint="eastAsia" w:ascii="Times New Roman" w:hAnsi="Times New Roman" w:eastAsia="黑体" w:cs="Times New Roman"/>
          <w:bCs/>
          <w:color w:val="auto"/>
          <w:spacing w:val="0"/>
          <w:w w:val="100"/>
          <w:kern w:val="28"/>
          <w:sz w:val="30"/>
          <w:szCs w:val="30"/>
          <w:highlight w:val="none"/>
          <w:lang w:val="en-US" w:eastAsia="zh-CN" w:bidi="ar-SA"/>
        </w:rPr>
        <w:t>建设内容</w:t>
      </w:r>
      <w:bookmarkEnd w:id="215"/>
    </w:p>
    <w:p w14:paraId="6244305B">
      <w:pPr>
        <w:pageBreakBefore w:val="0"/>
        <w:widowControl/>
        <w:kinsoku/>
        <w:wordWrap/>
        <w:overflowPunct/>
        <w:autoSpaceDE w:val="0"/>
        <w:autoSpaceDN w:val="0"/>
        <w:bidi w:val="0"/>
        <w:ind w:firstLine="480" w:firstLineChars="200"/>
        <w:jc w:val="left"/>
        <w:rPr>
          <w:rFonts w:hint="default" w:cs="Times New Roman"/>
          <w:color w:val="auto"/>
          <w:szCs w:val="24"/>
          <w:highlight w:val="none"/>
          <w:lang w:val="en-US" w:eastAsia="zh-CN"/>
        </w:rPr>
      </w:pPr>
      <w:r>
        <w:rPr>
          <w:rFonts w:hint="eastAsia" w:cs="Times New Roman"/>
          <w:color w:val="auto"/>
          <w:szCs w:val="24"/>
          <w:highlight w:val="none"/>
          <w:lang w:val="en-US" w:eastAsia="zh-CN"/>
        </w:rPr>
        <w:t>本项目建设内容包括主体工程、辅助工程、公用工程、环保工程、供油工程、依托工程等，不含净空处理工程。距离艾比湖流域生物多样性维护与防风固沙生态保护红线约10.8km。</w:t>
      </w:r>
    </w:p>
    <w:p w14:paraId="009E2792">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主体工程</w:t>
      </w:r>
    </w:p>
    <w:p w14:paraId="3FA841F1">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根据《环境影响评价技术导则 民用机场建设工程》（HJ87-2023），主体工程应主要包括飞行区、航站区和货运区。</w:t>
      </w:r>
    </w:p>
    <w:p w14:paraId="1AE76100">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飞行区</w:t>
      </w:r>
    </w:p>
    <w:p w14:paraId="343153AE">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根据可研资料，本项目飞行区等级为3B；计划新建1条长1800m、宽30m的跑道；新建1条长度198.75m、宽度10.5m的滑行道；机坪1处，尺寸为222m×92.25m，可停放7个机位（5个B类固定翼机位和2个直升机位）；防吹坪为跑道两端各1个，每个长45m、宽30m；掉头坪为跑道两端各1个，按B类飞机尺寸设计；直升机起降点位于跑道与滑行道交界处的FATO，中心点距机场跑道中心点55m；直升机停机坪与跑道南侧的站坪结合设置，具体位置在站坪的东南部，有2个直升机位；直升机滑行道与跑道相连，供直升机滑行至停机坪，具体位置在跑道南侧。</w:t>
      </w:r>
    </w:p>
    <w:p w14:paraId="124E4B3B">
      <w:pPr>
        <w:keepNext w:val="0"/>
        <w:keepLines w:val="0"/>
        <w:pageBreakBefore w:val="0"/>
        <w:widowControl/>
        <w:kinsoku/>
        <w:wordWrap/>
        <w:overflowPunct/>
        <w:topLinePunct w:val="0"/>
        <w:autoSpaceDE w:val="0"/>
        <w:autoSpaceDN w:val="0"/>
        <w:bidi w:val="0"/>
        <w:adjustRightInd/>
        <w:snapToGrid/>
        <w:ind w:firstLine="482" w:firstLineChars="200"/>
        <w:jc w:val="left"/>
        <w:textAlignment w:val="auto"/>
        <w:outlineLvl w:val="4"/>
        <w:rPr>
          <w:rFonts w:hint="eastAsia" w:cs="Times New Roman"/>
          <w:color w:val="auto"/>
          <w:szCs w:val="21"/>
          <w:highlight w:val="none"/>
          <w:lang w:val="en-US" w:eastAsia="zh-CN"/>
        </w:rPr>
      </w:pPr>
      <w:r>
        <w:rPr>
          <w:rFonts w:hint="eastAsia" w:cs="Times New Roman"/>
          <w:b/>
          <w:bCs/>
          <w:color w:val="auto"/>
          <w:szCs w:val="21"/>
          <w:highlight w:val="none"/>
          <w:lang w:val="en-US" w:eastAsia="zh-CN"/>
        </w:rPr>
        <w:t>（1）飞行区地基处理工程</w:t>
      </w:r>
    </w:p>
    <w:p w14:paraId="158311A4">
      <w:pPr>
        <w:pageBreakBefore w:val="0"/>
        <w:widowControl/>
        <w:kinsoku/>
        <w:wordWrap/>
        <w:overflowPunct/>
        <w:autoSpaceDE w:val="0"/>
        <w:autoSpaceDN w:val="0"/>
        <w:bidi w:val="0"/>
        <w:ind w:firstLine="480" w:firstLineChars="200"/>
        <w:jc w:val="both"/>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表土处理：道面影响区、边坡稳定影响区平均清表厚度按0.7m计，土面区、航站区平均清表厚度按0.20m计，清表工程量计入土石方工程量中。道面影响区、边坡稳定影响区清除软土工程量计入地基处理工程量中，土面区、航站区清除软土工程量并入清表工程量中。</w:t>
      </w:r>
    </w:p>
    <w:p w14:paraId="456731CD">
      <w:pPr>
        <w:pageBreakBefore w:val="0"/>
        <w:widowControl/>
        <w:kinsoku/>
        <w:wordWrap/>
        <w:overflowPunct/>
        <w:autoSpaceDE w:val="0"/>
        <w:autoSpaceDN w:val="0"/>
        <w:bidi w:val="0"/>
        <w:ind w:firstLine="480" w:firstLineChars="200"/>
        <w:jc w:val="both"/>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湿陷性土处理：采用冲击碾压即可消除黄土状粉土的湿陷性，即设置0.1m厚砂砾石垫层后冲击碾压处理。</w:t>
      </w:r>
    </w:p>
    <w:p w14:paraId="6A1F04CF">
      <w:pPr>
        <w:pageBreakBefore w:val="0"/>
        <w:widowControl/>
        <w:kinsoku/>
        <w:wordWrap/>
        <w:overflowPunct/>
        <w:autoSpaceDE w:val="0"/>
        <w:autoSpaceDN w:val="0"/>
        <w:bidi w:val="0"/>
        <w:ind w:firstLine="480" w:firstLineChars="200"/>
        <w:jc w:val="both"/>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土基干湿循环、盐渍土、冻胀处理：采用级配砂砾石+复合土工布形式的垫层，按规范要求垫层厚度初拟0.8m。同时换填垫层底揭露细砂层的区域，换填厚度不小于0.2m；于地下水位低点处设置渗井，共3个。</w:t>
      </w:r>
    </w:p>
    <w:p w14:paraId="7EED7757">
      <w:pPr>
        <w:pageBreakBefore w:val="0"/>
        <w:widowControl/>
        <w:kinsoku/>
        <w:wordWrap/>
        <w:overflowPunct/>
        <w:autoSpaceDE w:val="0"/>
        <w:autoSpaceDN w:val="0"/>
        <w:bidi w:val="0"/>
        <w:ind w:firstLine="480" w:firstLineChars="200"/>
        <w:jc w:val="both"/>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截水沟及边坡防护：于围界与征地红线之间设置场外截水沟，截水沟呈不对称梯形，并取代挖方边坡；截水沟上部采用三维网植草防护，下部采用0.5m厚加筋石笼（外侧）/0.25m干砌片石（内侧）防护。截水沟兼具降低地下水位、拦截挖方边坡地表雨水、排除部分场内场外融雪水的作用。场区填方边坡、其他挖方边坡均采用三维网植草防护。</w:t>
      </w:r>
    </w:p>
    <w:p w14:paraId="2372E12D">
      <w:pPr>
        <w:keepNext w:val="0"/>
        <w:keepLines w:val="0"/>
        <w:pageBreakBefore w:val="0"/>
        <w:widowControl/>
        <w:kinsoku/>
        <w:wordWrap/>
        <w:overflowPunct/>
        <w:topLinePunct w:val="0"/>
        <w:autoSpaceDE w:val="0"/>
        <w:autoSpaceDN w:val="0"/>
        <w:bidi w:val="0"/>
        <w:adjustRightInd/>
        <w:snapToGrid/>
        <w:ind w:firstLine="482" w:firstLineChars="200"/>
        <w:jc w:val="left"/>
        <w:textAlignment w:val="auto"/>
        <w:outlineLvl w:val="4"/>
        <w:rPr>
          <w:rFonts w:hint="eastAsia" w:cs="Times New Roman"/>
          <w:color w:val="auto"/>
          <w:szCs w:val="21"/>
          <w:highlight w:val="none"/>
          <w:lang w:val="en-US" w:eastAsia="zh-CN"/>
        </w:rPr>
      </w:pPr>
      <w:r>
        <w:rPr>
          <w:rFonts w:hint="eastAsia" w:cs="Times New Roman"/>
          <w:b/>
          <w:bCs/>
          <w:color w:val="auto"/>
          <w:szCs w:val="21"/>
          <w:highlight w:val="none"/>
          <w:lang w:val="en-US" w:eastAsia="zh-CN"/>
        </w:rPr>
        <w:t>（2）飞行区道面工程</w:t>
      </w:r>
    </w:p>
    <w:p w14:paraId="01574933">
      <w:pPr>
        <w:pageBreakBefore w:val="0"/>
        <w:widowControl/>
        <w:kinsoku/>
        <w:wordWrap/>
        <w:overflowPunct/>
        <w:autoSpaceDE w:val="0"/>
        <w:autoSpaceDN w:val="0"/>
        <w:bidi w:val="0"/>
        <w:ind w:firstLine="480" w:firstLineChars="200"/>
        <w:jc w:val="both"/>
        <w:rPr>
          <w:rFonts w:hint="default" w:cs="Times New Roman"/>
          <w:color w:val="auto"/>
          <w:szCs w:val="21"/>
          <w:highlight w:val="none"/>
          <w:lang w:val="en-US" w:eastAsia="zh-CN"/>
        </w:rPr>
      </w:pPr>
      <w:r>
        <w:rPr>
          <w:rFonts w:hint="eastAsia" w:cs="Times New Roman"/>
          <w:color w:val="auto"/>
          <w:szCs w:val="21"/>
          <w:highlight w:val="none"/>
          <w:lang w:val="en-US" w:eastAsia="zh-CN"/>
        </w:rPr>
        <w:t>根据可研资料，项目新建跑道长1800m，宽30m。在跑道两端设置两块掉头坪，按照B类飞机尺寸设计，新建跑道及掉头坪道面面积54810m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；在跑道两头新建防吹坪，长45m、宽30m，面积共2700m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；机场本期在跑道与站坪之间，距跑道主降端（南端）845m处设置一条长198.75m垂直联络道，基本宽度10.5m；新建联络道道面总面积2630m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w:t>
      </w:r>
    </w:p>
    <w:p w14:paraId="6B83E430">
      <w:pPr>
        <w:pageBreakBefore w:val="0"/>
        <w:widowControl/>
        <w:kinsoku/>
        <w:wordWrap/>
        <w:overflowPunct/>
        <w:autoSpaceDE w:val="0"/>
        <w:autoSpaceDN w:val="0"/>
        <w:bidi w:val="0"/>
        <w:ind w:firstLine="480" w:firstLineChars="200"/>
        <w:jc w:val="both"/>
        <w:rPr>
          <w:rFonts w:hint="default" w:cs="Times New Roman"/>
          <w:color w:val="auto"/>
          <w:szCs w:val="21"/>
          <w:highlight w:val="none"/>
          <w:lang w:val="en-US" w:eastAsia="zh-CN"/>
        </w:rPr>
      </w:pPr>
      <w:r>
        <w:rPr>
          <w:rFonts w:hint="eastAsia" w:cs="Times New Roman"/>
          <w:color w:val="auto"/>
          <w:szCs w:val="21"/>
          <w:highlight w:val="none"/>
          <w:lang w:val="en-US" w:eastAsia="zh-CN"/>
        </w:rPr>
        <w:t>机场本期建设停机位数为7个（5B+2H），采用自滑进自滑出的运行模式，在站坪南侧设置一个加油机位，站坪尺寸为222m×92.25m，新建站坪道面总面积23380m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w:t>
      </w:r>
    </w:p>
    <w:p w14:paraId="5961441C">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站坪与航站楼之间设置宽度为8m，站坪南、北两侧设置宽度为4m的服务车道，航站楼、特种车库及综合功能用房楼前硬化场地均按服务车道结构设计，新建服务车道及硬化路面9090m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w:t>
      </w:r>
    </w:p>
    <w:p w14:paraId="58294F2F">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面层采用24cm厚28d龄期弯拉强度不低于4.5MPa的水泥混凝土；隔离层采用厚度不大于0.6mm的土工布；上基层采用18cm厚7d浸水抗压强度要求不小于3.0MPa的水泥稳定砂砾石结构；下基层采用18cm厚7d浸水抗压强度要求不小于2.0MPa的水泥稳定砂砾石结构；垫层按照地基处理工程方案设置。</w:t>
      </w:r>
    </w:p>
    <w:p w14:paraId="23AB92BF">
      <w:pPr>
        <w:pageBreakBefore w:val="0"/>
        <w:widowControl/>
        <w:kinsoku/>
        <w:wordWrap/>
        <w:overflowPunct/>
        <w:autoSpaceDE w:val="0"/>
        <w:autoSpaceDN w:val="0"/>
        <w:bidi w:val="0"/>
        <w:ind w:firstLine="480" w:firstLineChars="200"/>
        <w:jc w:val="both"/>
        <w:rPr>
          <w:rFonts w:hint="default" w:cs="Times New Roman"/>
          <w:color w:val="auto"/>
          <w:szCs w:val="21"/>
          <w:highlight w:val="none"/>
          <w:lang w:val="en-US" w:eastAsia="zh-CN"/>
        </w:rPr>
      </w:pPr>
      <w:r>
        <w:rPr>
          <w:rFonts w:hint="eastAsia" w:cs="Times New Roman"/>
          <w:color w:val="auto"/>
          <w:szCs w:val="21"/>
          <w:highlight w:val="none"/>
          <w:lang w:val="en-US" w:eastAsia="zh-CN"/>
        </w:rPr>
        <w:t>此外，跑道中心线两侧75m范围内的直角联络道需消除直立面；有管沟穿越部位的道面板需加筋补强；道面上应按设计或规定进行切缝、灌入嵌缝料，并涂刷道面标志，机位处设置地锚。</w:t>
      </w:r>
    </w:p>
    <w:p w14:paraId="3976BF25">
      <w:pPr>
        <w:keepNext w:val="0"/>
        <w:keepLines w:val="0"/>
        <w:pageBreakBefore w:val="0"/>
        <w:widowControl/>
        <w:kinsoku/>
        <w:wordWrap/>
        <w:overflowPunct/>
        <w:topLinePunct w:val="0"/>
        <w:autoSpaceDE w:val="0"/>
        <w:autoSpaceDN w:val="0"/>
        <w:bidi w:val="0"/>
        <w:adjustRightInd/>
        <w:snapToGrid/>
        <w:ind w:firstLine="482" w:firstLineChars="200"/>
        <w:jc w:val="left"/>
        <w:textAlignment w:val="auto"/>
        <w:outlineLvl w:val="4"/>
        <w:rPr>
          <w:rFonts w:hint="eastAsia" w:cs="Times New Roman"/>
          <w:color w:val="auto"/>
          <w:szCs w:val="21"/>
          <w:highlight w:val="none"/>
          <w:lang w:val="en-US" w:eastAsia="zh-CN"/>
        </w:rPr>
      </w:pPr>
      <w:r>
        <w:rPr>
          <w:rFonts w:hint="eastAsia" w:cs="Times New Roman"/>
          <w:b/>
          <w:bCs/>
          <w:color w:val="auto"/>
          <w:szCs w:val="21"/>
          <w:highlight w:val="none"/>
          <w:lang w:val="en-US" w:eastAsia="zh-CN"/>
        </w:rPr>
        <w:t>（3）飞行区附属设施工程</w:t>
      </w:r>
    </w:p>
    <w:p w14:paraId="4897764A">
      <w:pPr>
        <w:keepNext w:val="0"/>
        <w:keepLines w:val="0"/>
        <w:pageBreakBefore w:val="0"/>
        <w:widowControl/>
        <w:kinsoku/>
        <w:wordWrap/>
        <w:overflowPunct/>
        <w:topLinePunct w:val="0"/>
        <w:autoSpaceDE w:val="0"/>
        <w:autoSpaceDN w:val="0"/>
        <w:bidi w:val="0"/>
        <w:adjustRightInd/>
        <w:snapToGrid/>
        <w:ind w:firstLine="482" w:firstLineChars="200"/>
        <w:jc w:val="left"/>
        <w:textAlignment w:val="auto"/>
        <w:outlineLvl w:val="5"/>
        <w:rPr>
          <w:rFonts w:hint="eastAsia" w:cs="Times New Roman"/>
          <w:b/>
          <w:bCs/>
          <w:color w:val="auto"/>
          <w:szCs w:val="21"/>
          <w:highlight w:val="none"/>
          <w:lang w:val="en-US" w:eastAsia="zh-CN"/>
        </w:rPr>
      </w:pPr>
      <w:r>
        <w:rPr>
          <w:rFonts w:hint="eastAsia" w:cs="Times New Roman"/>
          <w:b/>
          <w:bCs/>
          <w:color w:val="auto"/>
          <w:szCs w:val="21"/>
          <w:highlight w:val="none"/>
          <w:lang w:val="en-US" w:eastAsia="zh-CN"/>
        </w:rPr>
        <w:t>1）巡场路及进台道路</w:t>
      </w:r>
    </w:p>
    <w:p w14:paraId="5D0A2D47">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本期不涉及巡场路建设内容。</w:t>
      </w:r>
    </w:p>
    <w:p w14:paraId="0DD69A3E">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机场进场路方案为自机场入口起，修建约7.54km左右机场大道穿过X214县道，与乌伊路相交。属场外配套工程，由地方配套。</w:t>
      </w:r>
    </w:p>
    <w:p w14:paraId="3D4E5970">
      <w:pPr>
        <w:keepNext w:val="0"/>
        <w:keepLines w:val="0"/>
        <w:pageBreakBefore w:val="0"/>
        <w:widowControl/>
        <w:kinsoku/>
        <w:wordWrap/>
        <w:overflowPunct/>
        <w:topLinePunct w:val="0"/>
        <w:autoSpaceDE w:val="0"/>
        <w:autoSpaceDN w:val="0"/>
        <w:bidi w:val="0"/>
        <w:adjustRightInd/>
        <w:snapToGrid/>
        <w:ind w:firstLine="482" w:firstLineChars="200"/>
        <w:jc w:val="left"/>
        <w:textAlignment w:val="auto"/>
        <w:outlineLvl w:val="5"/>
        <w:rPr>
          <w:rFonts w:hint="default" w:cs="Times New Roman"/>
          <w:color w:val="auto"/>
          <w:szCs w:val="21"/>
          <w:highlight w:val="none"/>
          <w:lang w:val="en-US" w:eastAsia="zh-CN"/>
        </w:rPr>
      </w:pPr>
      <w:r>
        <w:rPr>
          <w:rFonts w:hint="eastAsia" w:cs="Times New Roman"/>
          <w:b/>
          <w:bCs/>
          <w:color w:val="auto"/>
          <w:szCs w:val="21"/>
          <w:highlight w:val="none"/>
          <w:lang w:val="en-US" w:eastAsia="zh-CN"/>
        </w:rPr>
        <w:t>2）围界</w:t>
      </w:r>
    </w:p>
    <w:p w14:paraId="348CF7E9">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飞行区围界采用1.8m高钢筋网围界，总长度约5128m。道口处设置伸缩式大门及防冲撞装置。飞行区两端及航站航管综合楼北侧各设置向外开启的应急大门，以备消防、救援等车辆在紧急情况下能够迅速赶到现场。</w:t>
      </w:r>
    </w:p>
    <w:p w14:paraId="017BB0B0">
      <w:pPr>
        <w:keepNext w:val="0"/>
        <w:keepLines w:val="0"/>
        <w:pageBreakBefore w:val="0"/>
        <w:widowControl/>
        <w:kinsoku/>
        <w:wordWrap/>
        <w:overflowPunct/>
        <w:topLinePunct w:val="0"/>
        <w:autoSpaceDE w:val="0"/>
        <w:autoSpaceDN w:val="0"/>
        <w:bidi w:val="0"/>
        <w:adjustRightInd/>
        <w:snapToGrid/>
        <w:ind w:firstLine="482" w:firstLineChars="200"/>
        <w:jc w:val="left"/>
        <w:textAlignment w:val="auto"/>
        <w:outlineLvl w:val="5"/>
        <w:rPr>
          <w:rFonts w:hint="default" w:cs="Times New Roman"/>
          <w:color w:val="auto"/>
          <w:szCs w:val="21"/>
          <w:highlight w:val="none"/>
          <w:lang w:val="en-US" w:eastAsia="zh-CN"/>
        </w:rPr>
      </w:pPr>
      <w:r>
        <w:rPr>
          <w:rFonts w:hint="eastAsia" w:cs="Times New Roman"/>
          <w:b/>
          <w:bCs/>
          <w:color w:val="auto"/>
          <w:szCs w:val="21"/>
          <w:highlight w:val="none"/>
          <w:lang w:val="en-US" w:eastAsia="zh-CN"/>
        </w:rPr>
        <w:t>3）飞机除冰配套设施</w:t>
      </w:r>
    </w:p>
    <w:p w14:paraId="716CF494">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根据设计方案，本期不涉及飞机除冰配套设施建设内容。原因如下：</w:t>
      </w:r>
    </w:p>
    <w:p w14:paraId="2715AFB8">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①通用机场主要使用的机型（如国王350ER、赛斯纳208、运12等）多为中小型涡桨或活塞式飞机。这些飞机结构相对简单，在地面上进行除冰防冰操作也更为灵活。很多时候，不需要大型、固定的专用除冰坪和大型除冰车，使用移动式小型除冰设备或车辆即可完成。这种移动式保障被视为常规运营保障的一部分，而非需要单独立项建设的“配套设施”。</w:t>
      </w:r>
    </w:p>
    <w:p w14:paraId="2FEC8BE0">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②飞行计划灵活：与运输机场密集的航班时刻表不同，通用航空的飞行计划（如飞行培训、空中游览、短途运输）灵活性非常高。在结冰条件下，完全可以选择推迟、调整或取消飞行，而不像公共运输航班那样有严格的时刻压力和取消成本。因此，对“必须起飞”的依赖性较低，降低了对固定、高效除冰设施的硬性需求。</w:t>
      </w:r>
    </w:p>
    <w:p w14:paraId="1DEE928C">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航站区</w:t>
      </w:r>
    </w:p>
    <w:p w14:paraId="28927A8B">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根据可研资料，航站楼位于工作区北侧，面向机坪固定翼停放区，总面积2330m²，其中航站楼部分面积为1720m²，航管楼部分面积为610m²；停车场位于航站航管综合楼前，面积为1000m²，停车位45个，其中设置5个60kW直流充电桩供电动汽车使用。</w:t>
      </w:r>
    </w:p>
    <w:p w14:paraId="6738AB94">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作为机场的主要建筑之一，航站航管综合楼将承担旅客候机、登机、机场管理以及空中交通管制等多项功能。根据可研资料，航站航管综合楼的建设规模为2330m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，其中旅客公共区面积为1165m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，办公用房面积为555m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，航管用房面积为610m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。航站航管综合楼的建设将满足机场本期目标年2030年的旅客吞吐量需求，并为机场的运营管理提供必要的设施支持。</w:t>
      </w:r>
    </w:p>
    <w:p w14:paraId="126DFB38">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办公用房建筑面积555m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，主要包括机场工作人员办公、机场业务用房、机组人员用房、会议室、培训室等功能用房。本期规划的机构定员约30人，其中在航站楼内办公人员为22人，常驻飞行及管理人员6人，办公用房面积640m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w:t>
      </w:r>
    </w:p>
    <w:p w14:paraId="5BF092C9">
      <w:pPr>
        <w:pageBreakBefore w:val="0"/>
        <w:widowControl/>
        <w:kinsoku/>
        <w:wordWrap/>
        <w:overflowPunct/>
        <w:autoSpaceDE w:val="0"/>
        <w:autoSpaceDN w:val="0"/>
        <w:bidi w:val="0"/>
        <w:ind w:left="0" w:leftChars="0" w:right="0" w:rightChars="0" w:firstLine="0" w:firstLineChars="0"/>
        <w:jc w:val="center"/>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表3.2-1  航站航管综合楼建筑面积</w:t>
      </w:r>
    </w:p>
    <w:tbl>
      <w:tblPr>
        <w:tblStyle w:val="88"/>
        <w:tblW w:w="5001" w:type="pct"/>
        <w:tblInd w:w="0" w:type="dxa"/>
        <w:tblLayout w:type="autofit"/>
        <w:tblCellMar>
          <w:top w:w="0" w:type="dxa"/>
          <w:left w:w="0" w:type="dxa"/>
          <w:bottom w:w="0" w:type="dxa"/>
          <w:right w:w="0" w:type="dxa"/>
        </w:tblCellMar>
      </w:tblPr>
      <w:tblGrid>
        <w:gridCol w:w="1168"/>
        <w:gridCol w:w="2313"/>
        <w:gridCol w:w="2200"/>
        <w:gridCol w:w="2945"/>
      </w:tblGrid>
      <w:tr w14:paraId="71E776C3">
        <w:tblPrEx>
          <w:tblCellMar>
            <w:top w:w="0" w:type="dxa"/>
            <w:left w:w="0" w:type="dxa"/>
            <w:bottom w:w="0" w:type="dxa"/>
            <w:right w:w="0" w:type="dxa"/>
          </w:tblCellMar>
        </w:tblPrEx>
        <w:trPr>
          <w:trHeight w:val="397" w:hRule="atLeast"/>
        </w:trPr>
        <w:tc>
          <w:tcPr>
            <w:tcW w:w="677" w:type="pct"/>
            <w:tcBorders>
              <w:top w:val="single" w:color="000000" w:sz="2" w:space="0"/>
              <w:left w:val="single" w:color="000000" w:sz="2" w:space="0"/>
              <w:bottom w:val="single" w:color="000000" w:sz="2" w:space="0"/>
              <w:right w:val="single" w:color="000000" w:sz="2" w:space="0"/>
            </w:tcBorders>
            <w:vAlign w:val="center"/>
          </w:tcPr>
          <w:p w14:paraId="4D378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default" w:ascii="Times New Roman" w:eastAsia="宋体"/>
                <w:color w:val="auto"/>
                <w:sz w:val="21"/>
                <w:szCs w:val="21"/>
                <w:highlight w:val="none"/>
                <w:lang w:val="en-US" w:eastAsia="en-US"/>
              </w:rPr>
              <w:t>序号</w:t>
            </w:r>
          </w:p>
        </w:tc>
        <w:tc>
          <w:tcPr>
            <w:tcW w:w="1340" w:type="pct"/>
            <w:tcBorders>
              <w:top w:val="single" w:color="000000" w:sz="2" w:space="0"/>
              <w:left w:val="single" w:color="000000" w:sz="2" w:space="0"/>
              <w:bottom w:val="single" w:color="000000" w:sz="2" w:space="0"/>
              <w:right w:val="single" w:color="000000" w:sz="2" w:space="0"/>
            </w:tcBorders>
            <w:vAlign w:val="center"/>
          </w:tcPr>
          <w:p w14:paraId="33B85E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default" w:ascii="Times New Roman" w:eastAsia="宋体"/>
                <w:color w:val="auto"/>
                <w:sz w:val="21"/>
                <w:szCs w:val="21"/>
                <w:highlight w:val="none"/>
                <w:lang w:val="en-US" w:eastAsia="en-US"/>
              </w:rPr>
              <w:t>房间名称</w:t>
            </w:r>
          </w:p>
        </w:tc>
        <w:tc>
          <w:tcPr>
            <w:tcW w:w="1275" w:type="pct"/>
            <w:tcBorders>
              <w:top w:val="single" w:color="000000" w:sz="2" w:space="0"/>
              <w:left w:val="single" w:color="000000" w:sz="2" w:space="0"/>
              <w:bottom w:val="single" w:color="000000" w:sz="2" w:space="0"/>
              <w:right w:val="single" w:color="000000" w:sz="2" w:space="0"/>
            </w:tcBorders>
            <w:vAlign w:val="center"/>
          </w:tcPr>
          <w:p w14:paraId="5B0C77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default" w:ascii="Times New Roman" w:eastAsia="宋体"/>
                <w:color w:val="auto"/>
                <w:sz w:val="21"/>
                <w:szCs w:val="21"/>
                <w:highlight w:val="none"/>
                <w:lang w:val="en-US" w:eastAsia="en-US"/>
              </w:rPr>
              <w:t>建筑面积（m</w:t>
            </w:r>
            <w:r>
              <w:rPr>
                <w:rFonts w:hint="default" w:ascii="Times New Roman" w:eastAsia="宋体"/>
                <w:color w:val="auto"/>
                <w:sz w:val="21"/>
                <w:szCs w:val="21"/>
                <w:highlight w:val="none"/>
                <w:vertAlign w:val="superscript"/>
                <w:lang w:val="en-US" w:eastAsia="en-US"/>
              </w:rPr>
              <w:t>2</w:t>
            </w:r>
            <w:r>
              <w:rPr>
                <w:rFonts w:hint="default" w:ascii="Times New Roman" w:eastAsia="宋体"/>
                <w:color w:val="auto"/>
                <w:sz w:val="21"/>
                <w:szCs w:val="21"/>
                <w:highlight w:val="none"/>
                <w:lang w:val="en-US" w:eastAsia="en-US"/>
              </w:rPr>
              <w:t>）</w:t>
            </w:r>
          </w:p>
        </w:tc>
        <w:tc>
          <w:tcPr>
            <w:tcW w:w="1706" w:type="pct"/>
            <w:tcBorders>
              <w:top w:val="single" w:color="000000" w:sz="2" w:space="0"/>
              <w:left w:val="single" w:color="000000" w:sz="2" w:space="0"/>
              <w:bottom w:val="single" w:color="000000" w:sz="2" w:space="0"/>
              <w:right w:val="single" w:color="000000" w:sz="2" w:space="0"/>
            </w:tcBorders>
            <w:vAlign w:val="center"/>
          </w:tcPr>
          <w:p w14:paraId="4DDA24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default" w:ascii="Times New Roman" w:eastAsia="宋体"/>
                <w:color w:val="auto"/>
                <w:sz w:val="21"/>
                <w:szCs w:val="21"/>
                <w:highlight w:val="none"/>
                <w:lang w:val="en-US" w:eastAsia="en-US"/>
              </w:rPr>
              <w:t>备注</w:t>
            </w:r>
          </w:p>
        </w:tc>
      </w:tr>
      <w:tr w14:paraId="1040E449">
        <w:tblPrEx>
          <w:tblCellMar>
            <w:top w:w="0" w:type="dxa"/>
            <w:left w:w="0" w:type="dxa"/>
            <w:bottom w:w="0" w:type="dxa"/>
            <w:right w:w="0" w:type="dxa"/>
          </w:tblCellMar>
        </w:tblPrEx>
        <w:trPr>
          <w:trHeight w:val="397" w:hRule="atLeast"/>
        </w:trPr>
        <w:tc>
          <w:tcPr>
            <w:tcW w:w="677" w:type="pct"/>
            <w:tcBorders>
              <w:top w:val="single" w:color="000000" w:sz="2" w:space="0"/>
              <w:left w:val="single" w:color="000000" w:sz="2" w:space="0"/>
              <w:bottom w:val="single" w:color="000000" w:sz="2" w:space="0"/>
              <w:right w:val="single" w:color="000000" w:sz="2" w:space="0"/>
            </w:tcBorders>
            <w:vAlign w:val="center"/>
          </w:tcPr>
          <w:p w14:paraId="6EB0F5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eastAsia" w:ascii="Times New Roman" w:eastAsia="宋体"/>
                <w:color w:val="auto"/>
                <w:sz w:val="21"/>
                <w:szCs w:val="21"/>
                <w:highlight w:val="none"/>
                <w:lang w:val="en-US" w:eastAsia="en-US"/>
              </w:rPr>
              <w:t>1</w:t>
            </w:r>
          </w:p>
        </w:tc>
        <w:tc>
          <w:tcPr>
            <w:tcW w:w="1340" w:type="pct"/>
            <w:tcBorders>
              <w:top w:val="single" w:color="000000" w:sz="2" w:space="0"/>
              <w:left w:val="single" w:color="000000" w:sz="2" w:space="0"/>
              <w:bottom w:val="single" w:color="000000" w:sz="2" w:space="0"/>
              <w:right w:val="single" w:color="000000" w:sz="2" w:space="0"/>
            </w:tcBorders>
            <w:vAlign w:val="center"/>
          </w:tcPr>
          <w:p w14:paraId="0C9C05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default" w:ascii="Times New Roman" w:eastAsia="宋体"/>
                <w:color w:val="auto"/>
                <w:sz w:val="21"/>
                <w:szCs w:val="21"/>
                <w:highlight w:val="none"/>
                <w:lang w:val="en-US" w:eastAsia="en-US"/>
              </w:rPr>
              <w:t>旅客航站楼</w:t>
            </w:r>
          </w:p>
        </w:tc>
        <w:tc>
          <w:tcPr>
            <w:tcW w:w="1275" w:type="pct"/>
            <w:tcBorders>
              <w:top w:val="single" w:color="000000" w:sz="2" w:space="0"/>
              <w:left w:val="single" w:color="000000" w:sz="2" w:space="0"/>
              <w:bottom w:val="single" w:color="000000" w:sz="2" w:space="0"/>
              <w:right w:val="single" w:color="000000" w:sz="2" w:space="0"/>
            </w:tcBorders>
            <w:vAlign w:val="center"/>
          </w:tcPr>
          <w:p w14:paraId="24EE08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eastAsia" w:ascii="Times New Roman" w:eastAsia="宋体"/>
                <w:color w:val="auto"/>
                <w:sz w:val="21"/>
                <w:szCs w:val="21"/>
                <w:highlight w:val="none"/>
                <w:lang w:val="en-US" w:eastAsia="en-US"/>
              </w:rPr>
              <w:t>1720</w:t>
            </w:r>
          </w:p>
        </w:tc>
        <w:tc>
          <w:tcPr>
            <w:tcW w:w="1706" w:type="pct"/>
            <w:tcBorders>
              <w:top w:val="single" w:color="000000" w:sz="2" w:space="0"/>
              <w:left w:val="single" w:color="000000" w:sz="2" w:space="0"/>
              <w:bottom w:val="single" w:color="000000" w:sz="2" w:space="0"/>
              <w:right w:val="single" w:color="000000" w:sz="2" w:space="0"/>
            </w:tcBorders>
            <w:vAlign w:val="center"/>
          </w:tcPr>
          <w:p w14:paraId="2C2BEA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color w:val="auto"/>
                <w:sz w:val="21"/>
                <w:szCs w:val="21"/>
                <w:highlight w:val="none"/>
                <w:lang w:val="en-US" w:eastAsia="en-US"/>
              </w:rPr>
            </w:pPr>
          </w:p>
        </w:tc>
      </w:tr>
      <w:tr w14:paraId="0A29D51D">
        <w:tblPrEx>
          <w:tblCellMar>
            <w:top w:w="0" w:type="dxa"/>
            <w:left w:w="0" w:type="dxa"/>
            <w:bottom w:w="0" w:type="dxa"/>
            <w:right w:w="0" w:type="dxa"/>
          </w:tblCellMar>
        </w:tblPrEx>
        <w:trPr>
          <w:trHeight w:val="397" w:hRule="atLeast"/>
        </w:trPr>
        <w:tc>
          <w:tcPr>
            <w:tcW w:w="677" w:type="pct"/>
            <w:tcBorders>
              <w:top w:val="single" w:color="000000" w:sz="2" w:space="0"/>
              <w:left w:val="single" w:color="000000" w:sz="2" w:space="0"/>
              <w:bottom w:val="single" w:color="000000" w:sz="2" w:space="0"/>
              <w:right w:val="single" w:color="000000" w:sz="2" w:space="0"/>
            </w:tcBorders>
            <w:vAlign w:val="center"/>
          </w:tcPr>
          <w:p w14:paraId="466036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eastAsia" w:ascii="Times New Roman" w:eastAsia="宋体"/>
                <w:color w:val="auto"/>
                <w:sz w:val="21"/>
                <w:szCs w:val="21"/>
                <w:highlight w:val="none"/>
                <w:lang w:val="en-US" w:eastAsia="en-US"/>
              </w:rPr>
              <w:t>1.1</w:t>
            </w:r>
          </w:p>
        </w:tc>
        <w:tc>
          <w:tcPr>
            <w:tcW w:w="1340" w:type="pct"/>
            <w:tcBorders>
              <w:top w:val="single" w:color="000000" w:sz="2" w:space="0"/>
              <w:left w:val="single" w:color="000000" w:sz="2" w:space="0"/>
              <w:bottom w:val="single" w:color="000000" w:sz="2" w:space="0"/>
              <w:right w:val="single" w:color="000000" w:sz="2" w:space="0"/>
            </w:tcBorders>
            <w:vAlign w:val="center"/>
          </w:tcPr>
          <w:p w14:paraId="502D77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default" w:ascii="Times New Roman" w:eastAsia="宋体"/>
                <w:color w:val="auto"/>
                <w:sz w:val="21"/>
                <w:szCs w:val="21"/>
                <w:highlight w:val="none"/>
                <w:lang w:val="en-US" w:eastAsia="en-US"/>
              </w:rPr>
              <w:t>办公用房</w:t>
            </w:r>
          </w:p>
        </w:tc>
        <w:tc>
          <w:tcPr>
            <w:tcW w:w="1275" w:type="pct"/>
            <w:tcBorders>
              <w:top w:val="single" w:color="000000" w:sz="2" w:space="0"/>
              <w:left w:val="single" w:color="000000" w:sz="2" w:space="0"/>
              <w:bottom w:val="single" w:color="000000" w:sz="2" w:space="0"/>
              <w:right w:val="single" w:color="000000" w:sz="2" w:space="0"/>
            </w:tcBorders>
            <w:vAlign w:val="center"/>
          </w:tcPr>
          <w:p w14:paraId="5B83F6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eastAsia" w:ascii="Times New Roman" w:eastAsia="宋体"/>
                <w:color w:val="auto"/>
                <w:sz w:val="21"/>
                <w:szCs w:val="21"/>
                <w:highlight w:val="none"/>
                <w:lang w:val="en-US" w:eastAsia="en-US"/>
              </w:rPr>
              <w:t>555</w:t>
            </w:r>
          </w:p>
        </w:tc>
        <w:tc>
          <w:tcPr>
            <w:tcW w:w="1706" w:type="pct"/>
            <w:tcBorders>
              <w:top w:val="single" w:color="000000" w:sz="2" w:space="0"/>
              <w:left w:val="single" w:color="000000" w:sz="2" w:space="0"/>
              <w:bottom w:val="single" w:color="000000" w:sz="2" w:space="0"/>
              <w:right w:val="single" w:color="000000" w:sz="2" w:space="0"/>
            </w:tcBorders>
            <w:vAlign w:val="center"/>
          </w:tcPr>
          <w:p w14:paraId="1A9F92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color w:val="auto"/>
                <w:sz w:val="21"/>
                <w:szCs w:val="21"/>
                <w:highlight w:val="none"/>
                <w:lang w:val="en-US" w:eastAsia="en-US"/>
              </w:rPr>
            </w:pPr>
          </w:p>
        </w:tc>
      </w:tr>
      <w:tr w14:paraId="5EFD2141">
        <w:tblPrEx>
          <w:tblCellMar>
            <w:top w:w="0" w:type="dxa"/>
            <w:left w:w="0" w:type="dxa"/>
            <w:bottom w:w="0" w:type="dxa"/>
            <w:right w:w="0" w:type="dxa"/>
          </w:tblCellMar>
        </w:tblPrEx>
        <w:trPr>
          <w:trHeight w:val="397" w:hRule="atLeast"/>
        </w:trPr>
        <w:tc>
          <w:tcPr>
            <w:tcW w:w="677" w:type="pct"/>
            <w:tcBorders>
              <w:top w:val="single" w:color="000000" w:sz="2" w:space="0"/>
              <w:left w:val="single" w:color="000000" w:sz="2" w:space="0"/>
              <w:bottom w:val="single" w:color="000000" w:sz="2" w:space="0"/>
              <w:right w:val="single" w:color="000000" w:sz="2" w:space="0"/>
            </w:tcBorders>
            <w:vAlign w:val="center"/>
          </w:tcPr>
          <w:p w14:paraId="593741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eastAsia" w:ascii="Times New Roman" w:eastAsia="宋体"/>
                <w:color w:val="auto"/>
                <w:sz w:val="21"/>
                <w:szCs w:val="21"/>
                <w:highlight w:val="none"/>
                <w:lang w:val="en-US" w:eastAsia="en-US"/>
              </w:rPr>
              <w:t>1.2</w:t>
            </w:r>
          </w:p>
        </w:tc>
        <w:tc>
          <w:tcPr>
            <w:tcW w:w="1340" w:type="pct"/>
            <w:tcBorders>
              <w:top w:val="single" w:color="000000" w:sz="2" w:space="0"/>
              <w:left w:val="single" w:color="000000" w:sz="2" w:space="0"/>
              <w:bottom w:val="single" w:color="000000" w:sz="2" w:space="0"/>
              <w:right w:val="single" w:color="000000" w:sz="2" w:space="0"/>
            </w:tcBorders>
            <w:vAlign w:val="center"/>
          </w:tcPr>
          <w:p w14:paraId="457E9E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default" w:ascii="Times New Roman" w:eastAsia="宋体"/>
                <w:color w:val="auto"/>
                <w:sz w:val="21"/>
                <w:szCs w:val="21"/>
                <w:highlight w:val="none"/>
                <w:lang w:val="en-US" w:eastAsia="en-US"/>
              </w:rPr>
              <w:t>旅客公共区</w:t>
            </w:r>
          </w:p>
        </w:tc>
        <w:tc>
          <w:tcPr>
            <w:tcW w:w="1275" w:type="pct"/>
            <w:tcBorders>
              <w:top w:val="single" w:color="000000" w:sz="2" w:space="0"/>
              <w:left w:val="single" w:color="000000" w:sz="2" w:space="0"/>
              <w:bottom w:val="single" w:color="000000" w:sz="2" w:space="0"/>
              <w:right w:val="single" w:color="000000" w:sz="2" w:space="0"/>
            </w:tcBorders>
            <w:vAlign w:val="center"/>
          </w:tcPr>
          <w:p w14:paraId="33F6C9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eastAsia" w:ascii="Times New Roman" w:eastAsia="宋体"/>
                <w:color w:val="auto"/>
                <w:sz w:val="21"/>
                <w:szCs w:val="21"/>
                <w:highlight w:val="none"/>
                <w:lang w:val="en-US" w:eastAsia="en-US"/>
              </w:rPr>
              <w:t>1165</w:t>
            </w:r>
          </w:p>
        </w:tc>
        <w:tc>
          <w:tcPr>
            <w:tcW w:w="1706" w:type="pct"/>
            <w:tcBorders>
              <w:top w:val="single" w:color="000000" w:sz="2" w:space="0"/>
              <w:left w:val="single" w:color="000000" w:sz="2" w:space="0"/>
              <w:bottom w:val="single" w:color="000000" w:sz="2" w:space="0"/>
              <w:right w:val="single" w:color="000000" w:sz="2" w:space="0"/>
            </w:tcBorders>
            <w:vAlign w:val="center"/>
          </w:tcPr>
          <w:p w14:paraId="71FE5B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color w:val="auto"/>
                <w:sz w:val="21"/>
                <w:szCs w:val="21"/>
                <w:highlight w:val="none"/>
                <w:lang w:val="en-US" w:eastAsia="en-US"/>
              </w:rPr>
            </w:pPr>
          </w:p>
        </w:tc>
      </w:tr>
      <w:tr w14:paraId="16896C92">
        <w:tblPrEx>
          <w:tblCellMar>
            <w:top w:w="0" w:type="dxa"/>
            <w:left w:w="0" w:type="dxa"/>
            <w:bottom w:w="0" w:type="dxa"/>
            <w:right w:w="0" w:type="dxa"/>
          </w:tblCellMar>
        </w:tblPrEx>
        <w:trPr>
          <w:trHeight w:val="397" w:hRule="atLeast"/>
        </w:trPr>
        <w:tc>
          <w:tcPr>
            <w:tcW w:w="677" w:type="pct"/>
            <w:tcBorders>
              <w:top w:val="single" w:color="000000" w:sz="2" w:space="0"/>
              <w:left w:val="single" w:color="000000" w:sz="2" w:space="0"/>
              <w:bottom w:val="single" w:color="000000" w:sz="2" w:space="0"/>
              <w:right w:val="single" w:color="000000" w:sz="2" w:space="0"/>
            </w:tcBorders>
            <w:vAlign w:val="center"/>
          </w:tcPr>
          <w:p w14:paraId="00C138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eastAsia" w:ascii="Times New Roman" w:eastAsia="宋体"/>
                <w:color w:val="auto"/>
                <w:sz w:val="21"/>
                <w:szCs w:val="21"/>
                <w:highlight w:val="none"/>
                <w:lang w:val="en-US" w:eastAsia="en-US"/>
              </w:rPr>
              <w:t>2</w:t>
            </w:r>
          </w:p>
        </w:tc>
        <w:tc>
          <w:tcPr>
            <w:tcW w:w="1340" w:type="pct"/>
            <w:tcBorders>
              <w:top w:val="single" w:color="000000" w:sz="2" w:space="0"/>
              <w:left w:val="single" w:color="000000" w:sz="2" w:space="0"/>
              <w:bottom w:val="single" w:color="000000" w:sz="2" w:space="0"/>
              <w:right w:val="single" w:color="000000" w:sz="2" w:space="0"/>
            </w:tcBorders>
            <w:vAlign w:val="center"/>
          </w:tcPr>
          <w:p w14:paraId="11C7C3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default" w:ascii="Times New Roman" w:eastAsia="宋体"/>
                <w:color w:val="auto"/>
                <w:sz w:val="21"/>
                <w:szCs w:val="21"/>
                <w:highlight w:val="none"/>
                <w:lang w:val="en-US" w:eastAsia="en-US"/>
              </w:rPr>
              <w:t>航管楼</w:t>
            </w:r>
          </w:p>
        </w:tc>
        <w:tc>
          <w:tcPr>
            <w:tcW w:w="1275" w:type="pct"/>
            <w:tcBorders>
              <w:top w:val="single" w:color="000000" w:sz="2" w:space="0"/>
              <w:left w:val="single" w:color="000000" w:sz="2" w:space="0"/>
              <w:bottom w:val="single" w:color="000000" w:sz="2" w:space="0"/>
              <w:right w:val="single" w:color="000000" w:sz="2" w:space="0"/>
            </w:tcBorders>
            <w:vAlign w:val="center"/>
          </w:tcPr>
          <w:p w14:paraId="5F1838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eastAsia" w:ascii="Times New Roman" w:eastAsia="宋体"/>
                <w:color w:val="auto"/>
                <w:sz w:val="21"/>
                <w:szCs w:val="21"/>
                <w:highlight w:val="none"/>
                <w:lang w:val="en-US" w:eastAsia="en-US"/>
              </w:rPr>
              <w:t>610</w:t>
            </w:r>
          </w:p>
        </w:tc>
        <w:tc>
          <w:tcPr>
            <w:tcW w:w="1706" w:type="pct"/>
            <w:tcBorders>
              <w:top w:val="single" w:color="000000" w:sz="2" w:space="0"/>
              <w:left w:val="single" w:color="000000" w:sz="2" w:space="0"/>
              <w:bottom w:val="single" w:color="000000" w:sz="2" w:space="0"/>
              <w:right w:val="single" w:color="000000" w:sz="2" w:space="0"/>
            </w:tcBorders>
            <w:vAlign w:val="center"/>
          </w:tcPr>
          <w:p w14:paraId="5174A8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default" w:ascii="Times New Roman" w:eastAsia="宋体"/>
                <w:color w:val="auto"/>
                <w:sz w:val="21"/>
                <w:szCs w:val="21"/>
                <w:highlight w:val="none"/>
                <w:lang w:val="en-US" w:eastAsia="en-US"/>
              </w:rPr>
              <w:t>含塔台指挥室40m</w:t>
            </w:r>
            <w:r>
              <w:rPr>
                <w:rFonts w:hint="default" w:ascii="Times New Roman" w:eastAsia="宋体"/>
                <w:color w:val="auto"/>
                <w:sz w:val="21"/>
                <w:szCs w:val="21"/>
                <w:highlight w:val="none"/>
                <w:vertAlign w:val="superscript"/>
                <w:lang w:val="en-US" w:eastAsia="en-US"/>
              </w:rPr>
              <w:t>2</w:t>
            </w:r>
          </w:p>
        </w:tc>
      </w:tr>
      <w:tr w14:paraId="6A759142">
        <w:tblPrEx>
          <w:tblCellMar>
            <w:top w:w="0" w:type="dxa"/>
            <w:left w:w="0" w:type="dxa"/>
            <w:bottom w:w="0" w:type="dxa"/>
            <w:right w:w="0" w:type="dxa"/>
          </w:tblCellMar>
        </w:tblPrEx>
        <w:trPr>
          <w:trHeight w:val="397" w:hRule="atLeast"/>
        </w:trPr>
        <w:tc>
          <w:tcPr>
            <w:tcW w:w="677" w:type="pct"/>
            <w:tcBorders>
              <w:top w:val="single" w:color="000000" w:sz="2" w:space="0"/>
              <w:left w:val="single" w:color="000000" w:sz="2" w:space="0"/>
              <w:bottom w:val="single" w:color="000000" w:sz="2" w:space="0"/>
              <w:right w:val="single" w:color="000000" w:sz="2" w:space="0"/>
            </w:tcBorders>
            <w:vAlign w:val="center"/>
          </w:tcPr>
          <w:p w14:paraId="72F731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eastAsia" w:ascii="Times New Roman" w:eastAsia="宋体"/>
                <w:color w:val="auto"/>
                <w:sz w:val="21"/>
                <w:szCs w:val="21"/>
                <w:highlight w:val="none"/>
                <w:lang w:val="en-US" w:eastAsia="en-US"/>
              </w:rPr>
              <w:t>3</w:t>
            </w:r>
          </w:p>
        </w:tc>
        <w:tc>
          <w:tcPr>
            <w:tcW w:w="1340" w:type="pct"/>
            <w:tcBorders>
              <w:top w:val="single" w:color="000000" w:sz="2" w:space="0"/>
              <w:left w:val="single" w:color="000000" w:sz="2" w:space="0"/>
              <w:bottom w:val="single" w:color="000000" w:sz="2" w:space="0"/>
              <w:right w:val="single" w:color="000000" w:sz="2" w:space="0"/>
            </w:tcBorders>
            <w:vAlign w:val="center"/>
          </w:tcPr>
          <w:p w14:paraId="1E84C3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default" w:ascii="Times New Roman" w:eastAsia="宋体"/>
                <w:color w:val="auto"/>
                <w:sz w:val="21"/>
                <w:szCs w:val="21"/>
                <w:highlight w:val="none"/>
                <w:lang w:val="en-US" w:eastAsia="en-US"/>
              </w:rPr>
              <w:t>合计</w:t>
            </w:r>
          </w:p>
        </w:tc>
        <w:tc>
          <w:tcPr>
            <w:tcW w:w="1275" w:type="pct"/>
            <w:tcBorders>
              <w:top w:val="single" w:color="000000" w:sz="2" w:space="0"/>
              <w:left w:val="single" w:color="000000" w:sz="2" w:space="0"/>
              <w:bottom w:val="single" w:color="000000" w:sz="2" w:space="0"/>
              <w:right w:val="single" w:color="000000" w:sz="2" w:space="0"/>
            </w:tcBorders>
            <w:vAlign w:val="center"/>
          </w:tcPr>
          <w:p w14:paraId="56709E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eastAsia="宋体"/>
                <w:color w:val="auto"/>
                <w:sz w:val="21"/>
                <w:szCs w:val="21"/>
                <w:highlight w:val="none"/>
                <w:lang w:val="en-US" w:eastAsia="en-US"/>
              </w:rPr>
            </w:pPr>
            <w:r>
              <w:rPr>
                <w:rFonts w:hint="eastAsia" w:ascii="Times New Roman" w:eastAsia="宋体"/>
                <w:color w:val="auto"/>
                <w:sz w:val="21"/>
                <w:szCs w:val="21"/>
                <w:highlight w:val="none"/>
                <w:lang w:val="en-US" w:eastAsia="en-US"/>
              </w:rPr>
              <w:t>2330</w:t>
            </w:r>
          </w:p>
        </w:tc>
        <w:tc>
          <w:tcPr>
            <w:tcW w:w="1706" w:type="pct"/>
            <w:tcBorders>
              <w:top w:val="single" w:color="000000" w:sz="2" w:space="0"/>
              <w:left w:val="single" w:color="000000" w:sz="2" w:space="0"/>
              <w:bottom w:val="single" w:color="000000" w:sz="2" w:space="0"/>
              <w:right w:val="single" w:color="000000" w:sz="2" w:space="0"/>
            </w:tcBorders>
            <w:vAlign w:val="center"/>
          </w:tcPr>
          <w:p w14:paraId="659E6F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eastAsia="宋体"/>
                <w:color w:val="auto"/>
                <w:sz w:val="21"/>
                <w:szCs w:val="21"/>
                <w:highlight w:val="none"/>
                <w:lang w:val="en-US" w:eastAsia="en-US"/>
              </w:rPr>
            </w:pPr>
          </w:p>
        </w:tc>
      </w:tr>
    </w:tbl>
    <w:p w14:paraId="34332497">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一层主要包括旅客出发大厅、到达大厅、安检区、候机区、商业、VIP室、机务场务用房、航管设备机房、卫生间、楼梯间等配套用房。二层主要为机场工作人员办公、机场业务用房、航管业务用房、机组人员用房、会议室、卫生间、楼梯间、连廊等公共用房。</w:t>
      </w:r>
    </w:p>
    <w:p w14:paraId="17739A1C">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特种车库及综合功能用房将整合特种车库、急救救援站、消防救援功能用房等功能。根据可研资料，特种车库及综合功能用房建筑为一层式，建筑高度6.30m，建设面积为720m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，其中特种车库面积为490m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，应急救援站面积为60m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，其他功能用房面积为170m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。该建筑将为机场的特种车辆停放、应急救援以及消防救援等功能提供必要的空间和设施。</w:t>
      </w:r>
    </w:p>
    <w:p w14:paraId="5D49F52C">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职工生活用房为机场工作人员提供生活和休息的场所。根据可研资料，在工作区建设一栋两层式职工生活用房，建筑高度8.7m，建设面积为668m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，其中包括备勤室、职工食堂、活动中心、物资库等功能用房。该建筑将满足机场工作人员的生活需求，提高工作人员的工作效率和生活质量。</w:t>
      </w:r>
    </w:p>
    <w:p w14:paraId="360926F6">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货运区</w:t>
      </w:r>
    </w:p>
    <w:p w14:paraId="2BF912B0">
      <w:pPr>
        <w:pageBreakBefore w:val="0"/>
        <w:widowControl/>
        <w:kinsoku/>
        <w:wordWrap/>
        <w:overflowPunct/>
        <w:autoSpaceDE w:val="0"/>
        <w:autoSpaceDN w:val="0"/>
        <w:bidi w:val="0"/>
        <w:ind w:firstLine="480" w:firstLineChars="200"/>
        <w:jc w:val="left"/>
        <w:rPr>
          <w:rFonts w:hint="default" w:cs="Times New Roman"/>
          <w:color w:val="auto"/>
          <w:szCs w:val="21"/>
          <w:highlight w:val="none"/>
          <w:lang w:val="en-US" w:eastAsia="zh-CN"/>
        </w:rPr>
      </w:pPr>
      <w:r>
        <w:rPr>
          <w:rFonts w:hint="eastAsia" w:cs="Times New Roman"/>
          <w:color w:val="auto"/>
          <w:szCs w:val="21"/>
          <w:highlight w:val="none"/>
          <w:lang w:val="en-US" w:eastAsia="zh-CN"/>
        </w:rPr>
        <w:t>根据可研资料，本期暂未考虑货运区内容。</w:t>
      </w:r>
    </w:p>
    <w:p w14:paraId="414B9813">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辅助工程</w:t>
      </w:r>
    </w:p>
    <w:p w14:paraId="1EBC89C8">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空管工程</w:t>
      </w:r>
    </w:p>
    <w:p w14:paraId="0E0F3C12">
      <w:pPr>
        <w:keepNext w:val="0"/>
        <w:keepLines w:val="0"/>
        <w:pageBreakBefore w:val="0"/>
        <w:widowControl/>
        <w:kinsoku/>
        <w:wordWrap/>
        <w:overflowPunct/>
        <w:topLinePunct w:val="0"/>
        <w:autoSpaceDE w:val="0"/>
        <w:autoSpaceDN w:val="0"/>
        <w:bidi w:val="0"/>
        <w:adjustRightInd/>
        <w:snapToGrid/>
        <w:ind w:firstLine="482" w:firstLineChars="200"/>
        <w:jc w:val="both"/>
        <w:textAlignment w:val="auto"/>
        <w:outlineLvl w:val="4"/>
        <w:rPr>
          <w:rFonts w:hint="default" w:cs="Times New Roman"/>
          <w:b/>
          <w:bCs/>
          <w:color w:val="auto"/>
          <w:szCs w:val="21"/>
          <w:highlight w:val="none"/>
          <w:lang w:val="en-US" w:eastAsia="zh-CN"/>
        </w:rPr>
      </w:pPr>
      <w:r>
        <w:rPr>
          <w:rFonts w:hint="eastAsia" w:cs="Times New Roman"/>
          <w:b/>
          <w:bCs/>
          <w:color w:val="auto"/>
          <w:szCs w:val="21"/>
          <w:highlight w:val="none"/>
          <w:lang w:val="en-US" w:eastAsia="zh-CN"/>
        </w:rPr>
        <w:t>（1）航管楼</w:t>
      </w:r>
    </w:p>
    <w:p w14:paraId="6FD1B4D6">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航管楼是机场对空实现空中管制的主要场所，是航行、通信、气象等部门的业务实施中心。项目本期不单独建设航管楼，与机场航站楼合建，设置飞行服务室、气象业务用房以及航管设备机房等航管工艺用房。航管用房面积为610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（含塔台），其中塔台指挥室40m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。管制空域高度900m、长度23km、宽度12km。</w:t>
      </w:r>
    </w:p>
    <w:p w14:paraId="67570CCA">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航管楼内设置16通道语音数据记录仪1套，对管制员的地空、地地话音进行录音；设置综合布线系统1套、时钟系统1套、综合防雷系统1套；利用通信工程建设的光纤通信和PCM接入设备，租用电信运营商的通信链路引接和传输博乐机场的航行情报信息，在飞行服务室及塔台管制室各设置1台远程终端。</w:t>
      </w:r>
    </w:p>
    <w:p w14:paraId="1AEB0B89">
      <w:pPr>
        <w:keepNext w:val="0"/>
        <w:keepLines w:val="0"/>
        <w:pageBreakBefore w:val="0"/>
        <w:widowControl/>
        <w:kinsoku/>
        <w:wordWrap/>
        <w:overflowPunct/>
        <w:topLinePunct w:val="0"/>
        <w:autoSpaceDE w:val="0"/>
        <w:autoSpaceDN w:val="0"/>
        <w:bidi w:val="0"/>
        <w:adjustRightInd/>
        <w:snapToGrid/>
        <w:ind w:firstLine="482" w:firstLineChars="200"/>
        <w:jc w:val="both"/>
        <w:textAlignment w:val="auto"/>
        <w:outlineLvl w:val="4"/>
        <w:rPr>
          <w:rFonts w:hint="default" w:cs="Times New Roman"/>
          <w:b/>
          <w:bCs/>
          <w:color w:val="auto"/>
          <w:szCs w:val="21"/>
          <w:highlight w:val="none"/>
          <w:lang w:val="en-US" w:eastAsia="zh-CN"/>
        </w:rPr>
      </w:pPr>
      <w:r>
        <w:rPr>
          <w:rFonts w:hint="eastAsia" w:cs="Times New Roman"/>
          <w:b/>
          <w:bCs/>
          <w:color w:val="auto"/>
          <w:szCs w:val="21"/>
          <w:highlight w:val="none"/>
          <w:lang w:val="en-US" w:eastAsia="zh-CN"/>
        </w:rPr>
        <w:t>（2）塔台</w:t>
      </w:r>
    </w:p>
    <w:p w14:paraId="2CD6E914">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塔台位于航站航管综合楼西侧，距跑道南端内撤774m，垂直跑道中线东侧约345m，按6层设计，总高度暂定22.30m（不含塔顶围栏、天线及避雷针），总高度为28m（含天线及避雷针）。塔台指挥室设置在塔台顶层，地面高度约为18m，外侧作为气象观测平台。塔台高度设计需满足塔台管制员的视线能够通视航空器的全部活动区域。塔内设置消防楼梯和一部电梯。</w:t>
      </w:r>
    </w:p>
    <w:p w14:paraId="6E67DF80">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塔台配置控制桌1套，包括灯光监视器、ADS-B显示终端、风速风向显示器、双振筒气压仪、自动气象站显示单元、气象信息网络终端和双筒望远镜等各1套；设置200W扩音机一套，高音喇叭（2个）架设在塔台顶，供管制员紧急情况下使用；建设一套ADS-B地面站，为管制人员提供低空监视的手段，并根据需要将数据上传至新疆空管局。</w:t>
      </w:r>
    </w:p>
    <w:p w14:paraId="1B8DC823">
      <w:pPr>
        <w:keepNext w:val="0"/>
        <w:keepLines w:val="0"/>
        <w:pageBreakBefore w:val="0"/>
        <w:widowControl/>
        <w:kinsoku/>
        <w:wordWrap/>
        <w:overflowPunct/>
        <w:topLinePunct w:val="0"/>
        <w:autoSpaceDE w:val="0"/>
        <w:autoSpaceDN w:val="0"/>
        <w:bidi w:val="0"/>
        <w:adjustRightInd/>
        <w:snapToGrid/>
        <w:ind w:firstLine="482" w:firstLineChars="200"/>
        <w:jc w:val="both"/>
        <w:textAlignment w:val="auto"/>
        <w:outlineLvl w:val="4"/>
        <w:rPr>
          <w:rFonts w:hint="eastAsia" w:cs="Times New Roman"/>
          <w:b/>
          <w:bCs/>
          <w:color w:val="auto"/>
          <w:szCs w:val="21"/>
          <w:highlight w:val="none"/>
          <w:lang w:val="en-US" w:eastAsia="zh-CN"/>
        </w:rPr>
      </w:pPr>
      <w:r>
        <w:rPr>
          <w:rFonts w:hint="eastAsia" w:cs="Times New Roman"/>
          <w:b/>
          <w:bCs/>
          <w:color w:val="auto"/>
          <w:szCs w:val="21"/>
          <w:highlight w:val="none"/>
          <w:lang w:val="en-US" w:eastAsia="zh-CN"/>
        </w:rPr>
        <w:t>（3）导航台站</w:t>
      </w:r>
    </w:p>
    <w:p w14:paraId="115EB5D6">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本期跑道为目视跑道，不设置导航台。</w:t>
      </w:r>
    </w:p>
    <w:p w14:paraId="21B83D28">
      <w:pPr>
        <w:keepNext w:val="0"/>
        <w:keepLines w:val="0"/>
        <w:pageBreakBefore w:val="0"/>
        <w:widowControl/>
        <w:kinsoku/>
        <w:wordWrap/>
        <w:overflowPunct/>
        <w:topLinePunct w:val="0"/>
        <w:autoSpaceDE w:val="0"/>
        <w:autoSpaceDN w:val="0"/>
        <w:bidi w:val="0"/>
        <w:adjustRightInd/>
        <w:snapToGrid/>
        <w:ind w:firstLine="482" w:firstLineChars="200"/>
        <w:jc w:val="both"/>
        <w:textAlignment w:val="auto"/>
        <w:outlineLvl w:val="4"/>
        <w:rPr>
          <w:rFonts w:hint="eastAsia" w:cs="Times New Roman"/>
          <w:b/>
          <w:bCs/>
          <w:color w:val="auto"/>
          <w:szCs w:val="21"/>
          <w:highlight w:val="none"/>
          <w:lang w:val="en-US" w:eastAsia="zh-CN"/>
        </w:rPr>
      </w:pPr>
      <w:r>
        <w:rPr>
          <w:rFonts w:hint="eastAsia" w:cs="Times New Roman"/>
          <w:b/>
          <w:bCs/>
          <w:color w:val="auto"/>
          <w:szCs w:val="21"/>
          <w:highlight w:val="none"/>
          <w:lang w:val="en-US" w:eastAsia="zh-CN"/>
        </w:rPr>
        <w:t>（4）助航设施</w:t>
      </w:r>
    </w:p>
    <w:p w14:paraId="3A83142F">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本期采用目视飞行方式，仅设置风向标、标记牌、着陆方向标及站坪照明、机务用电。在跑道上的FATO位置设置相应的助航灯光系统，FATO中心点距机场跑道中心点55m。远期机场跑道运行类别根据需要适时升级为非精密进近仪表跑道，将配备相应的进近灯光系统、滑行道灯光系统。</w:t>
      </w:r>
    </w:p>
    <w:p w14:paraId="081A0FE5">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在跑道两端的瞄准点起端附近、跑道入口左侧，距离跑道近边50m处各设1套风向标。在跑道及垂直联络道侧边设置滑行引导标记牌，牌面采用逆向反光材料，不设内部照明。在跑道两个进近方向，位于跑道入口左侧，距离跑道近边15m、距跑道端150m处设置“T”字形标志。在航站航管综合楼屋顶设置直升机场灯标。</w:t>
      </w:r>
    </w:p>
    <w:p w14:paraId="2AB96F4C">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TLOF边灯沿TLOF边线均匀设置，采用嵌入式发绿色光的固定式全向灯，共设置15盏灯。在机坪适当位置设置2基高杆灯。在站坪设置2座配电亭，每个配电亭安装功率为20kW/台，防护等级不小于IP55。</w:t>
      </w:r>
    </w:p>
    <w:p w14:paraId="5B17386F">
      <w:pPr>
        <w:keepNext w:val="0"/>
        <w:keepLines w:val="0"/>
        <w:pageBreakBefore w:val="0"/>
        <w:widowControl/>
        <w:kinsoku/>
        <w:wordWrap/>
        <w:overflowPunct/>
        <w:topLinePunct w:val="0"/>
        <w:autoSpaceDE w:val="0"/>
        <w:autoSpaceDN w:val="0"/>
        <w:bidi w:val="0"/>
        <w:adjustRightInd/>
        <w:snapToGrid/>
        <w:ind w:firstLine="482" w:firstLineChars="200"/>
        <w:jc w:val="both"/>
        <w:textAlignment w:val="auto"/>
        <w:outlineLvl w:val="4"/>
        <w:rPr>
          <w:rFonts w:hint="eastAsia" w:cs="Times New Roman"/>
          <w:b/>
          <w:bCs/>
          <w:color w:val="auto"/>
          <w:szCs w:val="21"/>
          <w:highlight w:val="none"/>
          <w:lang w:val="en-US" w:eastAsia="zh-CN"/>
        </w:rPr>
      </w:pPr>
      <w:r>
        <w:rPr>
          <w:rFonts w:hint="eastAsia" w:cs="Times New Roman"/>
          <w:b/>
          <w:bCs/>
          <w:color w:val="auto"/>
          <w:szCs w:val="21"/>
          <w:highlight w:val="none"/>
          <w:lang w:val="en-US" w:eastAsia="zh-CN"/>
        </w:rPr>
        <w:t>（5）气象设施</w:t>
      </w:r>
    </w:p>
    <w:p w14:paraId="0941F53A">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在跑道南端东侧设置16×16m常规气象观测场，距离跑道中心线148m，从跑道南端内撤600m，距航站航管综合楼直线距离为263m。气象观测场内设置百叶箱、风向风速仪、雨量计等设备，并装1套自动气象观测站。塔台及气象值班室安装显示终端，分别配置1套XDY-03型双振筒气压仪，配置雪深尺。本期不新建天气雷达站，采用引接地方气象局信号，并建设MICAPS系统1套。气象信息网络系统1套，配置气象观测资料接收及处理子系统、图文传真设备。</w:t>
      </w:r>
    </w:p>
    <w:p w14:paraId="16E0E541">
      <w:pPr>
        <w:keepNext w:val="0"/>
        <w:keepLines w:val="0"/>
        <w:pageBreakBefore w:val="0"/>
        <w:widowControl/>
        <w:kinsoku/>
        <w:wordWrap/>
        <w:overflowPunct/>
        <w:topLinePunct w:val="0"/>
        <w:autoSpaceDE w:val="0"/>
        <w:autoSpaceDN w:val="0"/>
        <w:bidi w:val="0"/>
        <w:adjustRightInd/>
        <w:snapToGrid/>
        <w:ind w:firstLine="482" w:firstLineChars="200"/>
        <w:jc w:val="both"/>
        <w:textAlignment w:val="auto"/>
        <w:outlineLvl w:val="4"/>
        <w:rPr>
          <w:rFonts w:hint="eastAsia" w:cs="Times New Roman"/>
          <w:b/>
          <w:bCs/>
          <w:color w:val="auto"/>
          <w:szCs w:val="21"/>
          <w:highlight w:val="none"/>
          <w:lang w:val="en-US" w:eastAsia="zh-CN"/>
        </w:rPr>
      </w:pPr>
      <w:r>
        <w:rPr>
          <w:rFonts w:hint="eastAsia" w:cs="Times New Roman"/>
          <w:b/>
          <w:bCs/>
          <w:color w:val="auto"/>
          <w:szCs w:val="21"/>
          <w:highlight w:val="none"/>
          <w:lang w:val="en-US" w:eastAsia="zh-CN"/>
        </w:rPr>
        <w:t>（6）通信设施</w:t>
      </w:r>
    </w:p>
    <w:p w14:paraId="2576CB33">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航管楼内设置语音数据记录仪、综合布线系统、时钟系统、综合防雷系统等。利用通信工程建设的光纤通信和PCM接入设备，租用电信运营商的通信链路引接和传输博乐机场的航行情报信息。</w:t>
      </w:r>
    </w:p>
    <w:p w14:paraId="2B37A5B6">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甚高频配置按实际管制需求，配置3个信道，塔台主频、备频及应急频率，其中主频主备设置。配置4台单机，相应配置VHF遥控盒4个。主频、备频天线架设在塔台顶，应急频率天线架设在航站航管综合楼顶，设备安装在航管设备机房，配置直流电源柜进行供电。配置1部便携式甚高频收发信息机。</w:t>
      </w:r>
    </w:p>
    <w:p w14:paraId="1DB4730F">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机务维修设施</w:t>
      </w:r>
    </w:p>
    <w:p w14:paraId="489CA559">
      <w:pPr>
        <w:pageBreakBefore w:val="0"/>
        <w:widowControl/>
        <w:kinsoku/>
        <w:wordWrap/>
        <w:overflowPunct/>
        <w:autoSpaceDE w:val="0"/>
        <w:autoSpaceDN w:val="0"/>
        <w:bidi w:val="0"/>
        <w:ind w:firstLine="480" w:firstLineChars="200"/>
        <w:jc w:val="left"/>
        <w:rPr>
          <w:rFonts w:hint="default" w:cs="Times New Roman"/>
          <w:color w:val="auto"/>
          <w:szCs w:val="21"/>
          <w:highlight w:val="none"/>
          <w:lang w:val="en-US" w:eastAsia="zh-CN"/>
        </w:rPr>
      </w:pPr>
      <w:r>
        <w:rPr>
          <w:rFonts w:hint="eastAsia" w:cs="Times New Roman"/>
          <w:color w:val="auto"/>
          <w:szCs w:val="21"/>
          <w:highlight w:val="none"/>
          <w:lang w:val="en-US" w:eastAsia="zh-CN"/>
        </w:rPr>
        <w:t>本期不涉及机务维修设施建设内容。</w:t>
      </w:r>
    </w:p>
    <w:p w14:paraId="7824383C">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应急救援和安全保卫设施</w:t>
      </w:r>
    </w:p>
    <w:p w14:paraId="45322018">
      <w:pPr>
        <w:pageBreakBefore w:val="0"/>
        <w:widowControl/>
        <w:numPr>
          <w:ilvl w:val="0"/>
          <w:numId w:val="11"/>
        </w:numPr>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消防站</w:t>
      </w:r>
    </w:p>
    <w:p w14:paraId="79E0FE45">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本期考虑建设消防救援站，配备中型泡沫车1辆，消防人员编制为7人，其中专职消防人员6人，行政技术人员和后勤保障人员1人。</w:t>
      </w:r>
    </w:p>
    <w:p w14:paraId="698AFC3F">
      <w:pPr>
        <w:pageBreakBefore w:val="0"/>
        <w:widowControl/>
        <w:numPr>
          <w:ilvl w:val="0"/>
          <w:numId w:val="11"/>
        </w:numPr>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急救救援站</w:t>
      </w:r>
    </w:p>
    <w:p w14:paraId="3F1B016A">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本期急救救援室建筑面积为60m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（含应急救护物资库面积20m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），考虑和消防站合建。机场应急救护物资按照《民用运输机场应急救护设施设备配备》（GB18040-2019）表8进行储备。</w:t>
      </w:r>
    </w:p>
    <w:p w14:paraId="702D63E2">
      <w:pPr>
        <w:pageBreakBefore w:val="0"/>
        <w:widowControl/>
        <w:numPr>
          <w:ilvl w:val="0"/>
          <w:numId w:val="11"/>
        </w:numPr>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安全保卫设施</w:t>
      </w:r>
    </w:p>
    <w:p w14:paraId="7B538E80">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围界：飞行区采用1.8m高钢筋网围界，航站区采用1.8m高铁栅栏围界。</w:t>
      </w:r>
    </w:p>
    <w:p w14:paraId="535426F3">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道口安防：机场设一个道口，道口设电动门和守卫值班室，道口区域设置视频监控系统（含车顶检查），配备手持金属探测器及车底检查等设备。</w:t>
      </w:r>
    </w:p>
    <w:p w14:paraId="56A6623C">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视频监控系统：在机场航站航管综合楼等主要单体建筑中设置视频监控系统，对楼内各个功能区域、室外重要通道进行监视控制。</w:t>
      </w:r>
    </w:p>
    <w:p w14:paraId="1C1645C3">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门禁系统：在机场航站航管综合楼等单体建筑中的主要出入口及通道设置门禁系统，门禁系统对用户卡权限进行灵活设置。</w:t>
      </w:r>
    </w:p>
    <w:p w14:paraId="2FC4B757">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停车场管理系统：设置停车场管理系统1套，采用车辆出入自动读取方式，实现无卡进入，自动记录车辆出入情况。</w:t>
      </w:r>
    </w:p>
    <w:p w14:paraId="4DA7FC77">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公用工程</w:t>
      </w:r>
    </w:p>
    <w:p w14:paraId="6B8CC3EC">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供水工程</w:t>
      </w:r>
    </w:p>
    <w:p w14:paraId="432CBA0B">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根据精河县水利局提供机场给水资料，县水利局在机场大道旁建设了一条DE250PE管，并在八家户农六队分水口预留了接口，工作压力0.35-0.5MPa，预留流量0.8L/s，接通机场需要铺设主管网5km及配套设施。</w:t>
      </w:r>
    </w:p>
    <w:p w14:paraId="4D598261">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给水量：机场本期最高日生活用水量为32.76m³/d，最大时用水量为2.33m³/h。生活给水系统在楼内采用下行上给的供水方式。</w:t>
      </w:r>
    </w:p>
    <w:p w14:paraId="5042B4B4">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工作区专门设置消火栓系统，室内和室外消火栓系统共用一套供水管网，并与飞行区共用消防加压供水设备和蓄水池（400m</w:t>
      </w:r>
      <w:r>
        <w:rPr>
          <w:rFonts w:hint="eastAsia" w:cs="Times New Roman"/>
          <w:color w:val="auto"/>
          <w:szCs w:val="21"/>
          <w:highlight w:val="none"/>
          <w:vertAlign w:val="superscript"/>
          <w:lang w:val="en-US" w:eastAsia="zh-CN"/>
        </w:rPr>
        <w:t>3</w:t>
      </w:r>
      <w:r>
        <w:rPr>
          <w:rFonts w:hint="eastAsia" w:cs="Times New Roman"/>
          <w:color w:val="auto"/>
          <w:szCs w:val="21"/>
          <w:highlight w:val="none"/>
          <w:lang w:val="en-US" w:eastAsia="zh-CN"/>
        </w:rPr>
        <w:t>）；消火栓供水设备设于供水站，本期供水站建筑面积为200m²（设在动力中心内）。</w:t>
      </w:r>
    </w:p>
    <w:p w14:paraId="445C0808">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供电工程</w:t>
      </w:r>
    </w:p>
    <w:p w14:paraId="7A65A9FA">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机场供电拟由110kV永集湖变电站和110kV安阜变电站分别引出一回10kV机场专用供电线路（共2路10kV供电线路）至机场中心变电站。其中场外线路在满足净空要求条件下采用架空方式敷设，进入场区采用电缆敷设。</w:t>
      </w:r>
    </w:p>
    <w:p w14:paraId="0C5668F6">
      <w:pPr>
        <w:pageBreakBefore w:val="0"/>
        <w:widowControl/>
        <w:kinsoku/>
        <w:wordWrap/>
        <w:overflowPunct/>
        <w:autoSpaceDE w:val="0"/>
        <w:autoSpaceDN w:val="0"/>
        <w:bidi w:val="0"/>
        <w:ind w:firstLine="480" w:firstLineChars="200"/>
        <w:jc w:val="left"/>
        <w:rPr>
          <w:rFonts w:hint="default" w:cs="Times New Roman"/>
          <w:color w:val="auto"/>
          <w:szCs w:val="21"/>
          <w:highlight w:val="none"/>
          <w:lang w:val="en-US" w:eastAsia="zh-CN"/>
        </w:rPr>
      </w:pPr>
      <w:r>
        <w:rPr>
          <w:rFonts w:hint="eastAsia" w:cs="Times New Roman"/>
          <w:color w:val="auto"/>
          <w:szCs w:val="21"/>
          <w:highlight w:val="none"/>
          <w:lang w:val="en-US" w:eastAsia="zh-CN"/>
        </w:rPr>
        <w:t>本期机场总负荷为733.3kW，计划在机场动力中心设置10/0.4kV变电站一座，站内设置2台1000kVA的变压器；同时设置1台800kVA变压器作为锅炉房的专用变压器。采用太阳能光伏并网发电系统，采取“自发自用，余电上网”模式，总装机容量为321kWp。在动力中心、锅炉房的建筑屋面安装太阳能光伏组件；同时利用停车场用地，在停车场增设遮阳棚，在遮阳棚顶部安装太阳能光伏组件，预计光伏面板总面1516m²，预计年平均发电量为35.73万kWh。配置1套100kW柴油发电机备用。</w:t>
      </w:r>
    </w:p>
    <w:p w14:paraId="412D0A2B">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制冷工程</w:t>
      </w:r>
    </w:p>
    <w:p w14:paraId="4DA1C281">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制冷方式：机场采用分散式供冷，设置变频多联机空调系统。</w:t>
      </w:r>
    </w:p>
    <w:p w14:paraId="53660951">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燃料种类及消耗量：无，采用电力驱动的空调系统。</w:t>
      </w:r>
    </w:p>
    <w:p w14:paraId="2CD6978E">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供热工程</w:t>
      </w:r>
    </w:p>
    <w:p w14:paraId="545D087F">
      <w:pPr>
        <w:pageBreakBefore w:val="0"/>
        <w:widowControl/>
        <w:kinsoku/>
        <w:wordWrap/>
        <w:overflowPunct/>
        <w:autoSpaceDE w:val="0"/>
        <w:autoSpaceDN w:val="0"/>
        <w:bidi w:val="0"/>
        <w:ind w:firstLine="480" w:firstLineChars="200"/>
        <w:jc w:val="both"/>
        <w:rPr>
          <w:rFonts w:hint="default" w:cs="Times New Roman"/>
          <w:color w:val="auto"/>
          <w:szCs w:val="21"/>
          <w:highlight w:val="none"/>
          <w:lang w:val="en-US" w:eastAsia="zh-CN"/>
        </w:rPr>
      </w:pPr>
      <w:r>
        <w:rPr>
          <w:rFonts w:hint="eastAsia" w:cs="Times New Roman"/>
          <w:color w:val="auto"/>
          <w:szCs w:val="21"/>
          <w:highlight w:val="none"/>
          <w:lang w:val="en-US" w:eastAsia="zh-CN"/>
        </w:rPr>
        <w:t>供热方式：机场采用电锅炉供暖，锅炉房面积约300m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，内设2台0.7MW电锅炉（一用一备），每台电功率510kW/380V，热媒为85~60℃热水，场内配套2300m/DN25~DN100供热管线。</w:t>
      </w:r>
    </w:p>
    <w:p w14:paraId="1F050350">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燃料种类及消耗量：无，采用电力驱动的电锅炉。</w:t>
      </w:r>
    </w:p>
    <w:p w14:paraId="1A2CDFFE">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供热面积及负荷：机场本期总供暖面积约5026m²，热负荷为430.3kW。</w:t>
      </w:r>
    </w:p>
    <w:p w14:paraId="5EC9148D">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供气工程</w:t>
      </w:r>
    </w:p>
    <w:p w14:paraId="06227A1B">
      <w:pPr>
        <w:pageBreakBefore w:val="0"/>
        <w:widowControl/>
        <w:kinsoku/>
        <w:wordWrap/>
        <w:overflowPunct/>
        <w:autoSpaceDE w:val="0"/>
        <w:autoSpaceDN w:val="0"/>
        <w:bidi w:val="0"/>
        <w:ind w:firstLine="480" w:firstLineChars="200"/>
        <w:jc w:val="left"/>
        <w:rPr>
          <w:rFonts w:hint="default" w:cs="Times New Roman"/>
          <w:color w:val="auto"/>
          <w:szCs w:val="21"/>
          <w:highlight w:val="none"/>
          <w:lang w:val="en-US" w:eastAsia="zh-CN"/>
        </w:rPr>
      </w:pPr>
      <w:r>
        <w:rPr>
          <w:rFonts w:hint="eastAsia" w:cs="Times New Roman"/>
          <w:color w:val="auto"/>
          <w:szCs w:val="21"/>
          <w:highlight w:val="none"/>
          <w:lang w:val="en-US" w:eastAsia="zh-CN"/>
        </w:rPr>
        <w:t>本期机场主要燃气用户为职工食堂烹饪。</w:t>
      </w:r>
    </w:p>
    <w:p w14:paraId="3B6BF3F7">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气源：本期采用点供（移动式压力容器供气），储量为4000m</w:t>
      </w:r>
      <w:r>
        <w:rPr>
          <w:rFonts w:hint="eastAsia" w:cs="Times New Roman"/>
          <w:color w:val="auto"/>
          <w:szCs w:val="21"/>
          <w:highlight w:val="none"/>
          <w:vertAlign w:val="superscript"/>
          <w:lang w:val="en-US" w:eastAsia="zh-CN"/>
        </w:rPr>
        <w:t>3</w:t>
      </w:r>
      <w:r>
        <w:rPr>
          <w:rFonts w:hint="eastAsia" w:cs="Times New Roman"/>
          <w:color w:val="auto"/>
          <w:szCs w:val="21"/>
          <w:highlight w:val="none"/>
          <w:lang w:val="en-US" w:eastAsia="zh-CN"/>
        </w:rPr>
        <w:t>，可使用约32日，供气来源为新捷燃气公司八家户美食城附近加气站。不涉及供气管网建设内容。场址燃气供应远期采用城市燃气管线供给。</w:t>
      </w:r>
    </w:p>
    <w:p w14:paraId="51C970E3">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用气量：本期用气量约50m³/d，远期用气量约200m³/d。</w:t>
      </w:r>
    </w:p>
    <w:p w14:paraId="2BA45DB0">
      <w:pPr>
        <w:pageBreakBefore w:val="0"/>
        <w:widowControl/>
        <w:kinsoku/>
        <w:wordWrap/>
        <w:overflowPunct/>
        <w:autoSpaceDE w:val="0"/>
        <w:autoSpaceDN w:val="0"/>
        <w:bidi w:val="0"/>
        <w:ind w:firstLine="480" w:firstLineChars="200"/>
        <w:jc w:val="left"/>
        <w:rPr>
          <w:rFonts w:hint="default" w:cs="Times New Roman"/>
          <w:color w:val="auto"/>
          <w:szCs w:val="21"/>
          <w:highlight w:val="none"/>
          <w:lang w:val="en-US" w:eastAsia="zh-CN"/>
        </w:rPr>
      </w:pPr>
      <w:r>
        <w:rPr>
          <w:rFonts w:hint="eastAsia" w:cs="Times New Roman"/>
          <w:color w:val="auto"/>
          <w:szCs w:val="21"/>
          <w:highlight w:val="none"/>
          <w:lang w:val="en-US" w:eastAsia="zh-CN"/>
        </w:rPr>
        <w:t>成分：天然气低发热值按35.8MJ/m³作为计算依据。</w:t>
      </w:r>
    </w:p>
    <w:p w14:paraId="2EB425BD">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雨水收集和排放工程</w:t>
      </w:r>
    </w:p>
    <w:p w14:paraId="3E3A6347">
      <w:pPr>
        <w:keepNext w:val="0"/>
        <w:keepLines w:val="0"/>
        <w:pageBreakBefore w:val="0"/>
        <w:widowControl/>
        <w:numPr>
          <w:ilvl w:val="0"/>
          <w:numId w:val="12"/>
        </w:numPr>
        <w:kinsoku/>
        <w:wordWrap/>
        <w:overflowPunct/>
        <w:topLinePunct w:val="0"/>
        <w:autoSpaceDE w:val="0"/>
        <w:autoSpaceDN w:val="0"/>
        <w:bidi w:val="0"/>
        <w:adjustRightInd/>
        <w:snapToGrid/>
        <w:ind w:firstLine="482" w:firstLineChars="200"/>
        <w:jc w:val="left"/>
        <w:textAlignment w:val="auto"/>
        <w:outlineLvl w:val="4"/>
        <w:rPr>
          <w:rFonts w:hint="eastAsia" w:cs="Times New Roman"/>
          <w:b/>
          <w:bCs/>
          <w:color w:val="auto"/>
          <w:szCs w:val="21"/>
          <w:highlight w:val="none"/>
          <w:lang w:val="en-US" w:eastAsia="zh-CN"/>
        </w:rPr>
      </w:pPr>
      <w:r>
        <w:rPr>
          <w:rFonts w:hint="eastAsia" w:cs="Times New Roman"/>
          <w:b/>
          <w:bCs/>
          <w:color w:val="auto"/>
          <w:szCs w:val="21"/>
          <w:highlight w:val="none"/>
          <w:lang w:val="en-US" w:eastAsia="zh-CN"/>
        </w:rPr>
        <w:t>雨水收集</w:t>
      </w:r>
    </w:p>
    <w:p w14:paraId="028CC333">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雨水收集方式：场内雨水通过地势设计设置V形土沟进行排水，场内雨水顺土面区漫流、下渗、蒸发排放。</w:t>
      </w:r>
    </w:p>
    <w:p w14:paraId="3FA3FDC2">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管网布设：工作区雨水和污水分别设置管网，排放采用分流制。雨水管线结合道路布置，管径DN300~DN500，HDPE排水塑料管。</w:t>
      </w:r>
    </w:p>
    <w:p w14:paraId="54C275D7">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排放去向：场区雨水经初步沉淀处理后，可用于机场绿化和道路浇洒。本期拟设置一座300m³钢筋混凝土集渗水池，用于存储工作区雨水。</w:t>
      </w:r>
    </w:p>
    <w:p w14:paraId="55A46F39">
      <w:pPr>
        <w:keepNext w:val="0"/>
        <w:keepLines w:val="0"/>
        <w:pageBreakBefore w:val="0"/>
        <w:widowControl/>
        <w:numPr>
          <w:ilvl w:val="0"/>
          <w:numId w:val="12"/>
        </w:numPr>
        <w:kinsoku/>
        <w:wordWrap/>
        <w:overflowPunct/>
        <w:topLinePunct w:val="0"/>
        <w:autoSpaceDE w:val="0"/>
        <w:autoSpaceDN w:val="0"/>
        <w:bidi w:val="0"/>
        <w:adjustRightInd/>
        <w:snapToGrid/>
        <w:ind w:firstLine="482" w:firstLineChars="200"/>
        <w:jc w:val="left"/>
        <w:textAlignment w:val="auto"/>
        <w:outlineLvl w:val="4"/>
        <w:rPr>
          <w:rFonts w:hint="eastAsia" w:cs="Times New Roman"/>
          <w:b/>
          <w:bCs/>
          <w:color w:val="auto"/>
          <w:szCs w:val="21"/>
          <w:highlight w:val="none"/>
          <w:lang w:val="en-US" w:eastAsia="zh-CN"/>
        </w:rPr>
      </w:pPr>
      <w:r>
        <w:rPr>
          <w:rFonts w:hint="eastAsia" w:cs="Times New Roman"/>
          <w:b/>
          <w:bCs/>
          <w:color w:val="auto"/>
          <w:szCs w:val="21"/>
          <w:highlight w:val="none"/>
          <w:lang w:val="en-US" w:eastAsia="zh-CN"/>
        </w:rPr>
        <w:t>飞行区排水工程</w:t>
      </w:r>
    </w:p>
    <w:p w14:paraId="49F76360">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1）飞行区场外防洪系统</w:t>
      </w:r>
    </w:p>
    <w:p w14:paraId="758305B1">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场外防洪标准按满足20年一遇的设计洪水频率。精河大堤（机场段）位于下天吉水库下游约30km处。根据《新疆精河县下天吉水利枢纽二期工程初步设计报告》（黄河勘测规划设计研究院有限公司，2019年4月），目前精河下游堤防防洪标准大多达到不足5年一遇防洪标准，而下游乡村段防洪保护对象防洪标准为10年一遇，精河县城区段防洪标准为20年一遇。下天吉水库二期工程与下游堤防结合，可使坝址断面以下精河河段达到20年一遇防洪标准。2023年12月，下天吉水利枢纽二期工程顺利通过下闸蓄水阶段验收，标志着该工程已达到蓄水要求，可以择机下闸蓄水。根据《新疆精河通用机场建设工程洪水影响评价》，项目场址隶属于精河流域，但不在精河的泄洪区、容洪区内，精河上游区域已规划修建三座水库，河道已修建防洪堤，经水库调蓄和防洪堤阻拦，该项目区场址不存在防洪风险隐患。</w:t>
      </w:r>
    </w:p>
    <w:p w14:paraId="23FCDF95">
      <w:pPr>
        <w:pageBreakBefore w:val="0"/>
        <w:widowControl/>
        <w:kinsoku/>
        <w:wordWrap/>
        <w:overflowPunct/>
        <w:autoSpaceDE w:val="0"/>
        <w:autoSpaceDN w:val="0"/>
        <w:bidi w:val="0"/>
        <w:ind w:firstLine="480" w:firstLineChars="200"/>
        <w:jc w:val="left"/>
        <w:rPr>
          <w:rFonts w:hint="default" w:cs="Times New Roman"/>
          <w:color w:val="auto"/>
          <w:szCs w:val="21"/>
          <w:highlight w:val="none"/>
          <w:lang w:val="en-US" w:eastAsia="zh-CN"/>
        </w:rPr>
      </w:pPr>
      <w:r>
        <w:rPr>
          <w:rFonts w:hint="eastAsia" w:cs="Times New Roman"/>
          <w:color w:val="auto"/>
          <w:szCs w:val="21"/>
          <w:highlight w:val="none"/>
          <w:lang w:val="en-US" w:eastAsia="zh-CN"/>
        </w:rPr>
        <w:t>2）飞行区场内排水系统</w:t>
      </w:r>
    </w:p>
    <w:p w14:paraId="452B477B">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根据规范要求，场内排水按暴雨重现期3年进行设计。当地降雨量较小、汇水量较少，飞行区通过地势设计设置V形土沟进行排水，场内雨水顺土面区漫流、下渗、蒸发排放。</w:t>
      </w:r>
    </w:p>
    <w:p w14:paraId="3D35E7E3">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环保工程</w:t>
      </w:r>
    </w:p>
    <w:p w14:paraId="08D82827">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大气污染控制</w:t>
      </w:r>
    </w:p>
    <w:p w14:paraId="36DA4C73">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飞机尾气：飞机尾气是一种流动的污染源，主要污染物为NOx、</w:t>
      </w:r>
      <w:r>
        <w:rPr>
          <w:rFonts w:hint="eastAsia" w:cs="Times New Roman"/>
          <w:i w:val="0"/>
          <w:iCs w:val="0"/>
          <w:color w:val="auto"/>
          <w:szCs w:val="21"/>
          <w:highlight w:val="none"/>
          <w:lang w:val="en-US" w:eastAsia="zh-CN"/>
        </w:rPr>
        <w:t>CnHm</w:t>
      </w:r>
      <w:r>
        <w:rPr>
          <w:rFonts w:hint="eastAsia" w:cs="Times New Roman"/>
          <w:color w:val="auto"/>
          <w:szCs w:val="21"/>
          <w:highlight w:val="none"/>
          <w:lang w:val="en-US" w:eastAsia="zh-CN"/>
        </w:rPr>
        <w:t>、CO。扩散迅速，只能通过飞机自身的净气系统进行处理。</w:t>
      </w:r>
    </w:p>
    <w:p w14:paraId="4F4379BF">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机动车尾气：机场用车尽量启用对环境污染较小的车辆并安装尾气净化器。</w:t>
      </w:r>
    </w:p>
    <w:p w14:paraId="23E0D967">
      <w:pPr>
        <w:pageBreakBefore w:val="0"/>
        <w:widowControl/>
        <w:kinsoku/>
        <w:wordWrap/>
        <w:overflowPunct/>
        <w:autoSpaceDE w:val="0"/>
        <w:autoSpaceDN w:val="0"/>
        <w:bidi w:val="0"/>
        <w:ind w:firstLine="480" w:firstLineChars="200"/>
        <w:jc w:val="both"/>
        <w:rPr>
          <w:rFonts w:hint="default" w:cs="Times New Roman"/>
          <w:color w:val="auto"/>
          <w:szCs w:val="21"/>
          <w:highlight w:val="none"/>
          <w:lang w:val="en-US" w:eastAsia="zh-CN"/>
        </w:rPr>
      </w:pPr>
      <w:r>
        <w:rPr>
          <w:rFonts w:hint="eastAsia" w:cs="Times New Roman"/>
          <w:color w:val="auto"/>
          <w:szCs w:val="21"/>
          <w:highlight w:val="none"/>
          <w:lang w:val="en-US" w:eastAsia="zh-CN"/>
        </w:rPr>
        <w:t>施工期扬尘：施工期采取洒水等降尘措施，合理安排施工作业时间，减少对周围居民及大气环境的影响。</w:t>
      </w:r>
    </w:p>
    <w:p w14:paraId="635BE288">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水污染控制</w:t>
      </w:r>
    </w:p>
    <w:p w14:paraId="1D2EFD84">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本期机场高峰日用供水量为32.76m</w:t>
      </w:r>
      <w:r>
        <w:rPr>
          <w:rFonts w:hint="eastAsia" w:cs="Times New Roman"/>
          <w:color w:val="auto"/>
          <w:szCs w:val="21"/>
          <w:highlight w:val="none"/>
          <w:vertAlign w:val="superscript"/>
          <w:lang w:val="en-US" w:eastAsia="zh-CN"/>
        </w:rPr>
        <w:t>3</w:t>
      </w:r>
      <w:r>
        <w:rPr>
          <w:rFonts w:hint="eastAsia" w:cs="Times New Roman"/>
          <w:color w:val="auto"/>
          <w:szCs w:val="21"/>
          <w:highlight w:val="none"/>
          <w:lang w:val="en-US" w:eastAsia="zh-CN"/>
        </w:rPr>
        <w:t>/d，生活污水最大排放量以扣除锅炉房蒸发用水、绿化及浇洒道路用水量的90%计算，估算约为11.484m</w:t>
      </w:r>
      <w:r>
        <w:rPr>
          <w:rFonts w:hint="eastAsia" w:cs="Times New Roman"/>
          <w:color w:val="auto"/>
          <w:szCs w:val="21"/>
          <w:highlight w:val="none"/>
          <w:vertAlign w:val="superscript"/>
          <w:lang w:val="en-US" w:eastAsia="zh-CN"/>
        </w:rPr>
        <w:t>3</w:t>
      </w:r>
      <w:r>
        <w:rPr>
          <w:rFonts w:hint="eastAsia" w:cs="Times New Roman"/>
          <w:color w:val="auto"/>
          <w:szCs w:val="21"/>
          <w:highlight w:val="none"/>
          <w:lang w:val="en-US" w:eastAsia="zh-CN"/>
        </w:rPr>
        <w:t>/d。水量平衡图如下：</w:t>
      </w:r>
    </w:p>
    <w:p w14:paraId="6BEB55BD">
      <w:pPr>
        <w:pageBreakBefore w:val="0"/>
        <w:widowControl/>
        <w:kinsoku/>
        <w:wordWrap/>
        <w:overflowPunct/>
        <w:autoSpaceDE w:val="0"/>
        <w:autoSpaceDN w:val="0"/>
        <w:bidi w:val="0"/>
        <w:ind w:firstLine="480" w:firstLineChars="200"/>
        <w:jc w:val="both"/>
        <w:rPr>
          <w:rFonts w:hint="default" w:cs="Times New Roman"/>
          <w:color w:val="auto"/>
          <w:szCs w:val="21"/>
          <w:highlight w:val="none"/>
          <w:lang w:val="en-US" w:eastAsia="zh-CN"/>
        </w:rPr>
      </w:pPr>
      <w:r>
        <w:rPr>
          <w:rFonts w:hint="eastAsia" w:cs="Times New Roman"/>
          <w:color w:val="auto"/>
          <w:szCs w:val="21"/>
          <w:highlight w:val="none"/>
          <w:lang w:val="en-US" w:eastAsia="zh-CN"/>
        </w:rPr>
        <w:t>污水污染物主要有COD、BOD</w:t>
      </w:r>
      <w:r>
        <w:rPr>
          <w:rFonts w:hint="eastAsia" w:cs="Times New Roman"/>
          <w:color w:val="auto"/>
          <w:szCs w:val="21"/>
          <w:highlight w:val="none"/>
          <w:vertAlign w:val="subscript"/>
          <w:lang w:val="en-US" w:eastAsia="zh-CN"/>
        </w:rPr>
        <w:t>5</w:t>
      </w:r>
      <w:r>
        <w:rPr>
          <w:rFonts w:hint="eastAsia" w:cs="Times New Roman"/>
          <w:color w:val="auto"/>
          <w:szCs w:val="21"/>
          <w:highlight w:val="none"/>
          <w:lang w:val="en-US" w:eastAsia="zh-CN"/>
        </w:rPr>
        <w:t>、SS、油类等。生活污水中的粪便污水经化粪池预处理后并同其它生活污水交由机场新建污水处理站处理。生产废水主要有洗涤废水等排放的废水，经除渣隔油预处理后交由机场新建污水处理站处理。污水处理站建设内容如下：</w:t>
      </w:r>
    </w:p>
    <w:p w14:paraId="6C5182C5">
      <w:pPr>
        <w:pageBreakBefore w:val="0"/>
        <w:widowControl/>
        <w:numPr>
          <w:ilvl w:val="0"/>
          <w:numId w:val="13"/>
        </w:numPr>
        <w:kinsoku/>
        <w:wordWrap/>
        <w:overflowPunct/>
        <w:autoSpaceDE w:val="0"/>
        <w:autoSpaceDN w:val="0"/>
        <w:bidi w:val="0"/>
        <w:ind w:firstLine="480" w:firstLineChars="200"/>
        <w:jc w:val="left"/>
        <w:rPr>
          <w:rFonts w:hint="eastAsia" w:cs="Times New Roman"/>
          <w:b w:val="0"/>
          <w:bCs w:val="0"/>
          <w:color w:val="auto"/>
          <w:szCs w:val="21"/>
          <w:highlight w:val="none"/>
          <w:lang w:val="en-US" w:eastAsia="zh-CN"/>
        </w:rPr>
      </w:pPr>
      <w:r>
        <w:rPr>
          <w:rFonts w:hint="eastAsia" w:cs="Times New Roman"/>
          <w:b w:val="0"/>
          <w:bCs w:val="0"/>
          <w:color w:val="auto"/>
          <w:szCs w:val="21"/>
          <w:highlight w:val="none"/>
          <w:lang w:val="en-US" w:eastAsia="zh-CN"/>
        </w:rPr>
        <w:t>建设地点</w:t>
      </w:r>
    </w:p>
    <w:p w14:paraId="57AF6CBF">
      <w:pPr>
        <w:pageBreakBefore w:val="0"/>
        <w:widowControl/>
        <w:kinsoku/>
        <w:wordWrap/>
        <w:overflowPunct/>
        <w:autoSpaceDE w:val="0"/>
        <w:autoSpaceDN w:val="0"/>
        <w:bidi w:val="0"/>
        <w:ind w:firstLine="480" w:firstLineChars="200"/>
        <w:jc w:val="both"/>
        <w:rPr>
          <w:rFonts w:hint="default" w:cs="Times New Roman"/>
          <w:b w:val="0"/>
          <w:bCs w:val="0"/>
          <w:color w:val="auto"/>
          <w:szCs w:val="21"/>
          <w:highlight w:val="none"/>
          <w:lang w:val="en-US" w:eastAsia="zh-CN"/>
        </w:rPr>
      </w:pPr>
      <w:r>
        <w:rPr>
          <w:rFonts w:hint="eastAsia" w:cs="Times New Roman"/>
          <w:b w:val="0"/>
          <w:bCs w:val="0"/>
          <w:color w:val="auto"/>
          <w:szCs w:val="21"/>
          <w:highlight w:val="none"/>
          <w:lang w:val="en-US" w:eastAsia="zh-CN"/>
        </w:rPr>
        <w:t>污水处理站位于机场内，航站区东南角，北部为锅炉房及动力中心、东部及南部均为机场围界，西部为机库发展用地。</w:t>
      </w:r>
    </w:p>
    <w:p w14:paraId="4C9A2157">
      <w:pPr>
        <w:pageBreakBefore w:val="0"/>
        <w:widowControl/>
        <w:numPr>
          <w:ilvl w:val="0"/>
          <w:numId w:val="13"/>
        </w:numPr>
        <w:kinsoku/>
        <w:wordWrap/>
        <w:overflowPunct/>
        <w:autoSpaceDE w:val="0"/>
        <w:autoSpaceDN w:val="0"/>
        <w:bidi w:val="0"/>
        <w:ind w:firstLine="480" w:firstLineChars="200"/>
        <w:jc w:val="left"/>
        <w:rPr>
          <w:rFonts w:hint="eastAsia" w:cs="Times New Roman"/>
          <w:b w:val="0"/>
          <w:bCs w:val="0"/>
          <w:color w:val="auto"/>
          <w:szCs w:val="21"/>
          <w:highlight w:val="none"/>
          <w:lang w:val="en-US" w:eastAsia="zh-CN"/>
        </w:rPr>
      </w:pPr>
      <w:r>
        <w:rPr>
          <w:rFonts w:hint="eastAsia" w:cs="Times New Roman"/>
          <w:b w:val="0"/>
          <w:bCs w:val="0"/>
          <w:color w:val="auto"/>
          <w:szCs w:val="21"/>
          <w:highlight w:val="none"/>
          <w:lang w:val="en-US" w:eastAsia="zh-CN"/>
        </w:rPr>
        <w:t>建设内容</w:t>
      </w:r>
    </w:p>
    <w:p w14:paraId="53D03DC9">
      <w:pPr>
        <w:pageBreakBefore w:val="0"/>
        <w:widowControl/>
        <w:numPr>
          <w:ilvl w:val="0"/>
          <w:numId w:val="14"/>
        </w:numPr>
        <w:kinsoku/>
        <w:wordWrap/>
        <w:overflowPunct/>
        <w:autoSpaceDE w:val="0"/>
        <w:autoSpaceDN w:val="0"/>
        <w:bidi w:val="0"/>
        <w:ind w:firstLine="480" w:firstLineChars="200"/>
        <w:jc w:val="both"/>
        <w:rPr>
          <w:rFonts w:hint="eastAsia" w:cs="Times New Roman"/>
          <w:b w:val="0"/>
          <w:bCs w:val="0"/>
          <w:color w:val="auto"/>
          <w:szCs w:val="21"/>
          <w:highlight w:val="none"/>
          <w:lang w:val="en-US" w:eastAsia="zh-CN"/>
        </w:rPr>
      </w:pPr>
      <w:r>
        <w:rPr>
          <w:rFonts w:hint="eastAsia" w:cs="Times New Roman"/>
          <w:b w:val="0"/>
          <w:bCs w:val="0"/>
          <w:color w:val="auto"/>
          <w:szCs w:val="21"/>
          <w:highlight w:val="none"/>
          <w:lang w:val="en-US" w:eastAsia="zh-CN"/>
        </w:rPr>
        <w:t>污水处理设施</w:t>
      </w:r>
    </w:p>
    <w:p w14:paraId="2C81D55D">
      <w:pPr>
        <w:pageBreakBefore w:val="0"/>
        <w:widowControl/>
        <w:kinsoku/>
        <w:wordWrap/>
        <w:overflowPunct/>
        <w:autoSpaceDE w:val="0"/>
        <w:autoSpaceDN w:val="0"/>
        <w:bidi w:val="0"/>
        <w:ind w:firstLine="480" w:firstLineChars="200"/>
        <w:jc w:val="both"/>
        <w:rPr>
          <w:rFonts w:hint="eastAsia" w:cs="Times New Roman"/>
          <w:b w:val="0"/>
          <w:bCs w:val="0"/>
          <w:color w:val="auto"/>
          <w:szCs w:val="21"/>
          <w:highlight w:val="none"/>
          <w:lang w:val="en-US" w:eastAsia="zh-CN"/>
        </w:rPr>
      </w:pPr>
      <w:r>
        <w:rPr>
          <w:rFonts w:hint="eastAsia" w:cs="Times New Roman"/>
          <w:b w:val="0"/>
          <w:bCs w:val="0"/>
          <w:color w:val="auto"/>
          <w:szCs w:val="21"/>
          <w:highlight w:val="none"/>
          <w:lang w:val="en-US" w:eastAsia="zh-CN"/>
        </w:rPr>
        <w:t>污水处理站建设一套一体化MBR污水处理设施，处理能力为5m</w:t>
      </w:r>
      <w:r>
        <w:rPr>
          <w:rFonts w:hint="eastAsia" w:cs="Times New Roman"/>
          <w:b w:val="0"/>
          <w:bCs w:val="0"/>
          <w:color w:val="auto"/>
          <w:szCs w:val="21"/>
          <w:highlight w:val="none"/>
          <w:vertAlign w:val="superscript"/>
          <w:lang w:val="en-US" w:eastAsia="zh-CN"/>
        </w:rPr>
        <w:t>3</w:t>
      </w:r>
      <w:r>
        <w:rPr>
          <w:rFonts w:hint="eastAsia" w:cs="Times New Roman"/>
          <w:b w:val="0"/>
          <w:bCs w:val="0"/>
          <w:color w:val="auto"/>
          <w:szCs w:val="21"/>
          <w:highlight w:val="none"/>
          <w:lang w:val="en-US" w:eastAsia="zh-CN"/>
        </w:rPr>
        <w:t>/h，包括格栅井、调节池、缺氧池、MBR池、设备药剂间等。</w:t>
      </w:r>
    </w:p>
    <w:p w14:paraId="2507A0EA">
      <w:pPr>
        <w:pageBreakBefore w:val="0"/>
        <w:widowControl/>
        <w:numPr>
          <w:ilvl w:val="0"/>
          <w:numId w:val="14"/>
        </w:numPr>
        <w:kinsoku/>
        <w:wordWrap/>
        <w:overflowPunct/>
        <w:autoSpaceDE w:val="0"/>
        <w:autoSpaceDN w:val="0"/>
        <w:bidi w:val="0"/>
        <w:ind w:firstLine="480" w:firstLineChars="200"/>
        <w:jc w:val="both"/>
        <w:rPr>
          <w:rFonts w:hint="eastAsia" w:cs="Times New Roman"/>
          <w:b w:val="0"/>
          <w:bCs w:val="0"/>
          <w:color w:val="auto"/>
          <w:szCs w:val="21"/>
          <w:highlight w:val="none"/>
          <w:lang w:val="en-US" w:eastAsia="zh-CN"/>
        </w:rPr>
      </w:pPr>
      <w:r>
        <w:rPr>
          <w:rFonts w:hint="eastAsia" w:cs="Times New Roman"/>
          <w:b w:val="0"/>
          <w:bCs w:val="0"/>
          <w:color w:val="auto"/>
          <w:szCs w:val="21"/>
          <w:highlight w:val="none"/>
          <w:lang w:val="en-US" w:eastAsia="zh-CN"/>
        </w:rPr>
        <w:t>中水处理设备</w:t>
      </w:r>
    </w:p>
    <w:p w14:paraId="61148663">
      <w:pPr>
        <w:pageBreakBefore w:val="0"/>
        <w:widowControl/>
        <w:kinsoku/>
        <w:wordWrap/>
        <w:overflowPunct/>
        <w:autoSpaceDE w:val="0"/>
        <w:autoSpaceDN w:val="0"/>
        <w:bidi w:val="0"/>
        <w:ind w:firstLine="480" w:firstLineChars="200"/>
        <w:jc w:val="both"/>
        <w:rPr>
          <w:rFonts w:hint="eastAsia" w:cs="Times New Roman"/>
          <w:b w:val="0"/>
          <w:bCs w:val="0"/>
          <w:color w:val="auto"/>
          <w:szCs w:val="21"/>
          <w:highlight w:val="none"/>
          <w:lang w:val="en-US" w:eastAsia="zh-CN"/>
        </w:rPr>
      </w:pPr>
      <w:r>
        <w:rPr>
          <w:rFonts w:hint="eastAsia" w:cs="Times New Roman"/>
          <w:b w:val="0"/>
          <w:bCs w:val="0"/>
          <w:color w:val="auto"/>
          <w:szCs w:val="21"/>
          <w:highlight w:val="none"/>
          <w:lang w:val="en-US" w:eastAsia="zh-CN"/>
        </w:rPr>
        <w:t>污水处理站内还将建设中水处理设备，以污水处理站出水作为中水原水，经中水处理设备深度处理，达到中水用水水质标准之后进行回用。</w:t>
      </w:r>
    </w:p>
    <w:p w14:paraId="25699339">
      <w:pPr>
        <w:pageBreakBefore w:val="0"/>
        <w:widowControl/>
        <w:numPr>
          <w:ilvl w:val="0"/>
          <w:numId w:val="14"/>
        </w:numPr>
        <w:kinsoku/>
        <w:wordWrap/>
        <w:overflowPunct/>
        <w:autoSpaceDE w:val="0"/>
        <w:autoSpaceDN w:val="0"/>
        <w:bidi w:val="0"/>
        <w:ind w:firstLine="480" w:firstLineChars="200"/>
        <w:jc w:val="both"/>
        <w:rPr>
          <w:rFonts w:hint="eastAsia" w:cs="Times New Roman"/>
          <w:b w:val="0"/>
          <w:bCs w:val="0"/>
          <w:color w:val="auto"/>
          <w:szCs w:val="21"/>
          <w:highlight w:val="none"/>
          <w:lang w:val="en-US" w:eastAsia="zh-CN"/>
        </w:rPr>
      </w:pPr>
      <w:r>
        <w:rPr>
          <w:rFonts w:hint="eastAsia" w:cs="Times New Roman"/>
          <w:b w:val="0"/>
          <w:bCs w:val="0"/>
          <w:color w:val="auto"/>
          <w:szCs w:val="21"/>
          <w:highlight w:val="none"/>
          <w:lang w:val="en-US" w:eastAsia="zh-CN"/>
        </w:rPr>
        <w:t>中水池</w:t>
      </w:r>
    </w:p>
    <w:p w14:paraId="5254A302">
      <w:pPr>
        <w:pageBreakBefore w:val="0"/>
        <w:widowControl/>
        <w:kinsoku/>
        <w:wordWrap/>
        <w:overflowPunct/>
        <w:autoSpaceDE w:val="0"/>
        <w:autoSpaceDN w:val="0"/>
        <w:bidi w:val="0"/>
        <w:ind w:firstLine="480" w:firstLineChars="200"/>
        <w:jc w:val="both"/>
        <w:rPr>
          <w:rFonts w:hint="eastAsia" w:cs="Times New Roman"/>
          <w:b w:val="0"/>
          <w:bCs w:val="0"/>
          <w:color w:val="auto"/>
          <w:szCs w:val="21"/>
          <w:highlight w:val="none"/>
          <w:lang w:val="en-US" w:eastAsia="zh-CN"/>
        </w:rPr>
      </w:pPr>
      <w:r>
        <w:rPr>
          <w:rFonts w:hint="eastAsia" w:cs="Times New Roman"/>
          <w:b w:val="0"/>
          <w:bCs w:val="0"/>
          <w:color w:val="auto"/>
          <w:szCs w:val="21"/>
          <w:highlight w:val="none"/>
          <w:lang w:val="en-US" w:eastAsia="zh-CN"/>
        </w:rPr>
        <w:t>新建一座2000m³中水池，中水池调节容量按180天考虑。用于储存处理后的中水，达到零排放，多余部分由雨水集渗池提供。中水池采用2000m³埋地式钢筋混凝土水池，分两格设置，以便于排空清洗。</w:t>
      </w:r>
    </w:p>
    <w:p w14:paraId="61372F4E">
      <w:pPr>
        <w:pageBreakBefore w:val="0"/>
        <w:widowControl/>
        <w:numPr>
          <w:ilvl w:val="0"/>
          <w:numId w:val="13"/>
        </w:numPr>
        <w:kinsoku/>
        <w:wordWrap/>
        <w:overflowPunct/>
        <w:autoSpaceDE w:val="0"/>
        <w:autoSpaceDN w:val="0"/>
        <w:bidi w:val="0"/>
        <w:ind w:firstLine="480" w:firstLineChars="200"/>
        <w:jc w:val="left"/>
        <w:rPr>
          <w:rFonts w:hint="eastAsia" w:cs="Times New Roman"/>
          <w:b w:val="0"/>
          <w:bCs w:val="0"/>
          <w:color w:val="auto"/>
          <w:szCs w:val="21"/>
          <w:highlight w:val="none"/>
          <w:lang w:val="en-US" w:eastAsia="zh-CN"/>
        </w:rPr>
      </w:pPr>
      <w:r>
        <w:rPr>
          <w:rFonts w:hint="eastAsia" w:cs="Times New Roman"/>
          <w:b w:val="0"/>
          <w:bCs w:val="0"/>
          <w:color w:val="auto"/>
          <w:szCs w:val="21"/>
          <w:highlight w:val="none"/>
          <w:lang w:val="en-US" w:eastAsia="zh-CN"/>
        </w:rPr>
        <w:t>处理工艺</w:t>
      </w:r>
    </w:p>
    <w:p w14:paraId="1A243D44">
      <w:pPr>
        <w:pageBreakBefore w:val="0"/>
        <w:widowControl/>
        <w:kinsoku/>
        <w:wordWrap/>
        <w:overflowPunct/>
        <w:autoSpaceDE w:val="0"/>
        <w:autoSpaceDN w:val="0"/>
        <w:bidi w:val="0"/>
        <w:ind w:firstLine="480" w:firstLineChars="200"/>
        <w:jc w:val="both"/>
        <w:rPr>
          <w:rFonts w:hint="eastAsia" w:cs="Times New Roman"/>
          <w:b w:val="0"/>
          <w:bCs w:val="0"/>
          <w:color w:val="auto"/>
          <w:szCs w:val="21"/>
          <w:highlight w:val="none"/>
          <w:lang w:val="en-US" w:eastAsia="zh-CN"/>
        </w:rPr>
      </w:pPr>
      <w:r>
        <w:rPr>
          <w:rFonts w:hint="eastAsia" w:cs="Times New Roman"/>
          <w:b w:val="0"/>
          <w:bCs w:val="0"/>
          <w:color w:val="auto"/>
          <w:szCs w:val="21"/>
          <w:highlight w:val="none"/>
          <w:lang w:val="en-US" w:eastAsia="zh-CN"/>
        </w:rPr>
        <w:t>污水处理站采用生化处理工艺，处理后的中水采用“冬储夏灌”的</w:t>
      </w:r>
      <w:r>
        <w:rPr>
          <w:rFonts w:hint="eastAsia" w:cs="Times New Roman"/>
          <w:color w:val="auto"/>
          <w:szCs w:val="21"/>
          <w:highlight w:val="none"/>
          <w:lang w:val="en-US" w:eastAsia="zh-CN"/>
        </w:rPr>
        <w:t>方式，用于机场绿化、路面冲洗等</w:t>
      </w:r>
      <w:r>
        <w:rPr>
          <w:rFonts w:hint="eastAsia" w:cs="Times New Roman"/>
          <w:b w:val="0"/>
          <w:bCs w:val="0"/>
          <w:color w:val="auto"/>
          <w:szCs w:val="21"/>
          <w:highlight w:val="none"/>
          <w:lang w:val="en-US" w:eastAsia="zh-CN"/>
        </w:rPr>
        <w:t>。处理后的污水水质执行《城市污水再生利用 城市杂用水水质》（GB/T18920-2020）中相应回用水水质标准。</w:t>
      </w:r>
    </w:p>
    <w:p w14:paraId="6FAE5632">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固体废物处理处置</w:t>
      </w:r>
    </w:p>
    <w:p w14:paraId="199ACD96">
      <w:pPr>
        <w:pageBreakBefore w:val="0"/>
        <w:widowControl/>
        <w:kinsoku/>
        <w:wordWrap/>
        <w:overflowPunct/>
        <w:autoSpaceDE w:val="0"/>
        <w:autoSpaceDN w:val="0"/>
        <w:bidi w:val="0"/>
        <w:ind w:firstLine="480" w:firstLineChars="200"/>
        <w:jc w:val="both"/>
        <w:rPr>
          <w:rFonts w:hint="default" w:cs="Times New Roman"/>
          <w:color w:val="auto"/>
          <w:szCs w:val="21"/>
          <w:highlight w:val="none"/>
          <w:lang w:val="en-US" w:eastAsia="zh-CN"/>
        </w:rPr>
      </w:pPr>
      <w:r>
        <w:rPr>
          <w:rFonts w:hint="eastAsia" w:cs="Times New Roman"/>
          <w:color w:val="auto"/>
          <w:szCs w:val="21"/>
          <w:highlight w:val="none"/>
          <w:lang w:val="en-US" w:eastAsia="zh-CN"/>
        </w:rPr>
        <w:t>项目本期目标年固体废物主要以机场旅客人员及工作人员产生的垃圾为主，项目新建垃圾收集站一处，面积为50m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位于一体化污水处理站东侧。航空垃圾、生活垃圾在垃圾站分类收集后定期通过垃圾运输车拉运处置。污水处理站污泥委托场外有处置能力的单位进行减量化、无害化处置。危险废物委托有资质的单位拉运、处置。</w:t>
      </w:r>
    </w:p>
    <w:p w14:paraId="61A59922">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噪声污染防治</w:t>
      </w:r>
    </w:p>
    <w:p w14:paraId="19967542">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航空器噪声：航空器起飞、降落时产生的噪声将对机场周边声环境产生一定程度的影响。采用计权有效连续感觉噪声级计算模式，进行多种方法计算，绘出飞机噪声等值线图。并就经生态环境主管部门评审后的飞机噪声等值线图，对各声级下的人口分布、建设规划作出相应的对策和措施。</w:t>
      </w:r>
    </w:p>
    <w:p w14:paraId="258D763A">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机动车噪声：进出机场的机动车将给机场及周围环境带来一定的噪声影响。在机场内设置路障，限制车流量和车速，控制车辆通行时间，在基地内设置禁鸣喇叭区。</w:t>
      </w:r>
    </w:p>
    <w:p w14:paraId="55EE4F3B">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在机坪周围的重要建筑物做隔音处理。绿化能有效减低噪声污染，项目计划在机场靠近噪声源的一侧，在不影响机场净空要求的前提下，种植噪声防护林，以减少航空噪声的影响。</w:t>
      </w:r>
    </w:p>
    <w:p w14:paraId="6F666656">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环境风险防控</w:t>
      </w:r>
    </w:p>
    <w:p w14:paraId="1CDB0F0E">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按要求编制机场突发环境事件应急预案，并在当地生态环境主管部门备案，以切实加强环境风险源的监控和防范措施，减小伴随的环境影响。</w:t>
      </w:r>
    </w:p>
    <w:p w14:paraId="29E8178B">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做好防鸟措施，对于机场周围鸟害可能发生的区域，以机场校准点为圆心，分别以8km、5km和3km为半径，划分为C1、B1、A1三个区域。C1区：不允许种植易于吸引鸟类的植物；B1区：不允许种植易于吸引鸟类的植物；不宜养殖家禽和放养家畜；如需要养殖，应以圈养为主；慎重处理水塘、鱼塘和垃圾处理站。A1区：不允许种植易于吸引鸟类的植物；不宜养殖家禽和放养家畜；慎重处理水塘、鱼塘和垃圾处理站，建议不在此区内建设平屋顶建筑物，以免屋顶积水，吸引鸟类。</w:t>
      </w:r>
    </w:p>
    <w:p w14:paraId="62F5708F">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生态保护修复工程</w:t>
      </w:r>
    </w:p>
    <w:p w14:paraId="00713519">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机场坚持“因地制宜”的原则，选择当地多年种植已适应环境的优良的植被，对机场场地进行绿化，可以美化环境、改善生态环境质量。结合机场区域的自然环境，选择适合当地气候、土壤条件的乡土植物，按照不同目的和机场不同区域的功能，做到点（各建筑单体附近的小块绿地）、线（各类交通道路两侧的林荫道、绿化带）、面（集中在航站区的大块绿地）相结合，精心配置，以达到良好的绿化效果。利用生态学的基本原理和方法，做好驱鸟工作，采用减少营巢、切断食物源、水源、干扰鸟类活动等方法，达到减少机场鸟类种类、数量和防范鸟撞的目的；加强机场飞行区草坪的管理，定期修剪，减少鸟类食源；制订全年鸟击防范工作计划，针对每个季节不同鸟种制定不同的驱鸟措施，尤其要对春秋季节重点威胁类群做出明确的防范措施；加强驱鸟设备的及时更新维护。</w:t>
      </w:r>
    </w:p>
    <w:p w14:paraId="448F8928">
      <w:pPr>
        <w:pageBreakBefore w:val="0"/>
        <w:widowControl/>
        <w:kinsoku/>
        <w:wordWrap/>
        <w:overflowPunct/>
        <w:autoSpaceDE w:val="0"/>
        <w:autoSpaceDN w:val="0"/>
        <w:bidi w:val="0"/>
        <w:ind w:firstLine="480" w:firstLineChars="200"/>
        <w:jc w:val="both"/>
        <w:rPr>
          <w:rFonts w:hint="eastAsia" w:cs="Times New Roman"/>
          <w:color w:val="auto"/>
          <w:szCs w:val="21"/>
          <w:highlight w:val="none"/>
          <w:vertAlign w:val="baseline"/>
          <w:lang w:val="en-US" w:eastAsia="zh-CN"/>
        </w:rPr>
      </w:pPr>
      <w:r>
        <w:rPr>
          <w:rFonts w:hint="eastAsia" w:cs="Times New Roman"/>
          <w:color w:val="auto"/>
          <w:szCs w:val="21"/>
          <w:highlight w:val="none"/>
          <w:lang w:val="en-US" w:eastAsia="zh-CN"/>
        </w:rPr>
        <w:t>本期工程预计航站区绿化面积12000m</w:t>
      </w:r>
      <w:r>
        <w:rPr>
          <w:rFonts w:hint="eastAsia" w:cs="Times New Roman"/>
          <w:color w:val="auto"/>
          <w:szCs w:val="21"/>
          <w:highlight w:val="none"/>
          <w:vertAlign w:val="superscript"/>
          <w:lang w:val="en-US" w:eastAsia="zh-CN"/>
        </w:rPr>
        <w:t>2</w:t>
      </w:r>
      <w:r>
        <w:rPr>
          <w:rFonts w:hint="eastAsia" w:cs="Times New Roman"/>
          <w:color w:val="auto"/>
          <w:szCs w:val="21"/>
          <w:highlight w:val="none"/>
          <w:vertAlign w:val="baseline"/>
          <w:lang w:val="en-US" w:eastAsia="zh-CN"/>
        </w:rPr>
        <w:t>。</w:t>
      </w:r>
    </w:p>
    <w:p w14:paraId="66C4AD46">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供油</w:t>
      </w:r>
      <w:r>
        <w:rPr>
          <w:rFonts w:hint="eastAsia" w:ascii="Times New Roman" w:hAnsi="Times New Roman" w:eastAsia="黑体" w:cs="Times New Roman"/>
          <w:color w:val="auto"/>
          <w:spacing w:val="0"/>
          <w:kern w:val="2"/>
          <w:sz w:val="28"/>
          <w:szCs w:val="28"/>
          <w:highlight w:val="none"/>
          <w:lang w:val="en-US" w:eastAsia="zh-CN" w:bidi="ar-SA"/>
        </w:rPr>
        <w:t>工程</w:t>
      </w:r>
    </w:p>
    <w:p w14:paraId="2E0C63DC">
      <w:pPr>
        <w:pageBreakBefore w:val="0"/>
        <w:widowControl/>
        <w:kinsoku/>
        <w:wordWrap/>
        <w:overflowPunct/>
        <w:autoSpaceDE w:val="0"/>
        <w:autoSpaceDN w:val="0"/>
        <w:bidi w:val="0"/>
        <w:ind w:firstLine="480" w:firstLineChars="200"/>
        <w:jc w:val="both"/>
        <w:rPr>
          <w:rFonts w:hint="default" w:cs="Times New Roman"/>
          <w:color w:val="auto"/>
          <w:szCs w:val="21"/>
          <w:highlight w:val="none"/>
          <w:vertAlign w:val="baseline"/>
          <w:lang w:val="en-US" w:eastAsia="zh-CN"/>
        </w:rPr>
      </w:pPr>
      <w:r>
        <w:rPr>
          <w:rFonts w:hint="eastAsia" w:cs="Times New Roman"/>
          <w:color w:val="auto"/>
          <w:szCs w:val="21"/>
          <w:highlight w:val="none"/>
          <w:vertAlign w:val="baseline"/>
          <w:lang w:val="en-US" w:eastAsia="zh-CN"/>
        </w:rPr>
        <w:t>本项目不涉及铁路装卸油站（装卸油码头）、中转油库以及储油库、机场油库、航空加油站、输油管线和汽车加油站等设施，仅在站坪东北侧建设一座油车棚。本期在油车棚配置2辆罐式加油车（1辆10000L罐式加油车，1辆25000L罐式加油车）进行油料保障及储存使用。油品为航空煤油。周转量预计2030年加油量为579t/a，约合742m³；2050年加油量为1587t/a，约合2035m³。</w:t>
      </w:r>
    </w:p>
    <w:p w14:paraId="4EC5C5CB">
      <w:pPr>
        <w:pageBreakBefore w:val="0"/>
        <w:widowControl/>
        <w:kinsoku/>
        <w:wordWrap/>
        <w:overflowPunct/>
        <w:autoSpaceDE w:val="0"/>
        <w:autoSpaceDN w:val="0"/>
        <w:bidi w:val="0"/>
        <w:ind w:firstLine="480" w:firstLineChars="200"/>
        <w:jc w:val="both"/>
        <w:rPr>
          <w:rFonts w:hint="default" w:cs="Times New Roman"/>
          <w:color w:val="auto"/>
          <w:szCs w:val="21"/>
          <w:highlight w:val="none"/>
          <w:lang w:val="en-US" w:eastAsia="zh-CN"/>
        </w:rPr>
      </w:pPr>
      <w:r>
        <w:rPr>
          <w:rFonts w:hint="eastAsia" w:cs="Times New Roman"/>
          <w:color w:val="auto"/>
          <w:szCs w:val="21"/>
          <w:highlight w:val="none"/>
          <w:vertAlign w:val="baseline"/>
          <w:lang w:val="en-US" w:eastAsia="zh-CN"/>
        </w:rPr>
        <w:t>机场距离县城较近，且机场车辆较少，汽车加油由当地社会加油站解决，本期机场不单独建设汽车加油站。</w:t>
      </w:r>
    </w:p>
    <w:p w14:paraId="3C7298BA">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依托工程</w:t>
      </w:r>
    </w:p>
    <w:p w14:paraId="4576C946">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精河县城镇垃圾场</w:t>
      </w:r>
    </w:p>
    <w:p w14:paraId="1826DF4F">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本项目航空垃圾、生活垃圾等依托精河县城镇垃圾场进行处置。精河县城镇垃圾场由精河县滨河乡都城乡建设投资有限公司建设。于2017年10月16日取得《关于博州精河县城镇垃圾场建设项目环境影响报告书的批复》（博州环评字〔2017〕46号），并于2019年9月14日完成自主验收。</w:t>
      </w:r>
    </w:p>
    <w:p w14:paraId="37128788">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精河县城镇垃圾场位于精河县城西南约10公里，G30连霍高速八家户收费站南侧约850m的砂石料场采料坑处，距离本项目约8.2km。垃圾场总占地25.64×10</w:t>
      </w:r>
      <w:r>
        <w:rPr>
          <w:rFonts w:hint="eastAsia" w:cs="Times New Roman"/>
          <w:color w:val="auto"/>
          <w:szCs w:val="21"/>
          <w:highlight w:val="none"/>
          <w:vertAlign w:val="superscript"/>
          <w:lang w:val="en-US" w:eastAsia="zh-CN"/>
        </w:rPr>
        <w:t>4</w:t>
      </w:r>
      <w:r>
        <w:rPr>
          <w:rFonts w:hint="eastAsia" w:cs="Times New Roman"/>
          <w:color w:val="auto"/>
          <w:szCs w:val="21"/>
          <w:highlight w:val="none"/>
          <w:lang w:val="en-US" w:eastAsia="zh-CN"/>
        </w:rPr>
        <w:t>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，有效库容200×10</w:t>
      </w:r>
      <w:r>
        <w:rPr>
          <w:rFonts w:hint="eastAsia" w:cs="Times New Roman"/>
          <w:color w:val="auto"/>
          <w:szCs w:val="21"/>
          <w:highlight w:val="none"/>
          <w:vertAlign w:val="superscript"/>
          <w:lang w:val="en-US" w:eastAsia="zh-CN"/>
        </w:rPr>
        <w:t>4</w:t>
      </w:r>
      <w:r>
        <w:rPr>
          <w:rFonts w:hint="eastAsia" w:cs="Times New Roman"/>
          <w:color w:val="auto"/>
          <w:szCs w:val="21"/>
          <w:highlight w:val="none"/>
          <w:lang w:val="en-US" w:eastAsia="zh-CN"/>
        </w:rPr>
        <w:t>m</w:t>
      </w:r>
      <w:r>
        <w:rPr>
          <w:rFonts w:hint="eastAsia" w:cs="Times New Roman"/>
          <w:color w:val="auto"/>
          <w:szCs w:val="21"/>
          <w:highlight w:val="none"/>
          <w:vertAlign w:val="superscript"/>
          <w:lang w:val="en-US" w:eastAsia="zh-CN"/>
        </w:rPr>
        <w:t>3</w:t>
      </w:r>
      <w:r>
        <w:rPr>
          <w:rFonts w:hint="eastAsia" w:cs="Times New Roman"/>
          <w:color w:val="auto"/>
          <w:szCs w:val="21"/>
          <w:highlight w:val="none"/>
          <w:lang w:val="en-US" w:eastAsia="zh-CN"/>
        </w:rPr>
        <w:t>，目前日处理垃圾200t/d，2030年预计日处理垃圾量290t/d，设计使用年限为15年。项目本期航空垃圾、生活垃圾产生量为6.7374t/a（约合0.018t/d），精河县城镇垃圾场余量充足，可以满足本期固废处理需求。</w:t>
      </w:r>
    </w:p>
    <w:p w14:paraId="0E82032D">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进场道路</w:t>
      </w:r>
    </w:p>
    <w:p w14:paraId="041F1D9E">
      <w:pPr>
        <w:pageBreakBefore w:val="0"/>
        <w:widowControl/>
        <w:kinsoku/>
        <w:wordWrap/>
        <w:overflowPunct/>
        <w:autoSpaceDE w:val="0"/>
        <w:autoSpaceDN w:val="0"/>
        <w:bidi w:val="0"/>
        <w:ind w:firstLine="480" w:firstLineChars="200"/>
        <w:jc w:val="both"/>
        <w:rPr>
          <w:rFonts w:hint="default" w:cs="Times New Roman"/>
          <w:color w:val="auto"/>
          <w:szCs w:val="21"/>
          <w:highlight w:val="none"/>
          <w:lang w:val="en-US" w:eastAsia="zh-CN"/>
        </w:rPr>
      </w:pPr>
      <w:r>
        <w:rPr>
          <w:rFonts w:hint="eastAsia" w:cs="Times New Roman"/>
          <w:color w:val="auto"/>
          <w:szCs w:val="21"/>
          <w:highlight w:val="none"/>
          <w:lang w:val="en-US" w:eastAsia="zh-CN"/>
        </w:rPr>
        <w:t>进场道路属场外配套工程，由地方配套。单独立项有《博州精河县机场大道建设项目》，总投资9496.58万元，建设单位为精河县交通运输局，于2022年11月20日开工，并于2023年10月竣工。进场道路起点为乌伊路、终点为本项目新建机场，长度为7.54km，道路红线为18m。</w:t>
      </w:r>
    </w:p>
    <w:p w14:paraId="0D2F4FA3">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净空处理</w:t>
      </w:r>
    </w:p>
    <w:p w14:paraId="29752B56">
      <w:pPr>
        <w:pageBreakBefore w:val="0"/>
        <w:widowControl/>
        <w:kinsoku/>
        <w:wordWrap/>
        <w:overflowPunct/>
        <w:autoSpaceDE w:val="0"/>
        <w:autoSpaceDN w:val="0"/>
        <w:bidi w:val="0"/>
        <w:ind w:firstLine="480" w:firstLineChars="200"/>
        <w:jc w:val="both"/>
        <w:rPr>
          <w:rFonts w:hint="default" w:cs="Times New Roman"/>
          <w:color w:val="auto"/>
          <w:szCs w:val="24"/>
          <w:highlight w:val="none"/>
          <w:lang w:val="en-US" w:eastAsia="zh-CN"/>
        </w:rPr>
      </w:pPr>
      <w:r>
        <w:rPr>
          <w:rFonts w:hint="eastAsia" w:cs="Times New Roman"/>
          <w:color w:val="auto"/>
          <w:szCs w:val="24"/>
          <w:highlight w:val="none"/>
          <w:lang w:val="en-US" w:eastAsia="zh-CN"/>
        </w:rPr>
        <w:t>本项目不涉及净空处理。</w:t>
      </w:r>
    </w:p>
    <w:p w14:paraId="50444C6E">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场址周边地势平坦，无自然障碍物超高。东西两侧分别存在110kV（皇三一线）高压线塔与220kV（莫皇线）高压线塔，南侧存在35kV高压线、110kV高压线，均不超出场址障碍物限制面，航行评估分析对本场起降无影响。经评估存在通讯塔超出场址障碍物限制，通过进一步航行评估，人工障碍物对航行安全无影响。</w:t>
      </w:r>
    </w:p>
    <w:p w14:paraId="7A82DFC9">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根据设计资料，机场周边林木高度均满足机场功能障碍物限制高度要求，无需处理，机场通航后净空管理由地方相关部门按净空控制要求落实周边建、构筑物以及林木等的高度控制。</w:t>
      </w:r>
    </w:p>
    <w:p w14:paraId="462BB72F">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施工组织</w:t>
      </w:r>
    </w:p>
    <w:p w14:paraId="60A1137D">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施工方式</w:t>
      </w:r>
    </w:p>
    <w:p w14:paraId="3744E417">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（1）场地平整</w:t>
      </w:r>
    </w:p>
    <w:p w14:paraId="1EAD7859">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场地平整采用机械为主、人工为辅的施工方法。</w:t>
      </w:r>
    </w:p>
    <w:p w14:paraId="4521062B">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跑道南端以北430m范围内由南向北降坡0.50%，剩余部分跑道由南向北降坡0.45%；跑道横坡采用双面坡，坡度1.2%，站坪综合坡度0.5%。土面区纵坡随跑道纵坡变化，横坡1.6%。跑道北端、中部为填方区，南端基本为挖方区，其余区域为填方区，场区雨水自南向北排入场区北侧排水渠。并对飞行区土面区表面覆盖15cm天然砂砾石。</w:t>
      </w:r>
    </w:p>
    <w:p w14:paraId="2EE05E94">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（2）地基处理</w:t>
      </w:r>
    </w:p>
    <w:p w14:paraId="7B03357E">
      <w:pPr>
        <w:pageBreakBefore w:val="0"/>
        <w:widowControl/>
        <w:kinsoku/>
        <w:wordWrap/>
        <w:overflowPunct/>
        <w:autoSpaceDE w:val="0"/>
        <w:autoSpaceDN w:val="0"/>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根据勘察报告，场地不存在滑坡、危岩和崩塌等不良地质现象。项目区道槽底设计标高下0.8m深度范围内进行隔盐处理，采用土工布包裹砂砾石以达到隔盐效果：即在槽底设计标高下0.8m处设置“两布一膜”的复合土工布，并在土工布上由下至上分别铺设0.03m厚细砂、0.27m厚级配砂砾石、0.5m厚天然级配砂砾石，并用复合土工布将其侧壁包裹，在整个地基处理范围内形成连续的防水隔断层，共需铺设隔断层11.51×10</w:t>
      </w:r>
      <w:r>
        <w:rPr>
          <w:rFonts w:hint="eastAsia" w:cs="Times New Roman"/>
          <w:color w:val="auto"/>
          <w:szCs w:val="21"/>
          <w:highlight w:val="none"/>
          <w:vertAlign w:val="superscript"/>
          <w:lang w:val="en-US" w:eastAsia="zh-CN"/>
        </w:rPr>
        <w:t>4</w:t>
      </w:r>
      <w:r>
        <w:rPr>
          <w:rFonts w:hint="eastAsia" w:cs="Times New Roman"/>
          <w:color w:val="auto"/>
          <w:szCs w:val="21"/>
          <w:highlight w:val="none"/>
          <w:lang w:val="en-US" w:eastAsia="zh-CN"/>
        </w:rPr>
        <w:t>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w:t>
      </w:r>
    </w:p>
    <w:p w14:paraId="555E848E">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地基处理顺序：清表或挖除土方至冲击碾压标高→冲击碾压→分层回填碾压风积沙至槽底标高→铺设复合土工膜→道面结构施工道面工程。</w:t>
      </w:r>
    </w:p>
    <w:p w14:paraId="2D031FCD">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（3）排水工程</w:t>
      </w:r>
    </w:p>
    <w:p w14:paraId="78A8233F">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场地排水边坡防护以人工施工为主，浆砌片石结构。施工工序为：放线→人工基础开挖→人工砌石→勾缝抹面。</w:t>
      </w:r>
    </w:p>
    <w:p w14:paraId="1383E0C4">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（4）房屋建筑工程</w:t>
      </w:r>
    </w:p>
    <w:p w14:paraId="73692548">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房屋建筑工程的基础开挖部分以机械施工为主，适当辅以人工施工，混凝土工程以机械施工为主，砌体工程以人工施工为主，机械为辅。</w:t>
      </w:r>
    </w:p>
    <w:p w14:paraId="13E9622F">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施工时序和周期</w:t>
      </w:r>
    </w:p>
    <w:p w14:paraId="61F6B8A8">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（1）前期阶段（至2025年6月）</w:t>
      </w:r>
    </w:p>
    <w:p w14:paraId="034EB10F">
      <w:pPr>
        <w:pageBreakBefore w:val="0"/>
        <w:widowControl/>
        <w:kinsoku/>
        <w:wordWrap/>
        <w:overflowPunct/>
        <w:autoSpaceDE w:val="0"/>
        <w:autoSpaceDN w:val="0"/>
        <w:bidi w:val="0"/>
        <w:ind w:firstLine="480" w:firstLineChars="200"/>
        <w:jc w:val="left"/>
        <w:rPr>
          <w:rFonts w:hint="eastAsia" w:cs="Times New Roman"/>
          <w:color w:val="auto"/>
          <w:sz w:val="24"/>
          <w:szCs w:val="21"/>
          <w:highlight w:val="none"/>
          <w:lang w:val="en-US" w:eastAsia="zh-CN"/>
        </w:rPr>
      </w:pPr>
      <w:r>
        <w:rPr>
          <w:rFonts w:hint="eastAsia" w:cs="Times New Roman"/>
          <w:color w:val="auto"/>
          <w:sz w:val="24"/>
          <w:szCs w:val="21"/>
          <w:highlight w:val="none"/>
          <w:lang w:val="en-US" w:eastAsia="zh-CN"/>
        </w:rPr>
        <w:t>2024年11月完成机场可研报告和上报。</w:t>
      </w:r>
    </w:p>
    <w:p w14:paraId="5F0A3804">
      <w:pPr>
        <w:pageBreakBefore w:val="0"/>
        <w:widowControl/>
        <w:kinsoku/>
        <w:wordWrap/>
        <w:overflowPunct/>
        <w:autoSpaceDE w:val="0"/>
        <w:autoSpaceDN w:val="0"/>
        <w:bidi w:val="0"/>
        <w:ind w:firstLine="480" w:firstLineChars="200"/>
        <w:jc w:val="left"/>
        <w:rPr>
          <w:rFonts w:hint="eastAsia" w:cs="Times New Roman"/>
          <w:color w:val="auto"/>
          <w:sz w:val="24"/>
          <w:szCs w:val="21"/>
          <w:highlight w:val="none"/>
          <w:lang w:val="en-US" w:eastAsia="zh-CN"/>
        </w:rPr>
      </w:pPr>
      <w:r>
        <w:rPr>
          <w:rFonts w:hint="eastAsia" w:cs="Times New Roman"/>
          <w:color w:val="auto"/>
          <w:sz w:val="24"/>
          <w:szCs w:val="21"/>
          <w:highlight w:val="none"/>
          <w:lang w:val="en-US" w:eastAsia="zh-CN"/>
        </w:rPr>
        <w:t>2024年12月至2025年1月进行初步设计，并着手开始施工招标工作。</w:t>
      </w:r>
    </w:p>
    <w:p w14:paraId="7DD82452">
      <w:pPr>
        <w:pageBreakBefore w:val="0"/>
        <w:widowControl/>
        <w:kinsoku/>
        <w:wordWrap/>
        <w:overflowPunct/>
        <w:autoSpaceDE w:val="0"/>
        <w:autoSpaceDN w:val="0"/>
        <w:bidi w:val="0"/>
        <w:ind w:firstLine="480" w:firstLineChars="200"/>
        <w:jc w:val="left"/>
        <w:rPr>
          <w:rFonts w:hint="eastAsia" w:cs="Times New Roman"/>
          <w:color w:val="auto"/>
          <w:sz w:val="24"/>
          <w:szCs w:val="21"/>
          <w:highlight w:val="none"/>
          <w:lang w:val="en-US" w:eastAsia="zh-CN"/>
        </w:rPr>
      </w:pPr>
      <w:r>
        <w:rPr>
          <w:rFonts w:hint="eastAsia" w:cs="Times New Roman"/>
          <w:color w:val="auto"/>
          <w:sz w:val="24"/>
          <w:szCs w:val="21"/>
          <w:highlight w:val="none"/>
          <w:lang w:val="en-US" w:eastAsia="zh-CN"/>
        </w:rPr>
        <w:t>2025年3月至6月进行施工图设计。</w:t>
      </w:r>
    </w:p>
    <w:p w14:paraId="3D0EE36E">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（2）施工阶段（2025年11月至2027年11月）</w:t>
      </w:r>
    </w:p>
    <w:p w14:paraId="744B365F">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建设工期按2年考虑。</w:t>
      </w:r>
    </w:p>
    <w:p w14:paraId="161FCF80">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（3）竣工验收（2027年12月）</w:t>
      </w:r>
    </w:p>
    <w:p w14:paraId="5F7132B9">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2027年12月至次年1月准备竣工验收资料，举行自验和行业竣工验收。</w:t>
      </w:r>
    </w:p>
    <w:p w14:paraId="27BA43A0">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2028年2月通航。</w:t>
      </w:r>
    </w:p>
    <w:p w14:paraId="2ED18431">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工程占地</w:t>
      </w:r>
    </w:p>
    <w:p w14:paraId="43735D0E">
      <w:pPr>
        <w:pageBreakBefore w:val="0"/>
        <w:widowControl/>
        <w:kinsoku/>
        <w:wordWrap/>
        <w:overflowPunct/>
        <w:bidi w:val="0"/>
        <w:adjustRightInd w:val="0"/>
        <w:ind w:firstLine="480" w:firstLineChars="200"/>
        <w:jc w:val="both"/>
        <w:rPr>
          <w:rFonts w:hint="eastAsia" w:ascii="Times New Roman" w:hAnsi="Times New Roman" w:eastAsia="宋体" w:cs="Times New Roman"/>
          <w:color w:val="auto"/>
          <w:szCs w:val="24"/>
          <w:highlight w:val="none"/>
        </w:rPr>
      </w:pPr>
      <w:r>
        <w:rPr>
          <w:rFonts w:hint="eastAsia" w:cs="Times New Roman"/>
          <w:color w:val="auto"/>
          <w:szCs w:val="24"/>
          <w:highlight w:val="none"/>
          <w:lang w:val="en-US" w:eastAsia="zh-CN"/>
        </w:rPr>
        <w:t>场址</w:t>
      </w:r>
      <w:r>
        <w:rPr>
          <w:rFonts w:hint="eastAsia" w:ascii="Times New Roman" w:hAnsi="Times New Roman" w:eastAsia="宋体" w:cs="Times New Roman"/>
          <w:color w:val="auto"/>
          <w:szCs w:val="24"/>
          <w:highlight w:val="none"/>
        </w:rPr>
        <w:t>用地总面积65.2804</w:t>
      </w:r>
      <w:r>
        <w:rPr>
          <w:rFonts w:hint="eastAsia" w:cs="Times New Roman"/>
          <w:color w:val="auto"/>
          <w:szCs w:val="24"/>
          <w:highlight w:val="none"/>
          <w:lang w:val="en-US" w:eastAsia="zh-CN"/>
        </w:rPr>
        <w:t>hm</w:t>
      </w:r>
      <w:r>
        <w:rPr>
          <w:rFonts w:hint="eastAsia" w:cs="Times New Roman"/>
          <w:color w:val="auto"/>
          <w:szCs w:val="24"/>
          <w:highlight w:val="none"/>
          <w:vertAlign w:val="superscript"/>
          <w:lang w:val="en-US" w:eastAsia="zh-CN"/>
        </w:rPr>
        <w:t>2</w:t>
      </w:r>
      <w:r>
        <w:rPr>
          <w:rFonts w:hint="eastAsia" w:ascii="Times New Roman" w:hAnsi="Times New Roman" w:eastAsia="宋体" w:cs="Times New Roman"/>
          <w:color w:val="auto"/>
          <w:szCs w:val="24"/>
          <w:highlight w:val="none"/>
        </w:rPr>
        <w:t>，其中</w:t>
      </w:r>
      <w:r>
        <w:rPr>
          <w:rFonts w:hint="eastAsia" w:cs="Times New Roman"/>
          <w:color w:val="auto"/>
          <w:szCs w:val="24"/>
          <w:highlight w:val="none"/>
          <w:lang w:eastAsia="zh-CN"/>
        </w:rPr>
        <w:t>，</w:t>
      </w:r>
      <w:r>
        <w:rPr>
          <w:rFonts w:hint="eastAsia" w:ascii="Times New Roman" w:hAnsi="Times New Roman" w:eastAsia="宋体" w:cs="Times New Roman"/>
          <w:color w:val="auto"/>
          <w:szCs w:val="24"/>
          <w:highlight w:val="none"/>
        </w:rPr>
        <w:t>国有农用地65.1988</w:t>
      </w:r>
      <w:r>
        <w:rPr>
          <w:rFonts w:hint="eastAsia" w:cs="Times New Roman"/>
          <w:color w:val="auto"/>
          <w:szCs w:val="24"/>
          <w:highlight w:val="none"/>
          <w:lang w:val="en-US" w:eastAsia="zh-CN"/>
        </w:rPr>
        <w:t>hm</w:t>
      </w:r>
      <w:r>
        <w:rPr>
          <w:rFonts w:hint="eastAsia" w:cs="Times New Roman"/>
          <w:color w:val="auto"/>
          <w:szCs w:val="24"/>
          <w:highlight w:val="none"/>
          <w:vertAlign w:val="superscript"/>
          <w:lang w:val="en-US" w:eastAsia="zh-CN"/>
        </w:rPr>
        <w:t>2</w:t>
      </w:r>
      <w:r>
        <w:rPr>
          <w:rFonts w:hint="eastAsia" w:ascii="Times New Roman" w:hAnsi="Times New Roman" w:eastAsia="宋体" w:cs="Times New Roman"/>
          <w:color w:val="auto"/>
          <w:szCs w:val="24"/>
          <w:highlight w:val="none"/>
        </w:rPr>
        <w:t>（一般耕地55.3861</w:t>
      </w:r>
      <w:r>
        <w:rPr>
          <w:rFonts w:hint="eastAsia" w:cs="Times New Roman"/>
          <w:color w:val="auto"/>
          <w:szCs w:val="24"/>
          <w:highlight w:val="none"/>
          <w:lang w:val="en-US" w:eastAsia="zh-CN"/>
        </w:rPr>
        <w:t>hm</w:t>
      </w:r>
      <w:r>
        <w:rPr>
          <w:rFonts w:hint="eastAsia" w:cs="Times New Roman"/>
          <w:color w:val="auto"/>
          <w:szCs w:val="24"/>
          <w:highlight w:val="none"/>
          <w:vertAlign w:val="superscript"/>
          <w:lang w:val="en-US" w:eastAsia="zh-CN"/>
        </w:rPr>
        <w:t>2</w:t>
      </w:r>
      <w:r>
        <w:rPr>
          <w:rFonts w:hint="eastAsia" w:ascii="Times New Roman" w:hAnsi="Times New Roman" w:eastAsia="宋体" w:cs="Times New Roman"/>
          <w:color w:val="auto"/>
          <w:szCs w:val="24"/>
          <w:highlight w:val="none"/>
        </w:rPr>
        <w:t>，不占用永久基本农田；乔木林地0.4668</w:t>
      </w:r>
      <w:r>
        <w:rPr>
          <w:rFonts w:hint="eastAsia" w:cs="Times New Roman"/>
          <w:color w:val="auto"/>
          <w:szCs w:val="24"/>
          <w:highlight w:val="none"/>
          <w:lang w:val="en-US" w:eastAsia="zh-CN"/>
        </w:rPr>
        <w:t>hm</w:t>
      </w:r>
      <w:r>
        <w:rPr>
          <w:rFonts w:hint="eastAsia" w:cs="Times New Roman"/>
          <w:color w:val="auto"/>
          <w:szCs w:val="24"/>
          <w:highlight w:val="none"/>
          <w:vertAlign w:val="superscript"/>
          <w:lang w:val="en-US" w:eastAsia="zh-CN"/>
        </w:rPr>
        <w:t>2</w:t>
      </w:r>
      <w:r>
        <w:rPr>
          <w:rFonts w:hint="eastAsia" w:cs="Times New Roman"/>
          <w:color w:val="auto"/>
          <w:szCs w:val="24"/>
          <w:highlight w:val="none"/>
          <w:lang w:eastAsia="zh-CN"/>
        </w:rPr>
        <w:t>、</w:t>
      </w:r>
      <w:r>
        <w:rPr>
          <w:rFonts w:hint="eastAsia" w:ascii="Times New Roman" w:hAnsi="Times New Roman" w:eastAsia="宋体" w:cs="Times New Roman"/>
          <w:color w:val="auto"/>
          <w:szCs w:val="24"/>
          <w:highlight w:val="none"/>
        </w:rPr>
        <w:t>农村道路3.0474</w:t>
      </w:r>
      <w:r>
        <w:rPr>
          <w:rFonts w:hint="eastAsia" w:cs="Times New Roman"/>
          <w:color w:val="auto"/>
          <w:szCs w:val="24"/>
          <w:highlight w:val="none"/>
          <w:lang w:val="en-US" w:eastAsia="zh-CN"/>
        </w:rPr>
        <w:t>hm</w:t>
      </w:r>
      <w:r>
        <w:rPr>
          <w:rFonts w:hint="eastAsia" w:cs="Times New Roman"/>
          <w:color w:val="auto"/>
          <w:szCs w:val="24"/>
          <w:highlight w:val="none"/>
          <w:vertAlign w:val="superscript"/>
          <w:lang w:val="en-US" w:eastAsia="zh-CN"/>
        </w:rPr>
        <w:t>2</w:t>
      </w:r>
      <w:r>
        <w:rPr>
          <w:rFonts w:hint="eastAsia" w:cs="Times New Roman"/>
          <w:color w:val="auto"/>
          <w:szCs w:val="24"/>
          <w:highlight w:val="none"/>
          <w:lang w:eastAsia="zh-CN"/>
        </w:rPr>
        <w:t>、</w:t>
      </w:r>
      <w:r>
        <w:rPr>
          <w:rFonts w:hint="eastAsia" w:ascii="Times New Roman" w:hAnsi="Times New Roman" w:eastAsia="宋体" w:cs="Times New Roman"/>
          <w:color w:val="auto"/>
          <w:szCs w:val="24"/>
          <w:highlight w:val="none"/>
        </w:rPr>
        <w:t>沟渠6.2985</w:t>
      </w:r>
      <w:r>
        <w:rPr>
          <w:rFonts w:hint="eastAsia" w:cs="Times New Roman"/>
          <w:color w:val="auto"/>
          <w:szCs w:val="24"/>
          <w:highlight w:val="none"/>
          <w:lang w:val="en-US" w:eastAsia="zh-CN"/>
        </w:rPr>
        <w:t>hm</w:t>
      </w:r>
      <w:r>
        <w:rPr>
          <w:rFonts w:hint="eastAsia" w:cs="Times New Roman"/>
          <w:color w:val="auto"/>
          <w:szCs w:val="24"/>
          <w:highlight w:val="none"/>
          <w:vertAlign w:val="superscript"/>
          <w:lang w:val="en-US" w:eastAsia="zh-CN"/>
        </w:rPr>
        <w:t>2</w:t>
      </w:r>
      <w:r>
        <w:rPr>
          <w:rFonts w:hint="eastAsia" w:ascii="Times New Roman" w:hAnsi="Times New Roman" w:eastAsia="宋体" w:cs="Times New Roman"/>
          <w:color w:val="auto"/>
          <w:szCs w:val="24"/>
          <w:highlight w:val="none"/>
        </w:rPr>
        <w:t>）；国有未利用地0.0816</w:t>
      </w:r>
      <w:r>
        <w:rPr>
          <w:rFonts w:hint="eastAsia" w:cs="Times New Roman"/>
          <w:color w:val="auto"/>
          <w:szCs w:val="24"/>
          <w:highlight w:val="none"/>
          <w:lang w:val="en-US" w:eastAsia="zh-CN"/>
        </w:rPr>
        <w:t>hm</w:t>
      </w:r>
      <w:r>
        <w:rPr>
          <w:rFonts w:hint="eastAsia" w:cs="Times New Roman"/>
          <w:color w:val="auto"/>
          <w:szCs w:val="24"/>
          <w:highlight w:val="none"/>
          <w:vertAlign w:val="superscript"/>
          <w:lang w:val="en-US" w:eastAsia="zh-CN"/>
        </w:rPr>
        <w:t>2</w:t>
      </w:r>
      <w:r>
        <w:rPr>
          <w:rFonts w:hint="eastAsia" w:ascii="Times New Roman" w:hAnsi="Times New Roman" w:eastAsia="宋体" w:cs="Times New Roman"/>
          <w:color w:val="auto"/>
          <w:szCs w:val="24"/>
          <w:highlight w:val="none"/>
        </w:rPr>
        <w:t>（其他草地0.0816</w:t>
      </w:r>
      <w:r>
        <w:rPr>
          <w:rFonts w:hint="eastAsia" w:cs="Times New Roman"/>
          <w:color w:val="auto"/>
          <w:szCs w:val="24"/>
          <w:highlight w:val="none"/>
          <w:lang w:val="en-US" w:eastAsia="zh-CN"/>
        </w:rPr>
        <w:t>hm</w:t>
      </w:r>
      <w:r>
        <w:rPr>
          <w:rFonts w:hint="eastAsia" w:cs="Times New Roman"/>
          <w:color w:val="auto"/>
          <w:szCs w:val="24"/>
          <w:highlight w:val="none"/>
          <w:vertAlign w:val="superscript"/>
          <w:lang w:val="en-US" w:eastAsia="zh-CN"/>
        </w:rPr>
        <w:t>2</w:t>
      </w:r>
      <w:r>
        <w:rPr>
          <w:rFonts w:hint="eastAsia" w:ascii="Times New Roman" w:hAnsi="Times New Roman" w:eastAsia="宋体" w:cs="Times New Roman"/>
          <w:color w:val="auto"/>
          <w:szCs w:val="24"/>
          <w:highlight w:val="none"/>
        </w:rPr>
        <w:t>）。</w:t>
      </w:r>
    </w:p>
    <w:p w14:paraId="7189E6C7">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拆迁工程</w:t>
      </w:r>
    </w:p>
    <w:p w14:paraId="316E0B05">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本项目不涉及民居拆迁。场区线范围内有一条10千伏输电线路需迁改。10千伏洋胡线197+1号杆炮点分支，预计迁改长度9km。</w:t>
      </w:r>
    </w:p>
    <w:p w14:paraId="48D9A54D">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临时工程</w:t>
      </w:r>
    </w:p>
    <w:p w14:paraId="18E80012">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临时工程均在机场红线范围内布设。本项目不设置混凝土、水稳、沥青拌合站、预制场、取土场等临时工程，均采用商品料。</w:t>
      </w:r>
    </w:p>
    <w:p w14:paraId="497D0ABF">
      <w:pPr>
        <w:pageBreakBefore w:val="0"/>
        <w:widowControl/>
        <w:kinsoku/>
        <w:wordWrap/>
        <w:overflowPunct/>
        <w:autoSpaceDE w:val="0"/>
        <w:autoSpaceDN w:val="0"/>
        <w:bidi w:val="0"/>
        <w:ind w:firstLine="482" w:firstLineChars="200"/>
        <w:jc w:val="left"/>
        <w:rPr>
          <w:rFonts w:hint="eastAsia" w:cs="Times New Roman"/>
          <w:b/>
          <w:bCs/>
          <w:color w:val="auto"/>
          <w:szCs w:val="21"/>
          <w:highlight w:val="none"/>
          <w:lang w:val="en-US" w:eastAsia="zh-CN"/>
        </w:rPr>
      </w:pPr>
      <w:r>
        <w:rPr>
          <w:rFonts w:hint="eastAsia" w:cs="Times New Roman"/>
          <w:b/>
          <w:bCs/>
          <w:color w:val="auto"/>
          <w:szCs w:val="21"/>
          <w:highlight w:val="none"/>
          <w:lang w:val="en-US" w:eastAsia="zh-CN"/>
        </w:rPr>
        <w:t>（1）施工生产生活区</w:t>
      </w:r>
    </w:p>
    <w:p w14:paraId="4044615B">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施工生产生活区均设置在项目红线范围内，可减少临时占地；占地周边分布有分散的噪声敏感建筑物，规模较小，施工生产生活区对周围环境影响较小。</w:t>
      </w:r>
    </w:p>
    <w:p w14:paraId="328C6719">
      <w:pPr>
        <w:pageBreakBefore w:val="0"/>
        <w:widowControl/>
        <w:kinsoku/>
        <w:wordWrap/>
        <w:overflowPunct/>
        <w:autoSpaceDE w:val="0"/>
        <w:autoSpaceDN w:val="0"/>
        <w:bidi w:val="0"/>
        <w:ind w:firstLine="482" w:firstLineChars="200"/>
        <w:jc w:val="left"/>
        <w:rPr>
          <w:rFonts w:hint="eastAsia" w:cs="Times New Roman"/>
          <w:b/>
          <w:bCs/>
          <w:color w:val="auto"/>
          <w:szCs w:val="21"/>
          <w:highlight w:val="none"/>
          <w:lang w:val="en-US" w:eastAsia="zh-CN"/>
        </w:rPr>
      </w:pPr>
      <w:r>
        <w:rPr>
          <w:rFonts w:hint="eastAsia" w:cs="Times New Roman"/>
          <w:b/>
          <w:bCs/>
          <w:color w:val="auto"/>
          <w:szCs w:val="21"/>
          <w:highlight w:val="none"/>
          <w:lang w:val="en-US" w:eastAsia="zh-CN"/>
        </w:rPr>
        <w:t>（2）施工道路</w:t>
      </w:r>
    </w:p>
    <w:p w14:paraId="7D3A63DD">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依托现有进场。</w:t>
      </w:r>
    </w:p>
    <w:p w14:paraId="03F62750">
      <w:pPr>
        <w:pageBreakBefore w:val="0"/>
        <w:widowControl/>
        <w:kinsoku/>
        <w:wordWrap/>
        <w:overflowPunct/>
        <w:autoSpaceDE w:val="0"/>
        <w:autoSpaceDN w:val="0"/>
        <w:bidi w:val="0"/>
        <w:ind w:firstLine="482" w:firstLineChars="200"/>
        <w:jc w:val="left"/>
        <w:rPr>
          <w:rFonts w:hint="eastAsia" w:cs="Times New Roman"/>
          <w:b/>
          <w:bCs/>
          <w:color w:val="auto"/>
          <w:szCs w:val="21"/>
          <w:highlight w:val="none"/>
          <w:lang w:val="en-US" w:eastAsia="zh-CN"/>
        </w:rPr>
      </w:pPr>
      <w:r>
        <w:rPr>
          <w:rFonts w:hint="eastAsia" w:cs="Times New Roman"/>
          <w:b/>
          <w:bCs/>
          <w:color w:val="auto"/>
          <w:szCs w:val="21"/>
          <w:highlight w:val="none"/>
          <w:lang w:val="en-US" w:eastAsia="zh-CN"/>
        </w:rPr>
        <w:t>（3）临时堆土区</w:t>
      </w:r>
    </w:p>
    <w:p w14:paraId="4DB4CDFB">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本项目施工前进行场地平整及换填，根据施工工序，将产生大范围堆土；故在飞行区设置1处临时堆土场，用于场区土方堆放，并且划分一部分区域用于表土堆放，根据工程区土方量及表土量，堆土高度不超过2.5m，并采用拦挡苫盖等措施进行防护，表土施工后期用于各区景观绿化。</w:t>
      </w:r>
    </w:p>
    <w:p w14:paraId="46C48488">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本项目施工期间熟化土集中堆放在飞行区临时堆放场内。飞行区开挖不能立即回填的土方，结合施工时序施工期间暂时堆放在飞行区跑道两侧的空地内，主要利用永久占地，未在冲沟范围内。</w:t>
      </w:r>
    </w:p>
    <w:p w14:paraId="2B998421">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通过以上方式，避免了临时堆土新增占地，减少了工程建设扰动地表范围，符合水土保持要求。</w:t>
      </w:r>
    </w:p>
    <w:p w14:paraId="1330B1A6">
      <w:pPr>
        <w:pageBreakBefore w:val="0"/>
        <w:widowControl/>
        <w:kinsoku/>
        <w:wordWrap/>
        <w:overflowPunct/>
        <w:autoSpaceDE w:val="0"/>
        <w:autoSpaceDN w:val="0"/>
        <w:bidi w:val="0"/>
        <w:ind w:firstLine="482" w:firstLineChars="200"/>
        <w:jc w:val="left"/>
        <w:rPr>
          <w:rFonts w:hint="eastAsia" w:cs="Times New Roman"/>
          <w:color w:val="auto"/>
          <w:szCs w:val="21"/>
          <w:highlight w:val="none"/>
          <w:lang w:val="en-US" w:eastAsia="zh-CN"/>
        </w:rPr>
      </w:pPr>
      <w:r>
        <w:rPr>
          <w:rFonts w:hint="eastAsia" w:cs="Times New Roman"/>
          <w:b/>
          <w:bCs/>
          <w:color w:val="auto"/>
          <w:szCs w:val="21"/>
          <w:highlight w:val="none"/>
          <w:lang w:val="en-US" w:eastAsia="zh-CN"/>
        </w:rPr>
        <w:t>（4）施工用水用电</w:t>
      </w:r>
    </w:p>
    <w:p w14:paraId="6DDD8386">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施工用水考虑永临结合，利用机场供水系统进行供水。</w:t>
      </w:r>
    </w:p>
    <w:p w14:paraId="359F7C93">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施工用电线路由当地供电部门负责建设，并承担相应的水土流失防治责任。</w:t>
      </w:r>
    </w:p>
    <w:p w14:paraId="0804D664">
      <w:pPr>
        <w:pageBreakBefore w:val="0"/>
        <w:widowControl/>
        <w:kinsoku/>
        <w:wordWrap/>
        <w:overflowPunct/>
        <w:autoSpaceDE w:val="0"/>
        <w:autoSpaceDN w:val="0"/>
        <w:bidi w:val="0"/>
        <w:ind w:firstLine="482" w:firstLineChars="200"/>
        <w:jc w:val="left"/>
        <w:rPr>
          <w:rFonts w:hint="default" w:cs="Times New Roman"/>
          <w:b/>
          <w:bCs/>
          <w:color w:val="auto"/>
          <w:szCs w:val="21"/>
          <w:highlight w:val="none"/>
          <w:lang w:val="en-US" w:eastAsia="zh-CN"/>
        </w:rPr>
      </w:pPr>
      <w:r>
        <w:rPr>
          <w:rFonts w:hint="eastAsia" w:cs="Times New Roman"/>
          <w:b/>
          <w:bCs/>
          <w:color w:val="auto"/>
          <w:szCs w:val="21"/>
          <w:highlight w:val="none"/>
          <w:lang w:val="en-US" w:eastAsia="zh-CN"/>
        </w:rPr>
        <w:t>（5）弃土情况</w:t>
      </w:r>
    </w:p>
    <w:p w14:paraId="558C1AA8">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val="en-US" w:eastAsia="zh-CN"/>
        </w:rPr>
        <w:t>场址所在区域属于平原区，根据设计单位资料，全场土方量中，填方123万方，挖方27万方。精河通用机场本期建设方案无弃土，场内无法消纳的少量土方堆填于机场红线内填方边坡以外的富余区域。如前文所述，在飞行区设置1处临时堆土场，用于场区土方堆放，并且划分一部分区域用于表土堆放，根据工程区土方量及表土量，堆土高度不超过2.5m，并采用拦挡苫盖等措施进行防护，表土施工后期用于各区景观绿化。</w:t>
      </w:r>
    </w:p>
    <w:p w14:paraId="22A6E50F">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建筑材料来源</w:t>
      </w:r>
    </w:p>
    <w:p w14:paraId="0E13D445">
      <w:pPr>
        <w:pageBreakBefore w:val="0"/>
        <w:widowControl/>
        <w:kinsoku/>
        <w:wordWrap/>
        <w:overflowPunct/>
        <w:autoSpaceDE w:val="0"/>
        <w:autoSpaceDN w:val="0"/>
        <w:bidi w:val="0"/>
        <w:ind w:firstLine="480" w:firstLineChars="200"/>
        <w:jc w:val="left"/>
        <w:rPr>
          <w:rFonts w:hint="default" w:cs="Times New Roman"/>
          <w:color w:val="auto"/>
          <w:szCs w:val="21"/>
          <w:highlight w:val="none"/>
          <w:lang w:val="en-US" w:eastAsia="zh-CN"/>
        </w:rPr>
      </w:pPr>
      <w:r>
        <w:rPr>
          <w:rFonts w:hint="eastAsia" w:cs="Times New Roman"/>
          <w:color w:val="auto"/>
          <w:szCs w:val="21"/>
          <w:highlight w:val="none"/>
          <w:lang w:val="en-US" w:eastAsia="zh-CN"/>
        </w:rPr>
        <w:t>场道工程主要材料来源见下表：</w:t>
      </w:r>
    </w:p>
    <w:p w14:paraId="4DF6D0DB">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电磁辐射</w:t>
      </w:r>
    </w:p>
    <w:p w14:paraId="6855BAA6">
      <w:pPr>
        <w:pageBreakBefore w:val="0"/>
        <w:kinsoku/>
        <w:wordWrap/>
        <w:overflowPunct/>
        <w:bidi w:val="0"/>
        <w:ind w:firstLine="480" w:firstLineChars="200"/>
        <w:rPr>
          <w:rFonts w:hint="eastAsia" w:ascii="Times New Roman" w:eastAsia="宋体"/>
          <w:color w:val="auto"/>
          <w:spacing w:val="0"/>
          <w:sz w:val="24"/>
          <w:highlight w:val="none"/>
          <w:lang w:val="en-US" w:eastAsia="zh-CN"/>
        </w:rPr>
      </w:pPr>
      <w:r>
        <w:rPr>
          <w:rFonts w:hint="eastAsia" w:ascii="Times New Roman" w:eastAsia="宋体"/>
          <w:color w:val="auto"/>
          <w:spacing w:val="0"/>
          <w:sz w:val="24"/>
          <w:highlight w:val="none"/>
          <w:lang w:val="en-US" w:eastAsia="zh-CN"/>
        </w:rPr>
        <w:t>根据《精河通用机场电磁环境测试报告》</w:t>
      </w:r>
      <w:r>
        <w:rPr>
          <w:rFonts w:hint="eastAsia"/>
          <w:color w:val="auto"/>
          <w:spacing w:val="0"/>
          <w:sz w:val="24"/>
          <w:highlight w:val="none"/>
          <w:lang w:val="en-US" w:eastAsia="zh-CN"/>
        </w:rPr>
        <w:t>（</w:t>
      </w:r>
      <w:r>
        <w:rPr>
          <w:rFonts w:hint="eastAsia" w:ascii="Times New Roman" w:eastAsia="宋体"/>
          <w:color w:val="auto"/>
          <w:spacing w:val="0"/>
          <w:sz w:val="24"/>
          <w:highlight w:val="none"/>
          <w:lang w:val="en-US" w:eastAsia="zh-CN"/>
        </w:rPr>
        <w:t>LBKJ/BG/2022/0</w:t>
      </w:r>
      <w:r>
        <w:rPr>
          <w:rFonts w:hint="eastAsia"/>
          <w:color w:val="auto"/>
          <w:spacing w:val="0"/>
          <w:sz w:val="24"/>
          <w:highlight w:val="none"/>
          <w:lang w:val="en-US" w:eastAsia="zh-CN"/>
        </w:rPr>
        <w:t>）</w:t>
      </w:r>
      <w:r>
        <w:rPr>
          <w:rFonts w:hint="eastAsia" w:ascii="Times New Roman" w:eastAsia="宋体"/>
          <w:color w:val="auto"/>
          <w:spacing w:val="0"/>
          <w:sz w:val="24"/>
          <w:highlight w:val="none"/>
          <w:lang w:val="en-US" w:eastAsia="zh-CN"/>
        </w:rPr>
        <w:t>，场址拟建高频台、甚高频台、全向信标台、测距仪和广播式自助相关监视系统的电磁环境符合《民用机场与地面航空无线电台（站）电磁环境测试规范》</w:t>
      </w:r>
      <w:r>
        <w:rPr>
          <w:rFonts w:hint="eastAsia"/>
          <w:color w:val="auto"/>
          <w:spacing w:val="0"/>
          <w:sz w:val="24"/>
          <w:highlight w:val="none"/>
          <w:lang w:val="en-US" w:eastAsia="zh-CN"/>
        </w:rPr>
        <w:t>（</w:t>
      </w:r>
      <w:r>
        <w:rPr>
          <w:rFonts w:hint="eastAsia" w:ascii="Times New Roman" w:eastAsia="宋体"/>
          <w:color w:val="auto"/>
          <w:spacing w:val="0"/>
          <w:sz w:val="24"/>
          <w:highlight w:val="none"/>
          <w:lang w:val="en-US" w:eastAsia="zh-CN"/>
        </w:rPr>
        <w:t>MH/T4046-2017</w:t>
      </w:r>
      <w:r>
        <w:rPr>
          <w:rFonts w:hint="eastAsia"/>
          <w:color w:val="auto"/>
          <w:spacing w:val="0"/>
          <w:sz w:val="24"/>
          <w:highlight w:val="none"/>
          <w:lang w:val="en-US" w:eastAsia="zh-CN"/>
        </w:rPr>
        <w:t>）</w:t>
      </w:r>
      <w:r>
        <w:rPr>
          <w:rFonts w:hint="eastAsia" w:ascii="Times New Roman" w:eastAsia="宋体"/>
          <w:color w:val="auto"/>
          <w:spacing w:val="0"/>
          <w:sz w:val="24"/>
          <w:highlight w:val="none"/>
          <w:lang w:val="en-US" w:eastAsia="zh-CN"/>
        </w:rPr>
        <w:t>的要求。</w:t>
      </w:r>
    </w:p>
    <w:p w14:paraId="171D3DC6">
      <w:pPr>
        <w:pageBreakBefore w:val="0"/>
        <w:kinsoku/>
        <w:wordWrap/>
        <w:overflowPunct/>
        <w:bidi w:val="0"/>
        <w:ind w:firstLine="480" w:firstLineChars="200"/>
        <w:rPr>
          <w:rFonts w:hint="eastAsia" w:ascii="Times New Roman" w:eastAsia="宋体"/>
          <w:color w:val="auto"/>
          <w:spacing w:val="0"/>
          <w:sz w:val="24"/>
          <w:highlight w:val="none"/>
          <w:lang w:val="en-US" w:eastAsia="zh-CN"/>
        </w:rPr>
      </w:pPr>
      <w:r>
        <w:rPr>
          <w:rFonts w:hint="eastAsia" w:ascii="Times New Roman" w:eastAsia="宋体"/>
          <w:color w:val="auto"/>
          <w:spacing w:val="0"/>
          <w:sz w:val="24"/>
          <w:highlight w:val="none"/>
          <w:lang w:val="en-US" w:eastAsia="zh-CN"/>
        </w:rPr>
        <w:t>超标干扰信号：个别频段检测到超标干扰信号，在申请频率时应避开报告中所列超标频率。</w:t>
      </w:r>
    </w:p>
    <w:p w14:paraId="161AE9CD">
      <w:pPr>
        <w:pageBreakBefore w:val="0"/>
        <w:kinsoku/>
        <w:wordWrap/>
        <w:overflowPunct/>
        <w:bidi w:val="0"/>
        <w:ind w:firstLine="480" w:firstLineChars="200"/>
        <w:rPr>
          <w:rFonts w:hint="eastAsia" w:ascii="Times New Roman" w:eastAsia="宋体"/>
          <w:color w:val="auto"/>
          <w:spacing w:val="0"/>
          <w:sz w:val="24"/>
          <w:highlight w:val="none"/>
          <w:lang w:val="en-US" w:eastAsia="zh-CN"/>
        </w:rPr>
      </w:pPr>
      <w:r>
        <w:rPr>
          <w:rFonts w:hint="eastAsia" w:ascii="Times New Roman" w:eastAsia="宋体"/>
          <w:color w:val="auto"/>
          <w:spacing w:val="0"/>
          <w:sz w:val="24"/>
          <w:highlight w:val="none"/>
          <w:lang w:val="en-US" w:eastAsia="zh-CN"/>
        </w:rPr>
        <w:t>根据博州无线电管理局《关于精河通用机场场址电磁环境说明》，确定近年来未在场址周边许可无线电发射台站设置，与2022年4月29日新疆立本无线电科技有限公司出具的《精河通用机场电磁环境测试报告》参数相比对，场址附近电磁环境测试未发生明显变化。</w:t>
      </w:r>
    </w:p>
    <w:p w14:paraId="1A9B45CC">
      <w:pPr>
        <w:keepNext/>
        <w:keepLines/>
        <w:pageBreakBefore w:val="0"/>
        <w:widowControl w:val="0"/>
        <w:numPr>
          <w:ilvl w:val="1"/>
          <w:numId w:val="10"/>
        </w:numPr>
        <w:kinsoku/>
        <w:overflowPunct/>
        <w:bidi w:val="0"/>
        <w:spacing w:line="360" w:lineRule="auto"/>
        <w:ind w:left="567" w:hanging="567"/>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16" w:name="_Toc21222"/>
      <w:r>
        <w:rPr>
          <w:rFonts w:hint="eastAsia" w:ascii="Times New Roman" w:hAnsi="Times New Roman" w:eastAsia="黑体" w:cs="Times New Roman"/>
          <w:bCs/>
          <w:color w:val="auto"/>
          <w:spacing w:val="0"/>
          <w:w w:val="100"/>
          <w:kern w:val="28"/>
          <w:sz w:val="30"/>
          <w:szCs w:val="30"/>
          <w:highlight w:val="none"/>
          <w:lang w:val="en-US" w:eastAsia="zh-CN" w:bidi="ar-SA"/>
        </w:rPr>
        <w:t>飞行程序</w:t>
      </w:r>
      <w:bookmarkEnd w:id="216"/>
    </w:p>
    <w:p w14:paraId="50CDC424">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本期机场采用目视飞行程序设计，不设导航台，仅设置风向标、标记牌、着陆方向标及站坪照明、机务用电。拟飞机型以B类机型为主，主要机型包括国王350ER、运12F、运12E、运5B、赛斯纳208、大棕熊-100、PC-12及MI-171直升机等。飞行程序设计考虑B类飞机作为最大设计机型，飞行程序设计使用数据按照飞行程序分类B类机型进行保护区绘制及计算。此外，考虑为夜间执行应急救援飞行任务的直升机提供目视引导，将在位于跑道上的FATO设置相应的助航灯光系统。FATO位置位于跑道与滑行道交界处，FATO中心点距机场跑道中心点55m。管制空域高度900m、长度23km、宽度12km。</w:t>
      </w:r>
    </w:p>
    <w:p w14:paraId="04AA360A">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目视起落航线</w:t>
      </w:r>
    </w:p>
    <w:p w14:paraId="471B77D3">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（1）RWY18目视起落航线</w:t>
      </w:r>
    </w:p>
    <w:p w14:paraId="6DE935A6">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为避开城市上空，目视程序在跑道西侧运行。A、B类航空器转弯高度500m，离场保护区IAS：250km/h，转弯坡度15°，转弯半径2.03km，离场直线段爬升梯度不低于3.3%。起飞后直线爬升过空心砖厂右转（转弯高度500m），过新月形沙丘加入三边，高度不低于600m。直飞向蓝顶厂房后右转（转弯高度500m），过牧业一队加入五边（5km）对正跑道进近着陆。</w:t>
      </w:r>
    </w:p>
    <w:p w14:paraId="37E86DC1">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（2）RWY36目视起落航线</w:t>
      </w:r>
    </w:p>
    <w:p w14:paraId="707F60B9">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为避开城市上空，目视程序在跑道西侧运行。A、B类航空器转弯高度500m，离场保护区IAS：250km/h，转弯坡度15°，转弯半径2.03km，离场直线段爬升梯度不低于3.3%。起飞后直线爬升过牧业一队左转（转弯高度500m），过蓝色厂房加入三边，高度不低于600m。直飞向农田开发区后左转（转弯高度500m），过牛农场二队（连霍高速与G312国道交汇处）加入五边（5km）对正跑道进近着陆。</w:t>
      </w:r>
    </w:p>
    <w:p w14:paraId="38255169">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本场起降地带</w:t>
      </w:r>
    </w:p>
    <w:p w14:paraId="5B9A9AC3">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本场起降地带需求根据设计的最大机型进行规划。本期规划主要用于满足本场飞行，包含目视起落航线和目视训练飞行的需求，同时规划若干目视转场航线，满足转场飞行的需要。</w:t>
      </w:r>
    </w:p>
    <w:p w14:paraId="1FB42887">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本场使用范围以跑道中心南北两端各11.5km、中心线两侧各6km（23km×12km），即A-B-C-D四点坐标围成的范围：</w:t>
      </w:r>
    </w:p>
    <w:p w14:paraId="33F31DCF">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考虑转场航线高度以及满足与博乐机场进离场程序垂直间隔，与航路满足安全间隔，本场使用范围垂直高度为900m（海平面基准）。</w:t>
      </w:r>
    </w:p>
    <w:p w14:paraId="0A2D2436">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目视离场</w:t>
      </w:r>
    </w:p>
    <w:p w14:paraId="02871505">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（1）RWY18目视离场方案</w:t>
      </w:r>
    </w:p>
    <w:p w14:paraId="6ED44A73">
      <w:pPr>
        <w:pageBreakBefore w:val="0"/>
        <w:widowControl/>
        <w:kinsoku/>
        <w:wordWrap/>
        <w:overflowPunct/>
        <w:autoSpaceDE w:val="0"/>
        <w:autoSpaceDN w:val="0"/>
        <w:bidi w:val="0"/>
        <w:ind w:firstLine="480" w:firstLineChars="200"/>
        <w:jc w:val="both"/>
        <w:rPr>
          <w:rFonts w:hint="default" w:cs="Times New Roman"/>
          <w:color w:val="auto"/>
          <w:szCs w:val="24"/>
          <w:highlight w:val="none"/>
          <w:lang w:val="en-US" w:eastAsia="zh-CN"/>
        </w:rPr>
      </w:pPr>
      <w:r>
        <w:rPr>
          <w:rFonts w:hint="eastAsia" w:cs="Times New Roman"/>
          <w:color w:val="auto"/>
          <w:szCs w:val="24"/>
          <w:highlight w:val="none"/>
          <w:lang w:val="en-US" w:eastAsia="zh-CN"/>
        </w:rPr>
        <w:t>航空器起飞以磁航向176°直线爬升，加入本场起落航线盘旋上升至目标航路最低安全高度（</w:t>
      </w:r>
      <w:r>
        <w:rPr>
          <w:rFonts w:hint="eastAsia" w:cs="Times New Roman"/>
          <w:i/>
          <w:iCs/>
          <w:color w:val="auto"/>
          <w:szCs w:val="24"/>
          <w:highlight w:val="none"/>
          <w:lang w:val="en-US" w:eastAsia="zh-CN"/>
        </w:rPr>
        <w:t>H</w:t>
      </w:r>
      <w:r>
        <w:rPr>
          <w:rFonts w:hint="eastAsia" w:cs="Times New Roman"/>
          <w:color w:val="auto"/>
          <w:szCs w:val="24"/>
          <w:highlight w:val="none"/>
          <w:lang w:val="en-US" w:eastAsia="zh-CN"/>
        </w:rPr>
        <w:t>≥900m），通过机场跑道上空沿磁航向110°飞行约11.6km至强制报告点P165（</w:t>
      </w:r>
      <w:r>
        <w:rPr>
          <w:rFonts w:hint="eastAsia" w:cs="Times New Roman"/>
          <w:i/>
          <w:iCs/>
          <w:color w:val="auto"/>
          <w:szCs w:val="24"/>
          <w:highlight w:val="none"/>
          <w:lang w:val="en-US" w:eastAsia="zh-CN"/>
        </w:rPr>
        <w:t>H</w:t>
      </w:r>
      <w:r>
        <w:rPr>
          <w:rFonts w:hint="eastAsia" w:cs="Times New Roman"/>
          <w:color w:val="auto"/>
          <w:szCs w:val="24"/>
          <w:highlight w:val="none"/>
          <w:lang w:val="en-US" w:eastAsia="zh-CN"/>
        </w:rPr>
        <w:t>=2700m）加入航线；周边航路航线有J87（</w:t>
      </w:r>
      <w:r>
        <w:rPr>
          <w:rFonts w:hint="eastAsia" w:cs="Times New Roman"/>
          <w:i/>
          <w:iCs/>
          <w:color w:val="auto"/>
          <w:szCs w:val="24"/>
          <w:highlight w:val="none"/>
          <w:lang w:val="en-US" w:eastAsia="zh-CN"/>
        </w:rPr>
        <w:t>H</w:t>
      </w:r>
      <w:r>
        <w:rPr>
          <w:rFonts w:hint="eastAsia" w:cs="Times New Roman"/>
          <w:color w:val="auto"/>
          <w:szCs w:val="24"/>
          <w:highlight w:val="none"/>
          <w:lang w:val="en-US" w:eastAsia="zh-CN"/>
        </w:rPr>
        <w:t>≥2850m）、H69（</w:t>
      </w:r>
      <w:r>
        <w:rPr>
          <w:rFonts w:hint="eastAsia" w:cs="Times New Roman"/>
          <w:i/>
          <w:iCs/>
          <w:color w:val="auto"/>
          <w:szCs w:val="24"/>
          <w:highlight w:val="none"/>
          <w:lang w:val="en-US" w:eastAsia="zh-CN"/>
        </w:rPr>
        <w:t>H</w:t>
      </w:r>
      <w:r>
        <w:rPr>
          <w:rFonts w:hint="eastAsia" w:cs="Times New Roman"/>
          <w:color w:val="auto"/>
          <w:szCs w:val="24"/>
          <w:highlight w:val="none"/>
          <w:lang w:val="en-US" w:eastAsia="zh-CN"/>
        </w:rPr>
        <w:t>≥2600m/4719m）、H70（</w:t>
      </w:r>
      <w:r>
        <w:rPr>
          <w:rFonts w:hint="eastAsia" w:cs="Times New Roman"/>
          <w:i/>
          <w:iCs/>
          <w:color w:val="auto"/>
          <w:szCs w:val="24"/>
          <w:highlight w:val="none"/>
          <w:lang w:val="en-US" w:eastAsia="zh-CN"/>
        </w:rPr>
        <w:t>H</w:t>
      </w:r>
      <w:r>
        <w:rPr>
          <w:rFonts w:hint="eastAsia" w:cs="Times New Roman"/>
          <w:color w:val="auto"/>
          <w:szCs w:val="24"/>
          <w:highlight w:val="none"/>
          <w:lang w:val="en-US" w:eastAsia="zh-CN"/>
        </w:rPr>
        <w:t>≥4237m/5107m）、X56（</w:t>
      </w:r>
      <w:r>
        <w:rPr>
          <w:rFonts w:hint="eastAsia" w:cs="Times New Roman"/>
          <w:i/>
          <w:iCs/>
          <w:color w:val="auto"/>
          <w:szCs w:val="24"/>
          <w:highlight w:val="none"/>
          <w:lang w:val="en-US" w:eastAsia="zh-CN"/>
        </w:rPr>
        <w:t>H</w:t>
      </w:r>
      <w:r>
        <w:rPr>
          <w:rFonts w:hint="eastAsia" w:cs="Times New Roman"/>
          <w:color w:val="auto"/>
          <w:szCs w:val="24"/>
          <w:highlight w:val="none"/>
          <w:lang w:val="en-US" w:eastAsia="zh-CN"/>
        </w:rPr>
        <w:t>≥4050m）等。</w:t>
      </w:r>
    </w:p>
    <w:p w14:paraId="798E3259">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航空器起飞以磁航向176°直线爬升，加入本场起落航线盘旋上升，过机场跑道上空沿磁航向304°飞行约46.8km至博乐机场（</w:t>
      </w:r>
      <w:r>
        <w:rPr>
          <w:rFonts w:hint="eastAsia" w:cs="Times New Roman"/>
          <w:i/>
          <w:iCs/>
          <w:color w:val="auto"/>
          <w:szCs w:val="24"/>
          <w:highlight w:val="none"/>
          <w:lang w:val="en-US" w:eastAsia="zh-CN"/>
        </w:rPr>
        <w:t>H</w:t>
      </w:r>
      <w:r>
        <w:rPr>
          <w:rFonts w:hint="eastAsia" w:cs="Times New Roman"/>
          <w:color w:val="auto"/>
          <w:szCs w:val="24"/>
          <w:highlight w:val="none"/>
          <w:lang w:val="en-US" w:eastAsia="zh-CN"/>
        </w:rPr>
        <w:t>≥1500m）。</w:t>
      </w:r>
    </w:p>
    <w:p w14:paraId="47150B1D">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根据短途运输航线规划，本场主要规划至阿勒泰、喀纳斯、塔城等地，使用H69（北）航路航线，高度为2600m，衔接较为顺畅。</w:t>
      </w:r>
    </w:p>
    <w:p w14:paraId="74ABA375">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规划至石河子、乌鲁木齐方向航线，采用与博乐机场相同进离场航路点（目视地标），以便于顺畅衔接航路高度。</w:t>
      </w:r>
    </w:p>
    <w:p w14:paraId="7D80B365">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（2）RWY36目视离场方案</w:t>
      </w:r>
    </w:p>
    <w:p w14:paraId="38A6C828">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航空器起飞以磁航向356°直线爬升，加入本场起落航线盘旋上升至目标航路最低安全高度，通过机场跑道上空沿磁航向110°飞行约11.6km至强制报告点P165加入航线。</w:t>
      </w:r>
    </w:p>
    <w:p w14:paraId="70B24A7B">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航空器起飞以磁航向356°直线爬升，加入本场起落航线盘旋上升，过机场跑道上空沿磁航向304°飞行约46.8km至博乐机场。</w:t>
      </w:r>
    </w:p>
    <w:p w14:paraId="3398E305">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目视进场</w:t>
      </w:r>
    </w:p>
    <w:p w14:paraId="30F2A4C6">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（1）18号跑道目视进场方案</w:t>
      </w:r>
    </w:p>
    <w:p w14:paraId="02C43ED7">
      <w:pPr>
        <w:pageBreakBefore w:val="0"/>
        <w:widowControl/>
        <w:kinsoku/>
        <w:wordWrap/>
        <w:overflowPunct/>
        <w:autoSpaceDE w:val="0"/>
        <w:autoSpaceDN w:val="0"/>
        <w:bidi w:val="0"/>
        <w:ind w:firstLine="480" w:firstLineChars="200"/>
        <w:jc w:val="both"/>
        <w:rPr>
          <w:rFonts w:hint="default" w:cs="Times New Roman"/>
          <w:color w:val="auto"/>
          <w:szCs w:val="24"/>
          <w:highlight w:val="none"/>
          <w:lang w:val="en-US" w:eastAsia="zh-CN"/>
        </w:rPr>
      </w:pPr>
      <w:r>
        <w:rPr>
          <w:rFonts w:hint="eastAsia" w:cs="Times New Roman"/>
          <w:color w:val="auto"/>
          <w:szCs w:val="24"/>
          <w:highlight w:val="none"/>
          <w:lang w:val="en-US" w:eastAsia="zh-CN"/>
        </w:rPr>
        <w:t>航空器沿既定航路，保持安全高度从报告点P165脱离，以磁航向290°目视飞向机场，加入本场起落航线降低高度，对正五边后沿磁航迹176°进近着陆。</w:t>
      </w:r>
    </w:p>
    <w:p w14:paraId="3CC81869">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航空器从博乐机场，沿磁航向124°飞行约46.8km，目视飞向机场，加入本场起落航线降低高度，对正五边后沿磁航迹176°进近着陆。</w:t>
      </w:r>
    </w:p>
    <w:p w14:paraId="7A21557F">
      <w:pPr>
        <w:pageBreakBefore w:val="0"/>
        <w:widowControl/>
        <w:kinsoku/>
        <w:wordWrap/>
        <w:overflowPunct/>
        <w:autoSpaceDE w:val="0"/>
        <w:autoSpaceDN w:val="0"/>
        <w:bidi w:val="0"/>
        <w:ind w:firstLine="480" w:firstLineChars="200"/>
        <w:jc w:val="both"/>
        <w:rPr>
          <w:rFonts w:hint="default" w:cs="Times New Roman"/>
          <w:color w:val="auto"/>
          <w:szCs w:val="24"/>
          <w:highlight w:val="none"/>
          <w:lang w:val="en-US" w:eastAsia="zh-CN"/>
        </w:rPr>
      </w:pPr>
      <w:r>
        <w:rPr>
          <w:rFonts w:hint="eastAsia" w:cs="Times New Roman"/>
          <w:color w:val="auto"/>
          <w:szCs w:val="24"/>
          <w:highlight w:val="none"/>
          <w:lang w:val="en-US" w:eastAsia="zh-CN"/>
        </w:rPr>
        <w:t>航空器目视转场需向军民航相关管制单位提交飞行计划，并接受相关管制。</w:t>
      </w:r>
    </w:p>
    <w:p w14:paraId="5FAFDA28">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（2）36号跑道目视进场方案</w:t>
      </w:r>
    </w:p>
    <w:p w14:paraId="05452BA1">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航空器沿既定航路，保持安全高度从报告点P165脱离，以磁航向290°目视飞向机场，加入本场起落航线降低高度，对正五边后沿磁航迹356°进近着陆；航空器从博乐机场，沿磁航向124°飞行约46.8km，目视飞向机场，加入本场起落航线降低高度，对正五边后沿磁航迹356°进近着陆。</w:t>
      </w:r>
    </w:p>
    <w:p w14:paraId="51004483">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远期机场跑道运行类别根据需要适时升级为非精密进近仪表跑道，将配备相应的进近灯光系统、滑行道灯光系统，同时配套设置相应的供电设施。</w:t>
      </w:r>
    </w:p>
    <w:p w14:paraId="45B524B7">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直升机起降点灯光系统：在航站航管综合楼屋顶设置直升机场灯标。</w:t>
      </w:r>
    </w:p>
    <w:p w14:paraId="696C31CA">
      <w:pPr>
        <w:pageBreakBefore w:val="0"/>
        <w:widowControl/>
        <w:kinsoku/>
        <w:wordWrap/>
        <w:overflowPunct/>
        <w:autoSpaceDE w:val="0"/>
        <w:autoSpaceDN w:val="0"/>
        <w:bidi w:val="0"/>
        <w:ind w:firstLine="480" w:firstLineChars="200"/>
        <w:jc w:val="both"/>
        <w:rPr>
          <w:rFonts w:hint="eastAsia" w:cs="Times New Roman"/>
          <w:color w:val="auto"/>
          <w:szCs w:val="24"/>
          <w:highlight w:val="none"/>
          <w:lang w:val="en-US" w:eastAsia="zh-CN"/>
        </w:rPr>
      </w:pPr>
      <w:r>
        <w:rPr>
          <w:rFonts w:hint="eastAsia" w:cs="Times New Roman"/>
          <w:color w:val="auto"/>
          <w:szCs w:val="24"/>
          <w:highlight w:val="none"/>
          <w:lang w:val="en-US" w:eastAsia="zh-CN"/>
        </w:rPr>
        <w:t>TLOF边灯：沿TLOF边线均匀设置，采用嵌入式发绿色光的固定式全向灯，共设置15盏灯。</w:t>
      </w:r>
    </w:p>
    <w:p w14:paraId="02359A79">
      <w:pPr>
        <w:keepNext/>
        <w:keepLines/>
        <w:pageBreakBefore w:val="0"/>
        <w:widowControl w:val="0"/>
        <w:numPr>
          <w:ilvl w:val="1"/>
          <w:numId w:val="10"/>
        </w:numPr>
        <w:kinsoku/>
        <w:overflowPunct/>
        <w:bidi w:val="0"/>
        <w:spacing w:line="360" w:lineRule="auto"/>
        <w:ind w:left="567" w:hanging="567"/>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17" w:name="_Toc27143"/>
      <w:r>
        <w:rPr>
          <w:rFonts w:hint="eastAsia" w:ascii="Times New Roman" w:hAnsi="Times New Roman" w:eastAsia="黑体" w:cs="Times New Roman"/>
          <w:bCs/>
          <w:color w:val="auto"/>
          <w:spacing w:val="0"/>
          <w:w w:val="100"/>
          <w:kern w:val="28"/>
          <w:sz w:val="30"/>
          <w:szCs w:val="30"/>
          <w:highlight w:val="none"/>
          <w:lang w:val="en-US" w:eastAsia="zh-CN" w:bidi="ar-SA"/>
        </w:rPr>
        <w:t>航空业务量</w:t>
      </w:r>
      <w:bookmarkEnd w:id="217"/>
    </w:p>
    <w:p w14:paraId="7CA240F5">
      <w:pPr>
        <w:pageBreakBefore w:val="0"/>
        <w:widowControl/>
        <w:kinsoku/>
        <w:wordWrap/>
        <w:overflowPunct/>
        <w:bidi w:val="0"/>
        <w:ind w:firstLine="480" w:firstLineChars="200"/>
        <w:jc w:val="both"/>
        <w:rPr>
          <w:rFonts w:hint="eastAsia" w:ascii="Times New Roman" w:hAnsi="Times New Roman" w:eastAsia="宋体" w:cs="Times New Roman"/>
          <w:color w:val="auto"/>
          <w:szCs w:val="22"/>
          <w:highlight w:val="none"/>
          <w:lang w:val="en-US" w:eastAsia="zh-CN" w:bidi="ar"/>
        </w:rPr>
      </w:pPr>
      <w:r>
        <w:rPr>
          <w:rFonts w:hint="eastAsia" w:ascii="Times New Roman" w:hAnsi="Times New Roman" w:eastAsia="宋体" w:cs="Times New Roman"/>
          <w:color w:val="auto"/>
          <w:szCs w:val="22"/>
          <w:highlight w:val="none"/>
          <w:lang w:bidi="ar"/>
        </w:rPr>
        <w:t>根据《环境影响评价技术导则 民用机场建设工程》（HJ87-2023）</w:t>
      </w:r>
      <w:r>
        <w:rPr>
          <w:rFonts w:hint="eastAsia" w:cs="Times New Roman"/>
          <w:color w:val="auto"/>
          <w:szCs w:val="22"/>
          <w:highlight w:val="none"/>
          <w:lang w:eastAsia="zh-CN" w:bidi="ar"/>
        </w:rPr>
        <w:t>，通用机场不同机型的飞行架次应按飞行活动类型分别给出。</w:t>
      </w:r>
      <w:r>
        <w:rPr>
          <w:rFonts w:hint="eastAsia" w:cs="Times New Roman"/>
          <w:color w:val="auto"/>
          <w:szCs w:val="22"/>
          <w:highlight w:val="none"/>
          <w:lang w:val="en-US" w:eastAsia="zh-CN" w:bidi="ar"/>
        </w:rPr>
        <w:t>本项目</w:t>
      </w:r>
      <w:r>
        <w:rPr>
          <w:rFonts w:hint="eastAsia" w:ascii="Times New Roman" w:hAnsi="Times New Roman" w:eastAsia="宋体" w:cs="Times New Roman"/>
          <w:color w:val="auto"/>
          <w:szCs w:val="22"/>
          <w:highlight w:val="none"/>
          <w:lang w:bidi="ar"/>
        </w:rPr>
        <w:t>建成后主要</w:t>
      </w:r>
      <w:r>
        <w:rPr>
          <w:rFonts w:hint="eastAsia" w:cs="Times New Roman"/>
          <w:color w:val="auto"/>
          <w:szCs w:val="22"/>
          <w:highlight w:val="none"/>
          <w:lang w:val="en-US" w:eastAsia="zh-CN" w:bidi="ar"/>
        </w:rPr>
        <w:t>有</w:t>
      </w:r>
      <w:r>
        <w:rPr>
          <w:rFonts w:hint="eastAsia" w:ascii="Times New Roman" w:hAnsi="Times New Roman" w:eastAsia="宋体" w:cs="Times New Roman"/>
          <w:color w:val="auto"/>
          <w:szCs w:val="22"/>
          <w:highlight w:val="none"/>
          <w:lang w:bidi="ar"/>
        </w:rPr>
        <w:t>空中游览观光、短途运输、农林作业、应急救援、包机飞行等通用航空业务。</w:t>
      </w:r>
      <w:r>
        <w:rPr>
          <w:rFonts w:hint="eastAsia" w:cs="Times New Roman"/>
          <w:color w:val="auto"/>
          <w:szCs w:val="22"/>
          <w:highlight w:val="none"/>
          <w:lang w:val="en-US" w:eastAsia="zh-CN" w:bidi="ar"/>
        </w:rPr>
        <w:t>本期</w:t>
      </w:r>
      <w:r>
        <w:rPr>
          <w:rFonts w:hint="eastAsia" w:ascii="Times New Roman" w:hAnsi="Times New Roman" w:eastAsia="宋体" w:cs="Times New Roman"/>
          <w:color w:val="auto"/>
          <w:szCs w:val="22"/>
          <w:highlight w:val="none"/>
          <w:lang w:bidi="ar"/>
        </w:rPr>
        <w:t>目标年2030年，远期目标年2050年。</w:t>
      </w:r>
    </w:p>
    <w:p w14:paraId="55148E32">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空中游览观光</w:t>
      </w:r>
    </w:p>
    <w:p w14:paraId="3119AAA7">
      <w:pPr>
        <w:ind w:firstLine="48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精河县现有</w:t>
      </w:r>
      <w:r>
        <w:rPr>
          <w:rFonts w:hint="eastAsia" w:cs="Times New Roman"/>
          <w:color w:val="auto"/>
          <w:highlight w:val="none"/>
          <w:lang w:eastAsia="zh-CN"/>
        </w:rPr>
        <w:t>国家3A级旅游景区</w:t>
      </w:r>
      <w:r>
        <w:rPr>
          <w:rFonts w:hint="eastAsia" w:ascii="Times New Roman" w:hAnsi="Times New Roman" w:eastAsia="宋体" w:cs="Times New Roman"/>
          <w:color w:val="auto"/>
          <w:highlight w:val="none"/>
        </w:rPr>
        <w:t>3个，包括滨河景区、巴音阿门景区、木特塔尔沙漠景区；国家2A级景区1个（平安敖包景区）；境内有北疆最大的“国家级沙漠公园”</w:t>
      </w:r>
      <w:r>
        <w:rPr>
          <w:rFonts w:hint="eastAsia"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rPr>
        <w:t>木特塔尔国家沙漠公园、“国家级自然保护区”甘家湖梭梭林、大海子、小海子、红山嘴、冬都精等旅游景点。预测空中游览观光年旅客人数结果</w:t>
      </w:r>
      <w:r>
        <w:rPr>
          <w:rFonts w:hint="eastAsia" w:ascii="Times New Roman" w:hAnsi="Times New Roman" w:eastAsia="宋体" w:cs="Times New Roman"/>
          <w:color w:val="auto"/>
          <w:highlight w:val="none"/>
          <w:lang w:val="en-US" w:eastAsia="zh-CN"/>
        </w:rPr>
        <w:t>见</w:t>
      </w:r>
      <w:r>
        <w:rPr>
          <w:rFonts w:hint="eastAsia" w:ascii="Times New Roman" w:hAnsi="Times New Roman" w:eastAsia="宋体" w:cs="Times New Roman"/>
          <w:color w:val="auto"/>
          <w:highlight w:val="none"/>
        </w:rPr>
        <w:t>下表</w:t>
      </w:r>
      <w:r>
        <w:rPr>
          <w:rFonts w:hint="eastAsia" w:ascii="Times New Roman" w:hAnsi="Times New Roman" w:eastAsia="宋体" w:cs="Times New Roman"/>
          <w:color w:val="auto"/>
          <w:highlight w:val="none"/>
          <w:lang w:eastAsia="zh-CN"/>
        </w:rPr>
        <w:t>：</w:t>
      </w:r>
    </w:p>
    <w:p w14:paraId="36EF880D">
      <w:pPr>
        <w:ind w:firstLine="480" w:firstLineChars="200"/>
        <w:rPr>
          <w:rFonts w:hint="eastAsia" w:cs="Times New Roman"/>
          <w:color w:val="auto"/>
          <w:highlight w:val="none"/>
          <w:lang w:eastAsia="zh-CN"/>
        </w:rPr>
      </w:pPr>
      <w:r>
        <w:rPr>
          <w:rFonts w:hint="eastAsia" w:ascii="Times New Roman" w:hAnsi="Times New Roman" w:eastAsia="宋体" w:cs="Times New Roman"/>
          <w:color w:val="auto"/>
          <w:highlight w:val="none"/>
          <w:lang w:val="en-US" w:eastAsia="zh-CN"/>
        </w:rPr>
        <w:t>本期</w:t>
      </w:r>
      <w:r>
        <w:rPr>
          <w:rFonts w:hint="eastAsia" w:ascii="Times New Roman" w:hAnsi="Times New Roman" w:eastAsia="宋体" w:cs="Times New Roman"/>
          <w:color w:val="auto"/>
          <w:highlight w:val="none"/>
          <w:lang w:eastAsia="zh-CN"/>
        </w:rPr>
        <w:t>计划投入1架Y12E保障旅游景区点对点或景点环线的旅游飞行，结合机场运营实际分析，本场拟开展旅游观光线路为本场飞行体验，范围为本场拟用空域范围，高度900m以下</w:t>
      </w:r>
      <w:r>
        <w:rPr>
          <w:rFonts w:hint="eastAsia" w:cs="Times New Roman"/>
          <w:color w:val="auto"/>
          <w:highlight w:val="none"/>
          <w:lang w:eastAsia="zh-CN"/>
        </w:rPr>
        <w:t>。</w:t>
      </w:r>
      <w:r>
        <w:rPr>
          <w:rFonts w:hint="eastAsia" w:ascii="Times New Roman" w:hAnsi="Times New Roman" w:eastAsia="宋体" w:cs="Times New Roman"/>
          <w:color w:val="auto"/>
          <w:highlight w:val="none"/>
          <w:lang w:eastAsia="zh-CN"/>
        </w:rPr>
        <w:t>一天飞行两个班次，客座数10人/班次；投入1架罗宾逊R44保障低空飞行体验，一天飞行十二个班次，客座数2人/班次。</w:t>
      </w:r>
      <w:r>
        <w:rPr>
          <w:rFonts w:hint="eastAsia" w:ascii="Times New Roman" w:hAnsi="Times New Roman" w:eastAsia="宋体" w:cs="Times New Roman"/>
          <w:color w:val="auto"/>
          <w:highlight w:val="none"/>
          <w:lang w:val="en-US" w:eastAsia="zh-CN"/>
        </w:rPr>
        <w:t>本期</w:t>
      </w:r>
      <w:r>
        <w:rPr>
          <w:rFonts w:hint="eastAsia" w:ascii="Times New Roman" w:hAnsi="Times New Roman" w:eastAsia="宋体" w:cs="Times New Roman"/>
          <w:color w:val="auto"/>
          <w:highlight w:val="none"/>
          <w:lang w:eastAsia="zh-CN"/>
        </w:rPr>
        <w:t>年起降架次4796架次（按4800架次计）。远期计划投入2架Y12E保障旅游景区点对点或景点环线的旅游飞行，投入3架罗宾逊R44保障低空飞行体验，远期年降架次12240架次（</w:t>
      </w:r>
      <w:r>
        <w:rPr>
          <w:rFonts w:hint="eastAsia" w:ascii="Times New Roman" w:hAnsi="Times New Roman" w:eastAsia="宋体" w:cs="Times New Roman"/>
          <w:color w:val="auto"/>
          <w:highlight w:val="none"/>
          <w:lang w:val="en-US" w:eastAsia="zh-CN"/>
        </w:rPr>
        <w:t>按</w:t>
      </w:r>
      <w:r>
        <w:rPr>
          <w:rFonts w:hint="eastAsia" w:ascii="Times New Roman" w:hAnsi="Times New Roman" w:eastAsia="宋体" w:cs="Times New Roman"/>
          <w:color w:val="auto"/>
          <w:highlight w:val="none"/>
          <w:lang w:eastAsia="zh-CN"/>
        </w:rPr>
        <w:t>12000架次</w:t>
      </w:r>
      <w:r>
        <w:rPr>
          <w:rFonts w:hint="eastAsia" w:ascii="Times New Roman" w:hAnsi="Times New Roman" w:eastAsia="宋体" w:cs="Times New Roman"/>
          <w:color w:val="auto"/>
          <w:highlight w:val="none"/>
          <w:lang w:val="en-US" w:eastAsia="zh-CN"/>
        </w:rPr>
        <w:t>计</w:t>
      </w:r>
      <w:r>
        <w:rPr>
          <w:rFonts w:hint="eastAsia" w:ascii="Times New Roman" w:hAnsi="Times New Roman" w:eastAsia="宋体" w:cs="Times New Roman"/>
          <w:color w:val="auto"/>
          <w:highlight w:val="none"/>
          <w:lang w:eastAsia="zh-CN"/>
        </w:rPr>
        <w:t>）</w:t>
      </w:r>
      <w:r>
        <w:rPr>
          <w:rFonts w:hint="eastAsia" w:cs="Times New Roman"/>
          <w:color w:val="auto"/>
          <w:highlight w:val="none"/>
          <w:lang w:eastAsia="zh-CN"/>
        </w:rPr>
        <w:t>。</w:t>
      </w:r>
    </w:p>
    <w:p w14:paraId="69FAF376">
      <w:pPr>
        <w:ind w:firstLine="480" w:firstLineChars="200"/>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为保护区域鸟类生境、候鸟迁徙及生态环境，本次评价中空中游览观光内容不包括艾比湖、赛里木湖方向的航空器游览飞行。若后期开展艾比湖湿地国家级自然保护区及赛里木湖国家湿地公园低空旅游，需涉及本机场的使用，须另行开展环境影响论证</w:t>
      </w:r>
      <w:r>
        <w:rPr>
          <w:rFonts w:hint="eastAsia" w:cs="Times New Roman"/>
          <w:color w:val="auto"/>
          <w:highlight w:val="none"/>
          <w:lang w:eastAsia="zh-CN"/>
        </w:rPr>
        <w:t>。</w:t>
      </w:r>
    </w:p>
    <w:p w14:paraId="6EED86B0">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短途运输</w:t>
      </w:r>
    </w:p>
    <w:p w14:paraId="5373862A">
      <w:pPr>
        <w:ind w:firstLine="48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精河县短途运输飞行业务，旅客来源主要来源于外来游客和精河县</w:t>
      </w:r>
      <w:r>
        <w:rPr>
          <w:rFonts w:hint="eastAsia" w:ascii="Times New Roman" w:hAnsi="Times New Roman" w:eastAsia="宋体" w:cs="Times New Roman"/>
          <w:color w:val="auto"/>
          <w:highlight w:val="none"/>
          <w:lang w:val="en-US" w:eastAsia="zh-CN"/>
        </w:rPr>
        <w:t>本地居民</w:t>
      </w:r>
      <w:r>
        <w:rPr>
          <w:rFonts w:hint="eastAsia" w:ascii="Times New Roman" w:hAnsi="Times New Roman" w:eastAsia="宋体" w:cs="Times New Roman"/>
          <w:color w:val="auto"/>
          <w:highlight w:val="none"/>
          <w:lang w:eastAsia="zh-CN"/>
        </w:rPr>
        <w:t>进出精河县。预测短途运输年旅客人数结果如下表：</w:t>
      </w:r>
    </w:p>
    <w:p w14:paraId="52CC52BB">
      <w:pPr>
        <w:ind w:firstLine="48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为满足</w:t>
      </w:r>
      <w:r>
        <w:rPr>
          <w:rFonts w:hint="eastAsia" w:ascii="Times New Roman" w:hAnsi="Times New Roman" w:eastAsia="宋体" w:cs="Times New Roman"/>
          <w:color w:val="auto"/>
          <w:highlight w:val="none"/>
          <w:lang w:val="en-US" w:eastAsia="zh-CN"/>
        </w:rPr>
        <w:t>用户</w:t>
      </w:r>
      <w:r>
        <w:rPr>
          <w:rFonts w:hint="eastAsia" w:ascii="Times New Roman" w:hAnsi="Times New Roman" w:eastAsia="宋体" w:cs="Times New Roman"/>
          <w:color w:val="auto"/>
          <w:highlight w:val="none"/>
          <w:lang w:eastAsia="zh-CN"/>
        </w:rPr>
        <w:t>进出精河，</w:t>
      </w:r>
      <w:r>
        <w:rPr>
          <w:rFonts w:hint="eastAsia" w:ascii="Times New Roman" w:hAnsi="Times New Roman" w:eastAsia="宋体" w:cs="Times New Roman"/>
          <w:color w:val="auto"/>
          <w:highlight w:val="none"/>
          <w:lang w:val="en-US" w:eastAsia="zh-CN"/>
        </w:rPr>
        <w:t>本期</w:t>
      </w:r>
      <w:r>
        <w:rPr>
          <w:rFonts w:hint="eastAsia" w:ascii="Times New Roman" w:hAnsi="Times New Roman" w:eastAsia="宋体" w:cs="Times New Roman"/>
          <w:color w:val="auto"/>
          <w:highlight w:val="none"/>
          <w:lang w:eastAsia="zh-CN"/>
        </w:rPr>
        <w:t>计划投入1架Y12E和1架国王350</w:t>
      </w:r>
      <w:r>
        <w:rPr>
          <w:rFonts w:hint="eastAsia" w:cs="Times New Roman"/>
          <w:color w:val="auto"/>
          <w:highlight w:val="none"/>
          <w:lang w:val="en-US" w:eastAsia="zh-CN"/>
        </w:rPr>
        <w:t>ER</w:t>
      </w:r>
      <w:r>
        <w:rPr>
          <w:rFonts w:hint="eastAsia" w:ascii="Times New Roman" w:hAnsi="Times New Roman" w:eastAsia="宋体" w:cs="Times New Roman"/>
          <w:color w:val="auto"/>
          <w:highlight w:val="none"/>
          <w:lang w:eastAsia="zh-CN"/>
        </w:rPr>
        <w:t>飞机保障短途运输飞行，一天飞行四个班次，客座数10人/班次，</w:t>
      </w:r>
      <w:r>
        <w:rPr>
          <w:rFonts w:hint="eastAsia" w:ascii="Times New Roman" w:hAnsi="Times New Roman" w:eastAsia="宋体" w:cs="Times New Roman"/>
          <w:color w:val="auto"/>
          <w:highlight w:val="none"/>
          <w:lang w:val="en-US" w:eastAsia="zh-CN"/>
        </w:rPr>
        <w:t>本期</w:t>
      </w:r>
      <w:r>
        <w:rPr>
          <w:rFonts w:hint="eastAsia" w:ascii="Times New Roman" w:hAnsi="Times New Roman" w:eastAsia="宋体" w:cs="Times New Roman"/>
          <w:color w:val="auto"/>
          <w:highlight w:val="none"/>
          <w:lang w:eastAsia="zh-CN"/>
        </w:rPr>
        <w:t>年起降架次4800架次。远期Y12E和国王350ER均增加至3架，远期年降架次14400架次，短途运输预测结果如下表：</w:t>
      </w:r>
    </w:p>
    <w:p w14:paraId="21899C3A">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农林作业</w:t>
      </w:r>
    </w:p>
    <w:p w14:paraId="1B769C5B">
      <w:pPr>
        <w:ind w:firstLine="48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通用航空在农林播种、防虫防火</w:t>
      </w:r>
      <w:r>
        <w:rPr>
          <w:rFonts w:hint="eastAsia" w:ascii="Times New Roman" w:hAnsi="Times New Roman" w:eastAsia="宋体" w:cs="Times New Roman"/>
          <w:color w:val="auto"/>
          <w:highlight w:val="none"/>
          <w:lang w:val="en-US" w:eastAsia="zh-CN"/>
        </w:rPr>
        <w:t>等方面</w:t>
      </w:r>
      <w:r>
        <w:rPr>
          <w:rFonts w:hint="eastAsia" w:ascii="Times New Roman" w:hAnsi="Times New Roman" w:eastAsia="宋体" w:cs="Times New Roman"/>
          <w:color w:val="auto"/>
          <w:highlight w:val="none"/>
          <w:lang w:eastAsia="zh-CN"/>
        </w:rPr>
        <w:t>具有明显优势并存在着广阔的市场。精河通用机场</w:t>
      </w:r>
      <w:r>
        <w:rPr>
          <w:rFonts w:hint="eastAsia" w:ascii="Times New Roman" w:hAnsi="Times New Roman" w:eastAsia="宋体" w:cs="Times New Roman"/>
          <w:color w:val="auto"/>
          <w:highlight w:val="none"/>
          <w:lang w:val="en-US" w:eastAsia="zh-CN"/>
        </w:rPr>
        <w:t>本期、</w:t>
      </w:r>
      <w:r>
        <w:rPr>
          <w:rFonts w:hint="eastAsia" w:ascii="Times New Roman" w:hAnsi="Times New Roman" w:eastAsia="宋体" w:cs="Times New Roman"/>
          <w:color w:val="auto"/>
          <w:highlight w:val="none"/>
          <w:lang w:eastAsia="zh-CN"/>
        </w:rPr>
        <w:t>远期农林飞行作业量</w:t>
      </w:r>
      <w:r>
        <w:rPr>
          <w:rFonts w:hint="eastAsia" w:ascii="Times New Roman" w:hAnsi="Times New Roman" w:eastAsia="宋体" w:cs="Times New Roman"/>
          <w:color w:val="auto"/>
          <w:highlight w:val="none"/>
          <w:lang w:val="en-US" w:eastAsia="zh-CN"/>
        </w:rPr>
        <w:t>分别为</w:t>
      </w:r>
      <w:r>
        <w:rPr>
          <w:rFonts w:hint="eastAsia" w:ascii="Times New Roman" w:hAnsi="Times New Roman" w:eastAsia="宋体" w:cs="Times New Roman"/>
          <w:color w:val="auto"/>
          <w:highlight w:val="none"/>
          <w:lang w:eastAsia="zh-CN"/>
        </w:rPr>
        <w:t>15万亩、40万亩。</w:t>
      </w:r>
      <w:r>
        <w:rPr>
          <w:rFonts w:hint="eastAsia" w:ascii="Times New Roman" w:hAnsi="Times New Roman" w:eastAsia="宋体" w:cs="Times New Roman"/>
          <w:color w:val="auto"/>
          <w:highlight w:val="none"/>
          <w:lang w:val="en-US" w:eastAsia="zh-CN"/>
        </w:rPr>
        <w:t>对应</w:t>
      </w:r>
      <w:r>
        <w:rPr>
          <w:rFonts w:hint="eastAsia" w:ascii="Times New Roman" w:hAnsi="Times New Roman" w:eastAsia="宋体" w:cs="Times New Roman"/>
          <w:color w:val="auto"/>
          <w:highlight w:val="none"/>
          <w:lang w:eastAsia="zh-CN"/>
        </w:rPr>
        <w:t>需要1架Y-5B，年飞行架次180架次，远期农林作业需要2架Y-5B，年飞行架次480架次。</w:t>
      </w:r>
    </w:p>
    <w:p w14:paraId="39B98800">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应急救援</w:t>
      </w:r>
    </w:p>
    <w:p w14:paraId="46D8BD83">
      <w:pPr>
        <w:ind w:firstLine="48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通用航空在应急救援过程中发挥着重要作用。精河县对外交通主要靠公路和铁路，一旦有重大自然灾害的应急救援需求，精河通用机场供救援飞机起降，可以提高突发事件的应急救援响应能力。</w:t>
      </w:r>
      <w:r>
        <w:rPr>
          <w:rFonts w:hint="eastAsia" w:ascii="Times New Roman" w:hAnsi="Times New Roman" w:eastAsia="宋体" w:cs="Times New Roman"/>
          <w:color w:val="auto"/>
          <w:highlight w:val="none"/>
          <w:lang w:val="en-US" w:eastAsia="zh-CN"/>
        </w:rPr>
        <w:t>因此，</w:t>
      </w:r>
      <w:r>
        <w:rPr>
          <w:rFonts w:hint="eastAsia" w:ascii="Times New Roman" w:hAnsi="Times New Roman" w:eastAsia="宋体" w:cs="Times New Roman"/>
          <w:color w:val="auto"/>
          <w:highlight w:val="none"/>
          <w:lang w:eastAsia="zh-CN"/>
        </w:rPr>
        <w:t>精河通用机场应兼备应急救援功能</w:t>
      </w:r>
      <w:r>
        <w:rPr>
          <w:rFonts w:hint="eastAsia" w:ascii="Times New Roman" w:hAnsi="Times New Roman" w:eastAsia="宋体" w:cs="Times New Roman"/>
          <w:color w:val="auto"/>
          <w:highlight w:val="none"/>
          <w:lang w:val="en-US" w:eastAsia="zh-CN"/>
        </w:rPr>
        <w:t>及维稳</w:t>
      </w:r>
      <w:r>
        <w:rPr>
          <w:rFonts w:hint="eastAsia" w:ascii="Times New Roman" w:hAnsi="Times New Roman" w:eastAsia="宋体" w:cs="Times New Roman"/>
          <w:color w:val="auto"/>
          <w:highlight w:val="none"/>
          <w:lang w:eastAsia="zh-CN"/>
        </w:rPr>
        <w:t>功能。本期考虑1架直升机，远期考虑2架直升机。非应急救援时间，停机坪可以兼顾保障从事矿产和文物勘探飞行，同时兼顾航空摄影、空中广告、气象探测等其它业务。</w:t>
      </w:r>
    </w:p>
    <w:p w14:paraId="7302848E">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包机飞行</w:t>
      </w:r>
    </w:p>
    <w:p w14:paraId="15BE4F9E">
      <w:pPr>
        <w:ind w:firstLine="48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包机出行主要是旅行社或企事业单位与航空公司约定特定时间乘坐专门飞机出行。本期包机飞行保障机位按1架国王350ER机型考虑，年飞行架次120架次，远期按保障数量2架预留，年飞行架次约240架次。</w:t>
      </w:r>
    </w:p>
    <w:p w14:paraId="4753273D">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其它通用航空业务</w:t>
      </w:r>
    </w:p>
    <w:p w14:paraId="490C0CB2">
      <w:pPr>
        <w:ind w:firstLine="48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精河县矿产资源比较丰富，随着勘探的需求，利用通航飞机飞行从事矿产和文物勘探飞行也是市场的一个重要需求，同时航空摄影、空中广告、气象探测等其它通航业务飞行也是一个通航业务发展方向，考虑到商业需求是偶然性，本期不考虑专项停机位保障其起降，由应急救援停机坪兼顾，远期考虑1个停机位保障其起降业务。</w:t>
      </w:r>
    </w:p>
    <w:p w14:paraId="6D7B53A5">
      <w:pPr>
        <w:ind w:firstLine="48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飞行培训是目前国内通航市场的主要发展业务之一，精河通用机场可根据自身业务发展情况，适时引进飞行培训运营单位（航校），开展商照、私照等飞行员培训业务。本期建设不考虑飞行培训相关设施及机位保障，根据业务发展需要，由机场或运营方统一建设。</w:t>
      </w:r>
    </w:p>
    <w:p w14:paraId="4DE93A30">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航空业务量汇总</w:t>
      </w:r>
    </w:p>
    <w:p w14:paraId="19338EEC">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停机坪数量</w:t>
      </w:r>
    </w:p>
    <w:p w14:paraId="590841B1">
      <w:pPr>
        <w:ind w:firstLine="0"/>
        <w:jc w:val="center"/>
        <w:rPr>
          <w:rFonts w:hint="eastAsia" w:ascii="Times New Roman" w:hAnsi="Times New Roman" w:eastAsia="黑体" w:cs="Times New Roman"/>
          <w:color w:val="auto"/>
          <w:kern w:val="0"/>
          <w:sz w:val="21"/>
          <w:szCs w:val="20"/>
          <w:highlight w:val="none"/>
          <w:lang w:eastAsia="zh-CN"/>
        </w:rPr>
      </w:pPr>
      <w:r>
        <w:rPr>
          <w:rFonts w:hint="eastAsia" w:ascii="Times New Roman" w:hAnsi="Times New Roman" w:eastAsia="黑体" w:cs="Times New Roman"/>
          <w:color w:val="auto"/>
          <w:kern w:val="0"/>
          <w:sz w:val="21"/>
          <w:szCs w:val="20"/>
          <w:highlight w:val="none"/>
          <w:lang w:eastAsia="zh-CN"/>
        </w:rPr>
        <w:t>表</w:t>
      </w:r>
      <w:r>
        <w:rPr>
          <w:rFonts w:hint="eastAsia" w:eastAsia="黑体" w:cs="Times New Roman"/>
          <w:color w:val="auto"/>
          <w:kern w:val="0"/>
          <w:sz w:val="21"/>
          <w:szCs w:val="20"/>
          <w:highlight w:val="none"/>
          <w:lang w:eastAsia="zh-CN"/>
        </w:rPr>
        <w:t>3.4</w:t>
      </w:r>
      <w:r>
        <w:rPr>
          <w:rFonts w:hint="eastAsia" w:ascii="Times New Roman" w:hAnsi="Times New Roman" w:eastAsia="黑体" w:cs="Times New Roman"/>
          <w:color w:val="auto"/>
          <w:kern w:val="0"/>
          <w:sz w:val="21"/>
          <w:szCs w:val="20"/>
          <w:highlight w:val="none"/>
          <w:lang w:eastAsia="zh-CN"/>
        </w:rPr>
        <w:t>-</w:t>
      </w:r>
      <w:r>
        <w:rPr>
          <w:rFonts w:hint="eastAsia" w:ascii="Times New Roman" w:hAnsi="Times New Roman" w:eastAsia="黑体" w:cs="Times New Roman"/>
          <w:color w:val="auto"/>
          <w:kern w:val="0"/>
          <w:sz w:val="21"/>
          <w:szCs w:val="20"/>
          <w:highlight w:val="none"/>
          <w:lang w:val="en-US" w:eastAsia="zh-CN"/>
        </w:rPr>
        <w:t xml:space="preserve">8  </w:t>
      </w:r>
      <w:r>
        <w:rPr>
          <w:rFonts w:hint="eastAsia" w:ascii="Times New Roman" w:hAnsi="Times New Roman" w:eastAsia="黑体" w:cs="Times New Roman"/>
          <w:color w:val="auto"/>
          <w:kern w:val="0"/>
          <w:sz w:val="21"/>
          <w:szCs w:val="20"/>
          <w:highlight w:val="none"/>
          <w:lang w:eastAsia="zh-CN"/>
        </w:rPr>
        <w:t>停机坪数量</w:t>
      </w:r>
      <w:r>
        <w:rPr>
          <w:rFonts w:hint="eastAsia" w:ascii="Times New Roman" w:hAnsi="Times New Roman" w:eastAsia="黑体" w:cs="Times New Roman"/>
          <w:color w:val="auto"/>
          <w:kern w:val="0"/>
          <w:sz w:val="21"/>
          <w:szCs w:val="20"/>
          <w:highlight w:val="none"/>
          <w:lang w:val="en-US" w:eastAsia="zh-CN"/>
        </w:rPr>
        <w:t>一览</w:t>
      </w:r>
      <w:r>
        <w:rPr>
          <w:rFonts w:hint="eastAsia" w:ascii="Times New Roman" w:hAnsi="Times New Roman" w:eastAsia="黑体" w:cs="Times New Roman"/>
          <w:color w:val="auto"/>
          <w:kern w:val="0"/>
          <w:sz w:val="21"/>
          <w:szCs w:val="20"/>
          <w:highlight w:val="none"/>
          <w:lang w:eastAsia="zh-CN"/>
        </w:rPr>
        <w:t>表</w:t>
      </w:r>
    </w:p>
    <w:tbl>
      <w:tblPr>
        <w:tblStyle w:val="88"/>
        <w:tblW w:w="4999" w:type="pct"/>
        <w:tblInd w:w="0" w:type="dxa"/>
        <w:tblLayout w:type="autofit"/>
        <w:tblCellMar>
          <w:top w:w="0" w:type="dxa"/>
          <w:left w:w="0" w:type="dxa"/>
          <w:bottom w:w="0" w:type="dxa"/>
          <w:right w:w="0" w:type="dxa"/>
        </w:tblCellMar>
      </w:tblPr>
      <w:tblGrid>
        <w:gridCol w:w="3327"/>
        <w:gridCol w:w="2355"/>
        <w:gridCol w:w="2944"/>
      </w:tblGrid>
      <w:tr w14:paraId="5A3BC7B9">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331AC1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类别</w:t>
            </w:r>
          </w:p>
        </w:tc>
        <w:tc>
          <w:tcPr>
            <w:tcW w:w="1365" w:type="pct"/>
            <w:tcBorders>
              <w:top w:val="single" w:color="000000" w:sz="4" w:space="0"/>
              <w:left w:val="single" w:color="000000" w:sz="4" w:space="0"/>
              <w:bottom w:val="single" w:color="000000" w:sz="4" w:space="0"/>
              <w:right w:val="single" w:color="000000" w:sz="4" w:space="0"/>
            </w:tcBorders>
            <w:vAlign w:val="center"/>
          </w:tcPr>
          <w:p w14:paraId="729034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2030年</w:t>
            </w:r>
          </w:p>
        </w:tc>
        <w:tc>
          <w:tcPr>
            <w:tcW w:w="1706" w:type="pct"/>
            <w:tcBorders>
              <w:top w:val="single" w:color="000000" w:sz="4" w:space="0"/>
              <w:left w:val="single" w:color="000000" w:sz="4" w:space="0"/>
              <w:bottom w:val="single" w:color="000000" w:sz="4" w:space="0"/>
              <w:right w:val="single" w:color="000000" w:sz="4" w:space="0"/>
            </w:tcBorders>
            <w:vAlign w:val="center"/>
          </w:tcPr>
          <w:p w14:paraId="6BDE08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2050年</w:t>
            </w:r>
          </w:p>
        </w:tc>
      </w:tr>
      <w:tr w14:paraId="6F98A3F2">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29E5EB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空中游览观光</w:t>
            </w:r>
          </w:p>
        </w:tc>
        <w:tc>
          <w:tcPr>
            <w:tcW w:w="1365" w:type="pct"/>
            <w:tcBorders>
              <w:top w:val="single" w:color="000000" w:sz="4" w:space="0"/>
              <w:left w:val="single" w:color="000000" w:sz="4" w:space="0"/>
              <w:bottom w:val="single" w:color="000000" w:sz="4" w:space="0"/>
              <w:right w:val="single" w:color="000000" w:sz="4" w:space="0"/>
            </w:tcBorders>
            <w:vAlign w:val="center"/>
          </w:tcPr>
          <w:p w14:paraId="461299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w:t>
            </w:r>
          </w:p>
        </w:tc>
        <w:tc>
          <w:tcPr>
            <w:tcW w:w="1706" w:type="pct"/>
            <w:tcBorders>
              <w:top w:val="single" w:color="000000" w:sz="4" w:space="0"/>
              <w:left w:val="single" w:color="000000" w:sz="4" w:space="0"/>
              <w:bottom w:val="single" w:color="000000" w:sz="4" w:space="0"/>
              <w:right w:val="single" w:color="000000" w:sz="4" w:space="0"/>
            </w:tcBorders>
            <w:vAlign w:val="center"/>
          </w:tcPr>
          <w:p w14:paraId="3D8D5E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5</w:t>
            </w:r>
          </w:p>
        </w:tc>
      </w:tr>
      <w:tr w14:paraId="47DF267E">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4DEF42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短途运输</w:t>
            </w:r>
          </w:p>
        </w:tc>
        <w:tc>
          <w:tcPr>
            <w:tcW w:w="1365" w:type="pct"/>
            <w:tcBorders>
              <w:top w:val="single" w:color="000000" w:sz="4" w:space="0"/>
              <w:left w:val="single" w:color="000000" w:sz="4" w:space="0"/>
              <w:bottom w:val="single" w:color="000000" w:sz="4" w:space="0"/>
              <w:right w:val="single" w:color="000000" w:sz="4" w:space="0"/>
            </w:tcBorders>
            <w:vAlign w:val="center"/>
          </w:tcPr>
          <w:p w14:paraId="095FD1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w:t>
            </w:r>
          </w:p>
        </w:tc>
        <w:tc>
          <w:tcPr>
            <w:tcW w:w="1706" w:type="pct"/>
            <w:tcBorders>
              <w:top w:val="single" w:color="000000" w:sz="4" w:space="0"/>
              <w:left w:val="single" w:color="000000" w:sz="4" w:space="0"/>
              <w:bottom w:val="single" w:color="000000" w:sz="4" w:space="0"/>
              <w:right w:val="single" w:color="000000" w:sz="4" w:space="0"/>
            </w:tcBorders>
            <w:vAlign w:val="center"/>
          </w:tcPr>
          <w:p w14:paraId="06A096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6</w:t>
            </w:r>
          </w:p>
        </w:tc>
      </w:tr>
      <w:tr w14:paraId="771F11F6">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0CA88E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农林作业</w:t>
            </w:r>
          </w:p>
        </w:tc>
        <w:tc>
          <w:tcPr>
            <w:tcW w:w="1365" w:type="pct"/>
            <w:tcBorders>
              <w:top w:val="single" w:color="000000" w:sz="4" w:space="0"/>
              <w:left w:val="single" w:color="000000" w:sz="4" w:space="0"/>
              <w:bottom w:val="single" w:color="000000" w:sz="4" w:space="0"/>
              <w:right w:val="single" w:color="000000" w:sz="4" w:space="0"/>
            </w:tcBorders>
            <w:vAlign w:val="center"/>
          </w:tcPr>
          <w:p w14:paraId="6C79A2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w:t>
            </w:r>
          </w:p>
        </w:tc>
        <w:tc>
          <w:tcPr>
            <w:tcW w:w="1706" w:type="pct"/>
            <w:tcBorders>
              <w:top w:val="single" w:color="000000" w:sz="4" w:space="0"/>
              <w:left w:val="single" w:color="000000" w:sz="4" w:space="0"/>
              <w:bottom w:val="single" w:color="000000" w:sz="4" w:space="0"/>
              <w:right w:val="single" w:color="000000" w:sz="4" w:space="0"/>
            </w:tcBorders>
            <w:vAlign w:val="center"/>
          </w:tcPr>
          <w:p w14:paraId="70DEFA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w:t>
            </w:r>
          </w:p>
        </w:tc>
      </w:tr>
      <w:tr w14:paraId="2BA5F0E9">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7F358C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应急救援</w:t>
            </w:r>
          </w:p>
        </w:tc>
        <w:tc>
          <w:tcPr>
            <w:tcW w:w="1365" w:type="pct"/>
            <w:tcBorders>
              <w:top w:val="single" w:color="000000" w:sz="4" w:space="0"/>
              <w:left w:val="single" w:color="000000" w:sz="4" w:space="0"/>
              <w:bottom w:val="single" w:color="000000" w:sz="4" w:space="0"/>
              <w:right w:val="single" w:color="000000" w:sz="4" w:space="0"/>
            </w:tcBorders>
            <w:vAlign w:val="center"/>
          </w:tcPr>
          <w:p w14:paraId="731160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w:t>
            </w:r>
          </w:p>
        </w:tc>
        <w:tc>
          <w:tcPr>
            <w:tcW w:w="1706" w:type="pct"/>
            <w:tcBorders>
              <w:top w:val="single" w:color="000000" w:sz="4" w:space="0"/>
              <w:left w:val="single" w:color="000000" w:sz="4" w:space="0"/>
              <w:bottom w:val="single" w:color="000000" w:sz="4" w:space="0"/>
              <w:right w:val="single" w:color="000000" w:sz="4" w:space="0"/>
            </w:tcBorders>
            <w:vAlign w:val="center"/>
          </w:tcPr>
          <w:p w14:paraId="4C5AAF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w:t>
            </w:r>
          </w:p>
        </w:tc>
      </w:tr>
      <w:tr w14:paraId="57801349">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1D4383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包机飞行</w:t>
            </w:r>
          </w:p>
        </w:tc>
        <w:tc>
          <w:tcPr>
            <w:tcW w:w="1365" w:type="pct"/>
            <w:tcBorders>
              <w:top w:val="single" w:color="000000" w:sz="4" w:space="0"/>
              <w:left w:val="single" w:color="000000" w:sz="4" w:space="0"/>
              <w:bottom w:val="single" w:color="000000" w:sz="4" w:space="0"/>
              <w:right w:val="single" w:color="000000" w:sz="4" w:space="0"/>
            </w:tcBorders>
            <w:vAlign w:val="center"/>
          </w:tcPr>
          <w:p w14:paraId="445EAF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w:t>
            </w:r>
          </w:p>
        </w:tc>
        <w:tc>
          <w:tcPr>
            <w:tcW w:w="1706" w:type="pct"/>
            <w:tcBorders>
              <w:top w:val="single" w:color="000000" w:sz="4" w:space="0"/>
              <w:left w:val="single" w:color="000000" w:sz="4" w:space="0"/>
              <w:bottom w:val="single" w:color="000000" w:sz="4" w:space="0"/>
              <w:right w:val="single" w:color="000000" w:sz="4" w:space="0"/>
            </w:tcBorders>
            <w:vAlign w:val="center"/>
          </w:tcPr>
          <w:p w14:paraId="5DCB0E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w:t>
            </w:r>
          </w:p>
        </w:tc>
      </w:tr>
      <w:tr w14:paraId="0D42A9C3">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4D9732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其它</w:t>
            </w:r>
          </w:p>
        </w:tc>
        <w:tc>
          <w:tcPr>
            <w:tcW w:w="1365" w:type="pct"/>
            <w:tcBorders>
              <w:top w:val="single" w:color="000000" w:sz="4" w:space="0"/>
              <w:left w:val="single" w:color="000000" w:sz="4" w:space="0"/>
              <w:bottom w:val="single" w:color="000000" w:sz="4" w:space="0"/>
              <w:right w:val="single" w:color="000000" w:sz="4" w:space="0"/>
            </w:tcBorders>
            <w:vAlign w:val="center"/>
          </w:tcPr>
          <w:p w14:paraId="318F9D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0</w:t>
            </w:r>
          </w:p>
        </w:tc>
        <w:tc>
          <w:tcPr>
            <w:tcW w:w="1706" w:type="pct"/>
            <w:tcBorders>
              <w:top w:val="single" w:color="000000" w:sz="4" w:space="0"/>
              <w:left w:val="single" w:color="000000" w:sz="4" w:space="0"/>
              <w:bottom w:val="single" w:color="000000" w:sz="4" w:space="0"/>
              <w:right w:val="single" w:color="000000" w:sz="4" w:space="0"/>
            </w:tcBorders>
            <w:vAlign w:val="center"/>
          </w:tcPr>
          <w:p w14:paraId="3001E4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w:t>
            </w:r>
          </w:p>
        </w:tc>
      </w:tr>
      <w:tr w14:paraId="66579A85">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472DEF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合计（个）</w:t>
            </w:r>
          </w:p>
        </w:tc>
        <w:tc>
          <w:tcPr>
            <w:tcW w:w="1365" w:type="pct"/>
            <w:tcBorders>
              <w:top w:val="single" w:color="000000" w:sz="4" w:space="0"/>
              <w:left w:val="single" w:color="000000" w:sz="4" w:space="0"/>
              <w:bottom w:val="single" w:color="000000" w:sz="4" w:space="0"/>
              <w:right w:val="single" w:color="000000" w:sz="4" w:space="0"/>
            </w:tcBorders>
            <w:vAlign w:val="center"/>
          </w:tcPr>
          <w:p w14:paraId="041AA7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7</w:t>
            </w:r>
          </w:p>
        </w:tc>
        <w:tc>
          <w:tcPr>
            <w:tcW w:w="1706" w:type="pct"/>
            <w:tcBorders>
              <w:top w:val="single" w:color="000000" w:sz="4" w:space="0"/>
              <w:left w:val="single" w:color="000000" w:sz="4" w:space="0"/>
              <w:bottom w:val="single" w:color="000000" w:sz="4" w:space="0"/>
              <w:right w:val="single" w:color="000000" w:sz="4" w:space="0"/>
            </w:tcBorders>
            <w:vAlign w:val="center"/>
          </w:tcPr>
          <w:p w14:paraId="193D97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18</w:t>
            </w:r>
          </w:p>
        </w:tc>
      </w:tr>
    </w:tbl>
    <w:p w14:paraId="093125C1">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年起降架次</w:t>
      </w:r>
    </w:p>
    <w:p w14:paraId="3C439801">
      <w:pPr>
        <w:ind w:firstLine="0"/>
        <w:jc w:val="center"/>
        <w:rPr>
          <w:rFonts w:hint="eastAsia" w:ascii="Times New Roman" w:hAnsi="Times New Roman" w:eastAsia="黑体" w:cs="Times New Roman"/>
          <w:color w:val="auto"/>
          <w:kern w:val="0"/>
          <w:sz w:val="21"/>
          <w:szCs w:val="20"/>
          <w:highlight w:val="none"/>
          <w:lang w:eastAsia="zh-CN"/>
        </w:rPr>
      </w:pPr>
      <w:r>
        <w:rPr>
          <w:rFonts w:hint="eastAsia" w:ascii="Times New Roman" w:hAnsi="Times New Roman" w:eastAsia="黑体" w:cs="Times New Roman"/>
          <w:color w:val="auto"/>
          <w:kern w:val="0"/>
          <w:sz w:val="21"/>
          <w:szCs w:val="20"/>
          <w:highlight w:val="none"/>
          <w:lang w:eastAsia="zh-CN"/>
        </w:rPr>
        <w:t>表</w:t>
      </w:r>
      <w:r>
        <w:rPr>
          <w:rFonts w:hint="eastAsia" w:eastAsia="黑体" w:cs="Times New Roman"/>
          <w:color w:val="auto"/>
          <w:kern w:val="0"/>
          <w:sz w:val="21"/>
          <w:szCs w:val="20"/>
          <w:highlight w:val="none"/>
          <w:lang w:eastAsia="zh-CN"/>
        </w:rPr>
        <w:t>3.4</w:t>
      </w:r>
      <w:r>
        <w:rPr>
          <w:rFonts w:hint="eastAsia" w:ascii="Times New Roman" w:hAnsi="Times New Roman" w:eastAsia="黑体" w:cs="Times New Roman"/>
          <w:color w:val="auto"/>
          <w:kern w:val="0"/>
          <w:sz w:val="21"/>
          <w:szCs w:val="20"/>
          <w:highlight w:val="none"/>
          <w:lang w:eastAsia="zh-CN"/>
        </w:rPr>
        <w:t>-</w:t>
      </w:r>
      <w:r>
        <w:rPr>
          <w:rFonts w:hint="eastAsia" w:ascii="Times New Roman" w:hAnsi="Times New Roman" w:eastAsia="黑体" w:cs="Times New Roman"/>
          <w:color w:val="auto"/>
          <w:kern w:val="0"/>
          <w:sz w:val="21"/>
          <w:szCs w:val="20"/>
          <w:highlight w:val="none"/>
          <w:lang w:val="en-US" w:eastAsia="zh-CN"/>
        </w:rPr>
        <w:t xml:space="preserve">9  </w:t>
      </w:r>
      <w:r>
        <w:rPr>
          <w:rFonts w:hint="eastAsia" w:ascii="Times New Roman" w:hAnsi="Times New Roman" w:eastAsia="黑体" w:cs="Times New Roman"/>
          <w:color w:val="auto"/>
          <w:kern w:val="0"/>
          <w:sz w:val="21"/>
          <w:szCs w:val="20"/>
          <w:highlight w:val="none"/>
          <w:lang w:eastAsia="zh-CN"/>
        </w:rPr>
        <w:t>年起降架次</w:t>
      </w:r>
      <w:r>
        <w:rPr>
          <w:rFonts w:hint="eastAsia" w:ascii="Times New Roman" w:hAnsi="Times New Roman" w:eastAsia="黑体" w:cs="Times New Roman"/>
          <w:color w:val="auto"/>
          <w:kern w:val="0"/>
          <w:sz w:val="21"/>
          <w:szCs w:val="20"/>
          <w:highlight w:val="none"/>
          <w:lang w:val="en-US" w:eastAsia="zh-CN"/>
        </w:rPr>
        <w:t>一览</w:t>
      </w:r>
      <w:r>
        <w:rPr>
          <w:rFonts w:hint="eastAsia" w:ascii="Times New Roman" w:hAnsi="Times New Roman" w:eastAsia="黑体" w:cs="Times New Roman"/>
          <w:color w:val="auto"/>
          <w:kern w:val="0"/>
          <w:sz w:val="21"/>
          <w:szCs w:val="20"/>
          <w:highlight w:val="none"/>
          <w:lang w:eastAsia="zh-CN"/>
        </w:rPr>
        <w:t>表</w:t>
      </w:r>
    </w:p>
    <w:tbl>
      <w:tblPr>
        <w:tblStyle w:val="88"/>
        <w:tblW w:w="4999" w:type="pct"/>
        <w:tblInd w:w="0" w:type="dxa"/>
        <w:tblLayout w:type="autofit"/>
        <w:tblCellMar>
          <w:top w:w="0" w:type="dxa"/>
          <w:left w:w="0" w:type="dxa"/>
          <w:bottom w:w="0" w:type="dxa"/>
          <w:right w:w="0" w:type="dxa"/>
        </w:tblCellMar>
      </w:tblPr>
      <w:tblGrid>
        <w:gridCol w:w="3327"/>
        <w:gridCol w:w="2355"/>
        <w:gridCol w:w="2944"/>
      </w:tblGrid>
      <w:tr w14:paraId="60625EFE">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41FC27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类别</w:t>
            </w:r>
          </w:p>
        </w:tc>
        <w:tc>
          <w:tcPr>
            <w:tcW w:w="1365" w:type="pct"/>
            <w:tcBorders>
              <w:top w:val="single" w:color="000000" w:sz="4" w:space="0"/>
              <w:left w:val="single" w:color="000000" w:sz="4" w:space="0"/>
              <w:bottom w:val="single" w:color="000000" w:sz="4" w:space="0"/>
              <w:right w:val="single" w:color="000000" w:sz="4" w:space="0"/>
            </w:tcBorders>
            <w:vAlign w:val="center"/>
          </w:tcPr>
          <w:p w14:paraId="21B662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2030年</w:t>
            </w:r>
          </w:p>
        </w:tc>
        <w:tc>
          <w:tcPr>
            <w:tcW w:w="1706" w:type="pct"/>
            <w:tcBorders>
              <w:top w:val="single" w:color="000000" w:sz="4" w:space="0"/>
              <w:left w:val="single" w:color="000000" w:sz="4" w:space="0"/>
              <w:bottom w:val="single" w:color="000000" w:sz="4" w:space="0"/>
              <w:right w:val="single" w:color="000000" w:sz="4" w:space="0"/>
            </w:tcBorders>
            <w:vAlign w:val="center"/>
          </w:tcPr>
          <w:p w14:paraId="228004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2050年</w:t>
            </w:r>
          </w:p>
        </w:tc>
      </w:tr>
      <w:tr w14:paraId="0F3F9AB5">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5142C9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空中游览观光</w:t>
            </w:r>
          </w:p>
        </w:tc>
        <w:tc>
          <w:tcPr>
            <w:tcW w:w="1365" w:type="pct"/>
            <w:tcBorders>
              <w:top w:val="single" w:color="000000" w:sz="4" w:space="0"/>
              <w:left w:val="single" w:color="000000" w:sz="4" w:space="0"/>
              <w:bottom w:val="single" w:color="000000" w:sz="4" w:space="0"/>
              <w:right w:val="single" w:color="000000" w:sz="4" w:space="0"/>
            </w:tcBorders>
            <w:vAlign w:val="center"/>
          </w:tcPr>
          <w:p w14:paraId="3A9C51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4800</w:t>
            </w:r>
          </w:p>
        </w:tc>
        <w:tc>
          <w:tcPr>
            <w:tcW w:w="1706" w:type="pct"/>
            <w:tcBorders>
              <w:top w:val="single" w:color="000000" w:sz="4" w:space="0"/>
              <w:left w:val="single" w:color="000000" w:sz="4" w:space="0"/>
              <w:bottom w:val="single" w:color="000000" w:sz="4" w:space="0"/>
              <w:right w:val="single" w:color="000000" w:sz="4" w:space="0"/>
            </w:tcBorders>
            <w:vAlign w:val="center"/>
          </w:tcPr>
          <w:p w14:paraId="370B72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12000</w:t>
            </w:r>
          </w:p>
        </w:tc>
      </w:tr>
      <w:tr w14:paraId="414C2C82">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503A4E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短途运输</w:t>
            </w:r>
          </w:p>
        </w:tc>
        <w:tc>
          <w:tcPr>
            <w:tcW w:w="1365" w:type="pct"/>
            <w:tcBorders>
              <w:top w:val="single" w:color="000000" w:sz="4" w:space="0"/>
              <w:left w:val="single" w:color="000000" w:sz="4" w:space="0"/>
              <w:bottom w:val="single" w:color="000000" w:sz="4" w:space="0"/>
              <w:right w:val="single" w:color="000000" w:sz="4" w:space="0"/>
            </w:tcBorders>
            <w:vAlign w:val="center"/>
          </w:tcPr>
          <w:p w14:paraId="199F92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4800</w:t>
            </w:r>
          </w:p>
        </w:tc>
        <w:tc>
          <w:tcPr>
            <w:tcW w:w="1706" w:type="pct"/>
            <w:tcBorders>
              <w:top w:val="single" w:color="000000" w:sz="4" w:space="0"/>
              <w:left w:val="single" w:color="000000" w:sz="4" w:space="0"/>
              <w:bottom w:val="single" w:color="000000" w:sz="4" w:space="0"/>
              <w:right w:val="single" w:color="000000" w:sz="4" w:space="0"/>
            </w:tcBorders>
            <w:vAlign w:val="center"/>
          </w:tcPr>
          <w:p w14:paraId="577959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14400</w:t>
            </w:r>
          </w:p>
        </w:tc>
      </w:tr>
      <w:tr w14:paraId="188C7868">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681B8E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农林作业</w:t>
            </w:r>
          </w:p>
        </w:tc>
        <w:tc>
          <w:tcPr>
            <w:tcW w:w="1365" w:type="pct"/>
            <w:tcBorders>
              <w:top w:val="single" w:color="000000" w:sz="4" w:space="0"/>
              <w:left w:val="single" w:color="000000" w:sz="4" w:space="0"/>
              <w:bottom w:val="single" w:color="000000" w:sz="4" w:space="0"/>
              <w:right w:val="single" w:color="000000" w:sz="4" w:space="0"/>
            </w:tcBorders>
            <w:vAlign w:val="center"/>
          </w:tcPr>
          <w:p w14:paraId="5AA668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180</w:t>
            </w:r>
          </w:p>
        </w:tc>
        <w:tc>
          <w:tcPr>
            <w:tcW w:w="1706" w:type="pct"/>
            <w:tcBorders>
              <w:top w:val="single" w:color="000000" w:sz="4" w:space="0"/>
              <w:left w:val="single" w:color="000000" w:sz="4" w:space="0"/>
              <w:bottom w:val="single" w:color="000000" w:sz="4" w:space="0"/>
              <w:right w:val="single" w:color="000000" w:sz="4" w:space="0"/>
            </w:tcBorders>
            <w:vAlign w:val="center"/>
          </w:tcPr>
          <w:p w14:paraId="1FBDB9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480</w:t>
            </w:r>
          </w:p>
        </w:tc>
      </w:tr>
      <w:tr w14:paraId="12F8A41B">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4A1833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应急救援</w:t>
            </w:r>
          </w:p>
        </w:tc>
        <w:tc>
          <w:tcPr>
            <w:tcW w:w="1365" w:type="pct"/>
            <w:tcBorders>
              <w:top w:val="single" w:color="000000" w:sz="4" w:space="0"/>
              <w:left w:val="single" w:color="000000" w:sz="4" w:space="0"/>
              <w:bottom w:val="single" w:color="000000" w:sz="4" w:space="0"/>
              <w:right w:val="single" w:color="000000" w:sz="4" w:space="0"/>
            </w:tcBorders>
            <w:vAlign w:val="center"/>
          </w:tcPr>
          <w:p w14:paraId="3A3EFC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c>
          <w:tcPr>
            <w:tcW w:w="1706" w:type="pct"/>
            <w:tcBorders>
              <w:top w:val="single" w:color="000000" w:sz="4" w:space="0"/>
              <w:left w:val="single" w:color="000000" w:sz="4" w:space="0"/>
              <w:bottom w:val="single" w:color="000000" w:sz="4" w:space="0"/>
              <w:right w:val="single" w:color="000000" w:sz="4" w:space="0"/>
            </w:tcBorders>
            <w:vAlign w:val="center"/>
          </w:tcPr>
          <w:p w14:paraId="406C57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r>
      <w:tr w14:paraId="2C5F12BE">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177E97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包机飞行</w:t>
            </w:r>
          </w:p>
        </w:tc>
        <w:tc>
          <w:tcPr>
            <w:tcW w:w="1365" w:type="pct"/>
            <w:tcBorders>
              <w:top w:val="single" w:color="000000" w:sz="4" w:space="0"/>
              <w:left w:val="single" w:color="000000" w:sz="4" w:space="0"/>
              <w:bottom w:val="single" w:color="000000" w:sz="4" w:space="0"/>
              <w:right w:val="single" w:color="000000" w:sz="4" w:space="0"/>
            </w:tcBorders>
            <w:vAlign w:val="center"/>
          </w:tcPr>
          <w:p w14:paraId="21C526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120</w:t>
            </w:r>
          </w:p>
        </w:tc>
        <w:tc>
          <w:tcPr>
            <w:tcW w:w="1706" w:type="pct"/>
            <w:tcBorders>
              <w:top w:val="single" w:color="000000" w:sz="4" w:space="0"/>
              <w:left w:val="single" w:color="000000" w:sz="4" w:space="0"/>
              <w:bottom w:val="single" w:color="000000" w:sz="4" w:space="0"/>
              <w:right w:val="single" w:color="000000" w:sz="4" w:space="0"/>
            </w:tcBorders>
            <w:vAlign w:val="center"/>
          </w:tcPr>
          <w:p w14:paraId="7223B7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240</w:t>
            </w:r>
          </w:p>
        </w:tc>
      </w:tr>
      <w:tr w14:paraId="33760B5D">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2645D5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其它通用航空</w:t>
            </w:r>
          </w:p>
        </w:tc>
        <w:tc>
          <w:tcPr>
            <w:tcW w:w="1365" w:type="pct"/>
            <w:tcBorders>
              <w:top w:val="single" w:color="000000" w:sz="4" w:space="0"/>
              <w:left w:val="single" w:color="000000" w:sz="4" w:space="0"/>
              <w:bottom w:val="single" w:color="000000" w:sz="4" w:space="0"/>
              <w:right w:val="single" w:color="000000" w:sz="4" w:space="0"/>
            </w:tcBorders>
            <w:vAlign w:val="center"/>
          </w:tcPr>
          <w:p w14:paraId="6A5989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c>
          <w:tcPr>
            <w:tcW w:w="1706" w:type="pct"/>
            <w:tcBorders>
              <w:top w:val="single" w:color="000000" w:sz="4" w:space="0"/>
              <w:left w:val="single" w:color="000000" w:sz="4" w:space="0"/>
              <w:bottom w:val="single" w:color="000000" w:sz="4" w:space="0"/>
              <w:right w:val="single" w:color="000000" w:sz="4" w:space="0"/>
            </w:tcBorders>
            <w:vAlign w:val="center"/>
          </w:tcPr>
          <w:p w14:paraId="0675BA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r>
      <w:tr w14:paraId="617A61DB">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160C79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合计（架次）</w:t>
            </w:r>
          </w:p>
        </w:tc>
        <w:tc>
          <w:tcPr>
            <w:tcW w:w="1365" w:type="pct"/>
            <w:tcBorders>
              <w:top w:val="single" w:color="000000" w:sz="4" w:space="0"/>
              <w:left w:val="single" w:color="000000" w:sz="4" w:space="0"/>
              <w:bottom w:val="single" w:color="000000" w:sz="4" w:space="0"/>
              <w:right w:val="single" w:color="000000" w:sz="4" w:space="0"/>
            </w:tcBorders>
            <w:vAlign w:val="center"/>
          </w:tcPr>
          <w:p w14:paraId="20AD5B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9900</w:t>
            </w:r>
          </w:p>
        </w:tc>
        <w:tc>
          <w:tcPr>
            <w:tcW w:w="1706" w:type="pct"/>
            <w:tcBorders>
              <w:top w:val="single" w:color="000000" w:sz="4" w:space="0"/>
              <w:left w:val="single" w:color="000000" w:sz="4" w:space="0"/>
              <w:bottom w:val="single" w:color="000000" w:sz="4" w:space="0"/>
              <w:right w:val="single" w:color="000000" w:sz="4" w:space="0"/>
            </w:tcBorders>
            <w:vAlign w:val="center"/>
          </w:tcPr>
          <w:p w14:paraId="646692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27120</w:t>
            </w:r>
          </w:p>
        </w:tc>
      </w:tr>
    </w:tbl>
    <w:p w14:paraId="76BCFEBE">
      <w:pPr>
        <w:ind w:firstLine="0"/>
        <w:jc w:val="center"/>
        <w:rPr>
          <w:rFonts w:hint="eastAsia" w:ascii="Times New Roman" w:hAnsi="Times New Roman" w:eastAsia="黑体" w:cs="Times New Roman"/>
          <w:color w:val="auto"/>
          <w:kern w:val="0"/>
          <w:sz w:val="21"/>
          <w:szCs w:val="20"/>
          <w:highlight w:val="none"/>
          <w:lang w:eastAsia="zh-CN"/>
        </w:rPr>
      </w:pPr>
    </w:p>
    <w:p w14:paraId="463C09D8">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高峰小时起降架次</w:t>
      </w:r>
    </w:p>
    <w:p w14:paraId="01702FF3">
      <w:pPr>
        <w:ind w:firstLine="0"/>
        <w:jc w:val="center"/>
        <w:rPr>
          <w:rFonts w:hint="eastAsia" w:ascii="Times New Roman" w:hAnsi="Times New Roman" w:eastAsia="黑体" w:cs="Times New Roman"/>
          <w:color w:val="auto"/>
          <w:kern w:val="0"/>
          <w:sz w:val="21"/>
          <w:szCs w:val="20"/>
          <w:highlight w:val="none"/>
          <w:lang w:eastAsia="zh-CN"/>
        </w:rPr>
      </w:pPr>
      <w:r>
        <w:rPr>
          <w:rFonts w:hint="eastAsia" w:ascii="Times New Roman" w:hAnsi="Times New Roman" w:eastAsia="黑体" w:cs="Times New Roman"/>
          <w:color w:val="auto"/>
          <w:kern w:val="0"/>
          <w:sz w:val="21"/>
          <w:szCs w:val="20"/>
          <w:highlight w:val="none"/>
          <w:lang w:eastAsia="zh-CN"/>
        </w:rPr>
        <w:t>表</w:t>
      </w:r>
      <w:r>
        <w:rPr>
          <w:rFonts w:hint="eastAsia" w:eastAsia="黑体" w:cs="Times New Roman"/>
          <w:color w:val="auto"/>
          <w:kern w:val="0"/>
          <w:sz w:val="21"/>
          <w:szCs w:val="20"/>
          <w:highlight w:val="none"/>
          <w:lang w:eastAsia="zh-CN"/>
        </w:rPr>
        <w:t>3.4</w:t>
      </w:r>
      <w:r>
        <w:rPr>
          <w:rFonts w:hint="eastAsia" w:eastAsia="黑体" w:cs="Times New Roman"/>
          <w:color w:val="auto"/>
          <w:kern w:val="0"/>
          <w:sz w:val="21"/>
          <w:szCs w:val="20"/>
          <w:highlight w:val="none"/>
          <w:lang w:val="en-US" w:eastAsia="zh-CN"/>
        </w:rPr>
        <w:t>-10</w:t>
      </w:r>
      <w:r>
        <w:rPr>
          <w:rFonts w:hint="eastAsia" w:ascii="Times New Roman" w:hAnsi="Times New Roman" w:eastAsia="黑体" w:cs="Times New Roman"/>
          <w:color w:val="auto"/>
          <w:kern w:val="0"/>
          <w:sz w:val="21"/>
          <w:szCs w:val="20"/>
          <w:highlight w:val="none"/>
          <w:lang w:val="en-US" w:eastAsia="zh-CN"/>
        </w:rPr>
        <w:t xml:space="preserve">  </w:t>
      </w:r>
      <w:r>
        <w:rPr>
          <w:rFonts w:hint="eastAsia" w:ascii="Times New Roman" w:hAnsi="Times New Roman" w:eastAsia="黑体" w:cs="Times New Roman"/>
          <w:color w:val="auto"/>
          <w:kern w:val="0"/>
          <w:sz w:val="21"/>
          <w:szCs w:val="20"/>
          <w:highlight w:val="none"/>
          <w:lang w:eastAsia="zh-CN"/>
        </w:rPr>
        <w:t>高峰小时起降架次</w:t>
      </w:r>
      <w:r>
        <w:rPr>
          <w:rFonts w:hint="eastAsia" w:ascii="Times New Roman" w:hAnsi="Times New Roman" w:eastAsia="黑体" w:cs="Times New Roman"/>
          <w:color w:val="auto"/>
          <w:kern w:val="0"/>
          <w:sz w:val="21"/>
          <w:szCs w:val="20"/>
          <w:highlight w:val="none"/>
          <w:lang w:val="en-US" w:eastAsia="zh-CN"/>
        </w:rPr>
        <w:t>一览</w:t>
      </w:r>
      <w:r>
        <w:rPr>
          <w:rFonts w:hint="eastAsia" w:ascii="Times New Roman" w:hAnsi="Times New Roman" w:eastAsia="黑体" w:cs="Times New Roman"/>
          <w:color w:val="auto"/>
          <w:kern w:val="0"/>
          <w:sz w:val="21"/>
          <w:szCs w:val="20"/>
          <w:highlight w:val="none"/>
          <w:lang w:eastAsia="zh-CN"/>
        </w:rPr>
        <w:t>表</w:t>
      </w:r>
    </w:p>
    <w:tbl>
      <w:tblPr>
        <w:tblStyle w:val="88"/>
        <w:tblW w:w="4999" w:type="pct"/>
        <w:tblInd w:w="0" w:type="dxa"/>
        <w:tblLayout w:type="autofit"/>
        <w:tblCellMar>
          <w:top w:w="0" w:type="dxa"/>
          <w:left w:w="0" w:type="dxa"/>
          <w:bottom w:w="0" w:type="dxa"/>
          <w:right w:w="0" w:type="dxa"/>
        </w:tblCellMar>
      </w:tblPr>
      <w:tblGrid>
        <w:gridCol w:w="3327"/>
        <w:gridCol w:w="2355"/>
        <w:gridCol w:w="2944"/>
      </w:tblGrid>
      <w:tr w14:paraId="744D57C3">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6EDB8A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类别</w:t>
            </w:r>
          </w:p>
        </w:tc>
        <w:tc>
          <w:tcPr>
            <w:tcW w:w="1365" w:type="pct"/>
            <w:tcBorders>
              <w:top w:val="single" w:color="000000" w:sz="4" w:space="0"/>
              <w:left w:val="single" w:color="000000" w:sz="4" w:space="0"/>
              <w:bottom w:val="single" w:color="000000" w:sz="4" w:space="0"/>
              <w:right w:val="single" w:color="000000" w:sz="4" w:space="0"/>
            </w:tcBorders>
            <w:vAlign w:val="center"/>
          </w:tcPr>
          <w:p w14:paraId="5F574E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2030年</w:t>
            </w:r>
          </w:p>
        </w:tc>
        <w:tc>
          <w:tcPr>
            <w:tcW w:w="1706" w:type="pct"/>
            <w:tcBorders>
              <w:top w:val="single" w:color="000000" w:sz="4" w:space="0"/>
              <w:left w:val="single" w:color="000000" w:sz="4" w:space="0"/>
              <w:bottom w:val="single" w:color="000000" w:sz="4" w:space="0"/>
              <w:right w:val="single" w:color="000000" w:sz="4" w:space="0"/>
            </w:tcBorders>
            <w:vAlign w:val="center"/>
          </w:tcPr>
          <w:p w14:paraId="22F40D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2050年</w:t>
            </w:r>
          </w:p>
        </w:tc>
      </w:tr>
      <w:tr w14:paraId="6E297C56">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4EE3D1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空中游览观光</w:t>
            </w:r>
          </w:p>
        </w:tc>
        <w:tc>
          <w:tcPr>
            <w:tcW w:w="1365" w:type="pct"/>
            <w:tcBorders>
              <w:top w:val="single" w:color="000000" w:sz="4" w:space="0"/>
              <w:left w:val="single" w:color="000000" w:sz="4" w:space="0"/>
              <w:bottom w:val="single" w:color="000000" w:sz="4" w:space="0"/>
              <w:right w:val="single" w:color="000000" w:sz="4" w:space="0"/>
            </w:tcBorders>
            <w:vAlign w:val="center"/>
          </w:tcPr>
          <w:p w14:paraId="3A596C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4</w:t>
            </w:r>
          </w:p>
        </w:tc>
        <w:tc>
          <w:tcPr>
            <w:tcW w:w="1706" w:type="pct"/>
            <w:tcBorders>
              <w:top w:val="single" w:color="000000" w:sz="4" w:space="0"/>
              <w:left w:val="single" w:color="000000" w:sz="4" w:space="0"/>
              <w:bottom w:val="single" w:color="000000" w:sz="4" w:space="0"/>
              <w:right w:val="single" w:color="000000" w:sz="4" w:space="0"/>
            </w:tcBorders>
            <w:vAlign w:val="center"/>
          </w:tcPr>
          <w:p w14:paraId="199342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10</w:t>
            </w:r>
          </w:p>
        </w:tc>
      </w:tr>
      <w:tr w14:paraId="6DBDA5A1">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29605E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短途运输</w:t>
            </w:r>
          </w:p>
        </w:tc>
        <w:tc>
          <w:tcPr>
            <w:tcW w:w="1365" w:type="pct"/>
            <w:tcBorders>
              <w:top w:val="single" w:color="000000" w:sz="4" w:space="0"/>
              <w:left w:val="single" w:color="000000" w:sz="4" w:space="0"/>
              <w:bottom w:val="single" w:color="000000" w:sz="4" w:space="0"/>
              <w:right w:val="single" w:color="000000" w:sz="4" w:space="0"/>
            </w:tcBorders>
            <w:vAlign w:val="center"/>
          </w:tcPr>
          <w:p w14:paraId="285A96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4</w:t>
            </w:r>
          </w:p>
        </w:tc>
        <w:tc>
          <w:tcPr>
            <w:tcW w:w="1706" w:type="pct"/>
            <w:tcBorders>
              <w:top w:val="single" w:color="000000" w:sz="4" w:space="0"/>
              <w:left w:val="single" w:color="000000" w:sz="4" w:space="0"/>
              <w:bottom w:val="single" w:color="000000" w:sz="4" w:space="0"/>
              <w:right w:val="single" w:color="000000" w:sz="4" w:space="0"/>
            </w:tcBorders>
            <w:vAlign w:val="center"/>
          </w:tcPr>
          <w:p w14:paraId="4B8BFE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12</w:t>
            </w:r>
          </w:p>
        </w:tc>
      </w:tr>
      <w:tr w14:paraId="7E996393">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079757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农林作业</w:t>
            </w:r>
          </w:p>
        </w:tc>
        <w:tc>
          <w:tcPr>
            <w:tcW w:w="1365" w:type="pct"/>
            <w:tcBorders>
              <w:top w:val="single" w:color="000000" w:sz="4" w:space="0"/>
              <w:left w:val="single" w:color="000000" w:sz="4" w:space="0"/>
              <w:bottom w:val="single" w:color="000000" w:sz="4" w:space="0"/>
              <w:right w:val="single" w:color="000000" w:sz="4" w:space="0"/>
            </w:tcBorders>
            <w:vAlign w:val="center"/>
          </w:tcPr>
          <w:p w14:paraId="5D492F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4</w:t>
            </w:r>
          </w:p>
        </w:tc>
        <w:tc>
          <w:tcPr>
            <w:tcW w:w="1706" w:type="pct"/>
            <w:tcBorders>
              <w:top w:val="single" w:color="000000" w:sz="4" w:space="0"/>
              <w:left w:val="single" w:color="000000" w:sz="4" w:space="0"/>
              <w:bottom w:val="single" w:color="000000" w:sz="4" w:space="0"/>
              <w:right w:val="single" w:color="000000" w:sz="4" w:space="0"/>
            </w:tcBorders>
            <w:vAlign w:val="center"/>
          </w:tcPr>
          <w:p w14:paraId="12B1F6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8</w:t>
            </w:r>
          </w:p>
        </w:tc>
      </w:tr>
      <w:tr w14:paraId="0ED466FA">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4C6789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应急救援</w:t>
            </w:r>
          </w:p>
        </w:tc>
        <w:tc>
          <w:tcPr>
            <w:tcW w:w="1365" w:type="pct"/>
            <w:tcBorders>
              <w:top w:val="single" w:color="000000" w:sz="4" w:space="0"/>
              <w:left w:val="single" w:color="000000" w:sz="4" w:space="0"/>
              <w:bottom w:val="single" w:color="000000" w:sz="4" w:space="0"/>
              <w:right w:val="single" w:color="000000" w:sz="4" w:space="0"/>
            </w:tcBorders>
            <w:vAlign w:val="center"/>
          </w:tcPr>
          <w:p w14:paraId="106DCC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c>
          <w:tcPr>
            <w:tcW w:w="1706" w:type="pct"/>
            <w:tcBorders>
              <w:top w:val="single" w:color="000000" w:sz="4" w:space="0"/>
              <w:left w:val="single" w:color="000000" w:sz="4" w:space="0"/>
              <w:bottom w:val="single" w:color="000000" w:sz="4" w:space="0"/>
              <w:right w:val="single" w:color="000000" w:sz="4" w:space="0"/>
            </w:tcBorders>
            <w:vAlign w:val="center"/>
          </w:tcPr>
          <w:p w14:paraId="3F8A0E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r>
      <w:tr w14:paraId="7340C5AE">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6AD2B1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包机飞行</w:t>
            </w:r>
          </w:p>
        </w:tc>
        <w:tc>
          <w:tcPr>
            <w:tcW w:w="1365" w:type="pct"/>
            <w:tcBorders>
              <w:top w:val="single" w:color="000000" w:sz="4" w:space="0"/>
              <w:left w:val="single" w:color="000000" w:sz="4" w:space="0"/>
              <w:bottom w:val="single" w:color="000000" w:sz="4" w:space="0"/>
              <w:right w:val="single" w:color="000000" w:sz="4" w:space="0"/>
            </w:tcBorders>
            <w:vAlign w:val="center"/>
          </w:tcPr>
          <w:p w14:paraId="7BAC24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w:t>
            </w:r>
          </w:p>
        </w:tc>
        <w:tc>
          <w:tcPr>
            <w:tcW w:w="1706" w:type="pct"/>
            <w:tcBorders>
              <w:top w:val="single" w:color="000000" w:sz="4" w:space="0"/>
              <w:left w:val="single" w:color="000000" w:sz="4" w:space="0"/>
              <w:bottom w:val="single" w:color="000000" w:sz="4" w:space="0"/>
              <w:right w:val="single" w:color="000000" w:sz="4" w:space="0"/>
            </w:tcBorders>
            <w:vAlign w:val="center"/>
          </w:tcPr>
          <w:p w14:paraId="0F4667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w:t>
            </w:r>
          </w:p>
        </w:tc>
      </w:tr>
      <w:tr w14:paraId="37C9DB47">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23D703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其它通用航空</w:t>
            </w:r>
          </w:p>
        </w:tc>
        <w:tc>
          <w:tcPr>
            <w:tcW w:w="1365" w:type="pct"/>
            <w:tcBorders>
              <w:top w:val="single" w:color="000000" w:sz="4" w:space="0"/>
              <w:left w:val="single" w:color="000000" w:sz="4" w:space="0"/>
              <w:bottom w:val="single" w:color="000000" w:sz="4" w:space="0"/>
              <w:right w:val="single" w:color="000000" w:sz="4" w:space="0"/>
            </w:tcBorders>
            <w:vAlign w:val="center"/>
          </w:tcPr>
          <w:p w14:paraId="116555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c>
          <w:tcPr>
            <w:tcW w:w="1706" w:type="pct"/>
            <w:tcBorders>
              <w:top w:val="single" w:color="000000" w:sz="4" w:space="0"/>
              <w:left w:val="single" w:color="000000" w:sz="4" w:space="0"/>
              <w:bottom w:val="single" w:color="000000" w:sz="4" w:space="0"/>
              <w:right w:val="single" w:color="000000" w:sz="4" w:space="0"/>
            </w:tcBorders>
            <w:vAlign w:val="center"/>
          </w:tcPr>
          <w:p w14:paraId="734D1F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r>
      <w:tr w14:paraId="51454625">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44CB18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合计（架次）</w:t>
            </w:r>
          </w:p>
        </w:tc>
        <w:tc>
          <w:tcPr>
            <w:tcW w:w="1365" w:type="pct"/>
            <w:tcBorders>
              <w:top w:val="single" w:color="000000" w:sz="4" w:space="0"/>
              <w:left w:val="single" w:color="000000" w:sz="4" w:space="0"/>
              <w:bottom w:val="single" w:color="000000" w:sz="4" w:space="0"/>
              <w:right w:val="single" w:color="000000" w:sz="4" w:space="0"/>
            </w:tcBorders>
            <w:vAlign w:val="center"/>
          </w:tcPr>
          <w:p w14:paraId="60B378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13</w:t>
            </w:r>
          </w:p>
        </w:tc>
        <w:tc>
          <w:tcPr>
            <w:tcW w:w="1706" w:type="pct"/>
            <w:tcBorders>
              <w:top w:val="single" w:color="000000" w:sz="4" w:space="0"/>
              <w:left w:val="single" w:color="000000" w:sz="4" w:space="0"/>
              <w:bottom w:val="single" w:color="000000" w:sz="4" w:space="0"/>
              <w:right w:val="single" w:color="000000" w:sz="4" w:space="0"/>
            </w:tcBorders>
            <w:vAlign w:val="center"/>
          </w:tcPr>
          <w:p w14:paraId="71BE7C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32</w:t>
            </w:r>
          </w:p>
        </w:tc>
      </w:tr>
    </w:tbl>
    <w:p w14:paraId="45E427B2">
      <w:pPr>
        <w:ind w:firstLine="0"/>
        <w:jc w:val="center"/>
        <w:rPr>
          <w:rFonts w:ascii="Times New Roman" w:hAnsi="Times New Roman" w:eastAsia="黑体" w:cs="Times New Roman"/>
          <w:color w:val="auto"/>
          <w:kern w:val="0"/>
          <w:sz w:val="21"/>
          <w:szCs w:val="20"/>
          <w:highlight w:val="none"/>
        </w:rPr>
      </w:pPr>
    </w:p>
    <w:p w14:paraId="039AB43A">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年旅客吞吐量</w:t>
      </w:r>
    </w:p>
    <w:p w14:paraId="56D65644">
      <w:pPr>
        <w:ind w:firstLine="0"/>
        <w:jc w:val="center"/>
        <w:rPr>
          <w:rFonts w:hint="eastAsia" w:ascii="Times New Roman" w:hAnsi="Times New Roman" w:eastAsia="黑体" w:cs="Times New Roman"/>
          <w:color w:val="auto"/>
          <w:kern w:val="0"/>
          <w:sz w:val="21"/>
          <w:szCs w:val="20"/>
          <w:highlight w:val="none"/>
          <w:lang w:eastAsia="zh-CN"/>
        </w:rPr>
      </w:pPr>
      <w:r>
        <w:rPr>
          <w:rFonts w:hint="eastAsia" w:ascii="Times New Roman" w:hAnsi="Times New Roman" w:eastAsia="黑体" w:cs="Times New Roman"/>
          <w:color w:val="auto"/>
          <w:kern w:val="0"/>
          <w:sz w:val="21"/>
          <w:szCs w:val="20"/>
          <w:highlight w:val="none"/>
          <w:lang w:eastAsia="zh-CN"/>
        </w:rPr>
        <w:t>表</w:t>
      </w:r>
      <w:r>
        <w:rPr>
          <w:rFonts w:hint="eastAsia" w:eastAsia="黑体" w:cs="Times New Roman"/>
          <w:color w:val="auto"/>
          <w:kern w:val="0"/>
          <w:sz w:val="21"/>
          <w:szCs w:val="20"/>
          <w:highlight w:val="none"/>
          <w:lang w:eastAsia="zh-CN"/>
        </w:rPr>
        <w:t>3.4</w:t>
      </w:r>
      <w:r>
        <w:rPr>
          <w:rFonts w:hint="eastAsia" w:eastAsia="黑体" w:cs="Times New Roman"/>
          <w:color w:val="auto"/>
          <w:kern w:val="0"/>
          <w:sz w:val="21"/>
          <w:szCs w:val="20"/>
          <w:highlight w:val="none"/>
          <w:lang w:val="en-US" w:eastAsia="zh-CN"/>
        </w:rPr>
        <w:t>-11</w:t>
      </w:r>
      <w:r>
        <w:rPr>
          <w:rFonts w:hint="eastAsia" w:ascii="Times New Roman" w:hAnsi="Times New Roman" w:eastAsia="黑体" w:cs="Times New Roman"/>
          <w:color w:val="auto"/>
          <w:kern w:val="0"/>
          <w:sz w:val="21"/>
          <w:szCs w:val="20"/>
          <w:highlight w:val="none"/>
          <w:lang w:val="en-US" w:eastAsia="zh-CN"/>
        </w:rPr>
        <w:t xml:space="preserve">  </w:t>
      </w:r>
      <w:r>
        <w:rPr>
          <w:rFonts w:hint="eastAsia" w:ascii="Times New Roman" w:hAnsi="Times New Roman" w:eastAsia="黑体" w:cs="Times New Roman"/>
          <w:color w:val="auto"/>
          <w:kern w:val="0"/>
          <w:sz w:val="21"/>
          <w:szCs w:val="20"/>
          <w:highlight w:val="none"/>
          <w:lang w:eastAsia="zh-CN"/>
        </w:rPr>
        <w:t>年旅客吞吐量</w:t>
      </w:r>
      <w:r>
        <w:rPr>
          <w:rFonts w:hint="eastAsia" w:ascii="Times New Roman" w:hAnsi="Times New Roman" w:eastAsia="黑体" w:cs="Times New Roman"/>
          <w:color w:val="auto"/>
          <w:kern w:val="0"/>
          <w:sz w:val="21"/>
          <w:szCs w:val="20"/>
          <w:highlight w:val="none"/>
          <w:lang w:val="en-US" w:eastAsia="zh-CN"/>
        </w:rPr>
        <w:t>一览</w:t>
      </w:r>
      <w:r>
        <w:rPr>
          <w:rFonts w:hint="eastAsia" w:ascii="Times New Roman" w:hAnsi="Times New Roman" w:eastAsia="黑体" w:cs="Times New Roman"/>
          <w:color w:val="auto"/>
          <w:kern w:val="0"/>
          <w:sz w:val="21"/>
          <w:szCs w:val="20"/>
          <w:highlight w:val="none"/>
          <w:lang w:eastAsia="zh-CN"/>
        </w:rPr>
        <w:t>表</w:t>
      </w:r>
    </w:p>
    <w:tbl>
      <w:tblPr>
        <w:tblStyle w:val="88"/>
        <w:tblW w:w="4999" w:type="pct"/>
        <w:tblInd w:w="0" w:type="dxa"/>
        <w:tblLayout w:type="autofit"/>
        <w:tblCellMar>
          <w:top w:w="0" w:type="dxa"/>
          <w:left w:w="0" w:type="dxa"/>
          <w:bottom w:w="0" w:type="dxa"/>
          <w:right w:w="0" w:type="dxa"/>
        </w:tblCellMar>
      </w:tblPr>
      <w:tblGrid>
        <w:gridCol w:w="3327"/>
        <w:gridCol w:w="2355"/>
        <w:gridCol w:w="2944"/>
      </w:tblGrid>
      <w:tr w14:paraId="30BD4C4E">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54621B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类别</w:t>
            </w:r>
          </w:p>
        </w:tc>
        <w:tc>
          <w:tcPr>
            <w:tcW w:w="1365" w:type="pct"/>
            <w:tcBorders>
              <w:top w:val="single" w:color="000000" w:sz="4" w:space="0"/>
              <w:left w:val="single" w:color="000000" w:sz="4" w:space="0"/>
              <w:bottom w:val="single" w:color="000000" w:sz="4" w:space="0"/>
              <w:right w:val="single" w:color="000000" w:sz="4" w:space="0"/>
            </w:tcBorders>
            <w:vAlign w:val="center"/>
          </w:tcPr>
          <w:p w14:paraId="1134F2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2030年</w:t>
            </w:r>
          </w:p>
        </w:tc>
        <w:tc>
          <w:tcPr>
            <w:tcW w:w="1706" w:type="pct"/>
            <w:tcBorders>
              <w:top w:val="single" w:color="000000" w:sz="4" w:space="0"/>
              <w:left w:val="single" w:color="000000" w:sz="4" w:space="0"/>
              <w:bottom w:val="single" w:color="000000" w:sz="4" w:space="0"/>
              <w:right w:val="single" w:color="000000" w:sz="4" w:space="0"/>
            </w:tcBorders>
            <w:vAlign w:val="center"/>
          </w:tcPr>
          <w:p w14:paraId="1DEC9F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2050年</w:t>
            </w:r>
          </w:p>
        </w:tc>
      </w:tr>
      <w:tr w14:paraId="4B76FD2E">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732DE5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空中游览观光</w:t>
            </w:r>
          </w:p>
        </w:tc>
        <w:tc>
          <w:tcPr>
            <w:tcW w:w="1365" w:type="pct"/>
            <w:tcBorders>
              <w:top w:val="single" w:color="000000" w:sz="4" w:space="0"/>
              <w:left w:val="single" w:color="000000" w:sz="4" w:space="0"/>
              <w:bottom w:val="single" w:color="000000" w:sz="4" w:space="0"/>
              <w:right w:val="single" w:color="000000" w:sz="4" w:space="0"/>
            </w:tcBorders>
            <w:vAlign w:val="center"/>
          </w:tcPr>
          <w:p w14:paraId="03471E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14400</w:t>
            </w:r>
          </w:p>
        </w:tc>
        <w:tc>
          <w:tcPr>
            <w:tcW w:w="1706" w:type="pct"/>
            <w:tcBorders>
              <w:top w:val="single" w:color="000000" w:sz="4" w:space="0"/>
              <w:left w:val="single" w:color="000000" w:sz="4" w:space="0"/>
              <w:bottom w:val="single" w:color="000000" w:sz="4" w:space="0"/>
              <w:right w:val="single" w:color="000000" w:sz="4" w:space="0"/>
            </w:tcBorders>
            <w:vAlign w:val="center"/>
          </w:tcPr>
          <w:p w14:paraId="0F2E3E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36000</w:t>
            </w:r>
          </w:p>
        </w:tc>
      </w:tr>
      <w:tr w14:paraId="4FAB7E3F">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161CD9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短途运输</w:t>
            </w:r>
          </w:p>
        </w:tc>
        <w:tc>
          <w:tcPr>
            <w:tcW w:w="1365" w:type="pct"/>
            <w:tcBorders>
              <w:top w:val="single" w:color="000000" w:sz="4" w:space="0"/>
              <w:left w:val="single" w:color="000000" w:sz="4" w:space="0"/>
              <w:bottom w:val="single" w:color="000000" w:sz="4" w:space="0"/>
              <w:right w:val="single" w:color="000000" w:sz="4" w:space="0"/>
            </w:tcBorders>
            <w:vAlign w:val="center"/>
          </w:tcPr>
          <w:p w14:paraId="3D3707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48000</w:t>
            </w:r>
          </w:p>
        </w:tc>
        <w:tc>
          <w:tcPr>
            <w:tcW w:w="1706" w:type="pct"/>
            <w:tcBorders>
              <w:top w:val="single" w:color="000000" w:sz="4" w:space="0"/>
              <w:left w:val="single" w:color="000000" w:sz="4" w:space="0"/>
              <w:bottom w:val="single" w:color="000000" w:sz="4" w:space="0"/>
              <w:right w:val="single" w:color="000000" w:sz="4" w:space="0"/>
            </w:tcBorders>
            <w:vAlign w:val="center"/>
          </w:tcPr>
          <w:p w14:paraId="4B65C9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172800</w:t>
            </w:r>
          </w:p>
        </w:tc>
      </w:tr>
      <w:tr w14:paraId="0B95822D">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2544D3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农林作业</w:t>
            </w:r>
          </w:p>
        </w:tc>
        <w:tc>
          <w:tcPr>
            <w:tcW w:w="1365" w:type="pct"/>
            <w:tcBorders>
              <w:top w:val="single" w:color="000000" w:sz="4" w:space="0"/>
              <w:left w:val="single" w:color="000000" w:sz="4" w:space="0"/>
              <w:bottom w:val="single" w:color="000000" w:sz="4" w:space="0"/>
              <w:right w:val="single" w:color="000000" w:sz="4" w:space="0"/>
            </w:tcBorders>
            <w:vAlign w:val="center"/>
          </w:tcPr>
          <w:p w14:paraId="7F5AEA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c>
          <w:tcPr>
            <w:tcW w:w="1706" w:type="pct"/>
            <w:tcBorders>
              <w:top w:val="single" w:color="000000" w:sz="4" w:space="0"/>
              <w:left w:val="single" w:color="000000" w:sz="4" w:space="0"/>
              <w:bottom w:val="single" w:color="000000" w:sz="4" w:space="0"/>
              <w:right w:val="single" w:color="000000" w:sz="4" w:space="0"/>
            </w:tcBorders>
            <w:vAlign w:val="center"/>
          </w:tcPr>
          <w:p w14:paraId="6ED675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r>
      <w:tr w14:paraId="6CA23C47">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0F39EE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应急救援</w:t>
            </w:r>
          </w:p>
        </w:tc>
        <w:tc>
          <w:tcPr>
            <w:tcW w:w="1365" w:type="pct"/>
            <w:tcBorders>
              <w:top w:val="single" w:color="000000" w:sz="4" w:space="0"/>
              <w:left w:val="single" w:color="000000" w:sz="4" w:space="0"/>
              <w:bottom w:val="single" w:color="000000" w:sz="4" w:space="0"/>
              <w:right w:val="single" w:color="000000" w:sz="4" w:space="0"/>
            </w:tcBorders>
            <w:vAlign w:val="center"/>
          </w:tcPr>
          <w:p w14:paraId="3D4463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c>
          <w:tcPr>
            <w:tcW w:w="1706" w:type="pct"/>
            <w:tcBorders>
              <w:top w:val="single" w:color="000000" w:sz="4" w:space="0"/>
              <w:left w:val="single" w:color="000000" w:sz="4" w:space="0"/>
              <w:bottom w:val="single" w:color="000000" w:sz="4" w:space="0"/>
              <w:right w:val="single" w:color="000000" w:sz="4" w:space="0"/>
            </w:tcBorders>
            <w:vAlign w:val="center"/>
          </w:tcPr>
          <w:p w14:paraId="256C8E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r>
      <w:tr w14:paraId="3DB80CCC">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3602E4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包机飞行</w:t>
            </w:r>
          </w:p>
        </w:tc>
        <w:tc>
          <w:tcPr>
            <w:tcW w:w="1365" w:type="pct"/>
            <w:tcBorders>
              <w:top w:val="single" w:color="000000" w:sz="4" w:space="0"/>
              <w:left w:val="single" w:color="000000" w:sz="4" w:space="0"/>
              <w:bottom w:val="single" w:color="000000" w:sz="4" w:space="0"/>
              <w:right w:val="single" w:color="000000" w:sz="4" w:space="0"/>
            </w:tcBorders>
            <w:vAlign w:val="center"/>
          </w:tcPr>
          <w:p w14:paraId="1335D9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720</w:t>
            </w:r>
          </w:p>
        </w:tc>
        <w:tc>
          <w:tcPr>
            <w:tcW w:w="1706" w:type="pct"/>
            <w:tcBorders>
              <w:top w:val="single" w:color="000000" w:sz="4" w:space="0"/>
              <w:left w:val="single" w:color="000000" w:sz="4" w:space="0"/>
              <w:bottom w:val="single" w:color="000000" w:sz="4" w:space="0"/>
              <w:right w:val="single" w:color="000000" w:sz="4" w:space="0"/>
            </w:tcBorders>
            <w:vAlign w:val="center"/>
          </w:tcPr>
          <w:p w14:paraId="5BC4E4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1440</w:t>
            </w:r>
          </w:p>
        </w:tc>
      </w:tr>
      <w:tr w14:paraId="41726A13">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5CFD72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其它通用航空</w:t>
            </w:r>
          </w:p>
        </w:tc>
        <w:tc>
          <w:tcPr>
            <w:tcW w:w="1365" w:type="pct"/>
            <w:tcBorders>
              <w:top w:val="single" w:color="000000" w:sz="4" w:space="0"/>
              <w:left w:val="single" w:color="000000" w:sz="4" w:space="0"/>
              <w:bottom w:val="single" w:color="000000" w:sz="4" w:space="0"/>
              <w:right w:val="single" w:color="000000" w:sz="4" w:space="0"/>
            </w:tcBorders>
            <w:vAlign w:val="center"/>
          </w:tcPr>
          <w:p w14:paraId="4A8F9E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c>
          <w:tcPr>
            <w:tcW w:w="1706" w:type="pct"/>
            <w:tcBorders>
              <w:top w:val="single" w:color="000000" w:sz="4" w:space="0"/>
              <w:left w:val="single" w:color="000000" w:sz="4" w:space="0"/>
              <w:bottom w:val="single" w:color="000000" w:sz="4" w:space="0"/>
              <w:right w:val="single" w:color="000000" w:sz="4" w:space="0"/>
            </w:tcBorders>
            <w:vAlign w:val="center"/>
          </w:tcPr>
          <w:p w14:paraId="3D83CE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r>
      <w:tr w14:paraId="774C6B59">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78DDCF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合计（人）</w:t>
            </w:r>
          </w:p>
        </w:tc>
        <w:tc>
          <w:tcPr>
            <w:tcW w:w="1365" w:type="pct"/>
            <w:tcBorders>
              <w:top w:val="single" w:color="000000" w:sz="4" w:space="0"/>
              <w:left w:val="single" w:color="000000" w:sz="4" w:space="0"/>
              <w:bottom w:val="single" w:color="000000" w:sz="4" w:space="0"/>
              <w:right w:val="single" w:color="000000" w:sz="4" w:space="0"/>
            </w:tcBorders>
            <w:vAlign w:val="center"/>
          </w:tcPr>
          <w:p w14:paraId="069D7A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63120</w:t>
            </w:r>
          </w:p>
        </w:tc>
        <w:tc>
          <w:tcPr>
            <w:tcW w:w="1706" w:type="pct"/>
            <w:tcBorders>
              <w:top w:val="single" w:color="000000" w:sz="4" w:space="0"/>
              <w:left w:val="single" w:color="000000" w:sz="4" w:space="0"/>
              <w:bottom w:val="single" w:color="000000" w:sz="4" w:space="0"/>
              <w:right w:val="single" w:color="000000" w:sz="4" w:space="0"/>
            </w:tcBorders>
            <w:vAlign w:val="center"/>
          </w:tcPr>
          <w:p w14:paraId="5B51D0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210240</w:t>
            </w:r>
          </w:p>
        </w:tc>
      </w:tr>
    </w:tbl>
    <w:p w14:paraId="03BE3C22">
      <w:pPr>
        <w:ind w:firstLine="0"/>
        <w:jc w:val="center"/>
        <w:rPr>
          <w:rFonts w:ascii="Times New Roman" w:hAnsi="Times New Roman" w:eastAsia="黑体" w:cs="Times New Roman"/>
          <w:color w:val="auto"/>
          <w:kern w:val="0"/>
          <w:sz w:val="21"/>
          <w:szCs w:val="20"/>
          <w:highlight w:val="none"/>
        </w:rPr>
      </w:pPr>
    </w:p>
    <w:p w14:paraId="616E8AEC">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高峰小时旅客人数</w:t>
      </w:r>
    </w:p>
    <w:p w14:paraId="265E09A1">
      <w:pPr>
        <w:ind w:firstLine="0"/>
        <w:jc w:val="center"/>
        <w:rPr>
          <w:rFonts w:hint="eastAsia" w:ascii="Times New Roman" w:hAnsi="Times New Roman" w:eastAsia="黑体" w:cs="Times New Roman"/>
          <w:color w:val="auto"/>
          <w:kern w:val="0"/>
          <w:sz w:val="21"/>
          <w:szCs w:val="20"/>
          <w:highlight w:val="none"/>
          <w:lang w:eastAsia="zh-CN"/>
        </w:rPr>
      </w:pPr>
      <w:r>
        <w:rPr>
          <w:rFonts w:hint="eastAsia" w:ascii="Times New Roman" w:hAnsi="Times New Roman" w:eastAsia="黑体" w:cs="Times New Roman"/>
          <w:color w:val="auto"/>
          <w:kern w:val="0"/>
          <w:sz w:val="21"/>
          <w:szCs w:val="20"/>
          <w:highlight w:val="none"/>
          <w:lang w:eastAsia="zh-CN"/>
        </w:rPr>
        <w:t>表</w:t>
      </w:r>
      <w:r>
        <w:rPr>
          <w:rFonts w:hint="eastAsia" w:eastAsia="黑体" w:cs="Times New Roman"/>
          <w:color w:val="auto"/>
          <w:kern w:val="0"/>
          <w:sz w:val="21"/>
          <w:szCs w:val="20"/>
          <w:highlight w:val="none"/>
          <w:lang w:eastAsia="zh-CN"/>
        </w:rPr>
        <w:t>3.4</w:t>
      </w:r>
      <w:r>
        <w:rPr>
          <w:rFonts w:hint="eastAsia" w:eastAsia="黑体" w:cs="Times New Roman"/>
          <w:color w:val="auto"/>
          <w:kern w:val="0"/>
          <w:sz w:val="21"/>
          <w:szCs w:val="20"/>
          <w:highlight w:val="none"/>
          <w:lang w:val="en-US" w:eastAsia="zh-CN"/>
        </w:rPr>
        <w:t>-12</w:t>
      </w:r>
      <w:r>
        <w:rPr>
          <w:rFonts w:hint="eastAsia" w:ascii="Times New Roman" w:hAnsi="Times New Roman" w:eastAsia="黑体" w:cs="Times New Roman"/>
          <w:color w:val="auto"/>
          <w:kern w:val="0"/>
          <w:sz w:val="21"/>
          <w:szCs w:val="20"/>
          <w:highlight w:val="none"/>
          <w:lang w:val="en-US" w:eastAsia="zh-CN"/>
        </w:rPr>
        <w:t xml:space="preserve">  </w:t>
      </w:r>
      <w:r>
        <w:rPr>
          <w:rFonts w:hint="eastAsia" w:ascii="Times New Roman" w:hAnsi="Times New Roman" w:eastAsia="黑体" w:cs="Times New Roman"/>
          <w:color w:val="auto"/>
          <w:kern w:val="0"/>
          <w:sz w:val="21"/>
          <w:szCs w:val="20"/>
          <w:highlight w:val="none"/>
          <w:lang w:eastAsia="zh-CN"/>
        </w:rPr>
        <w:t>高峰小时旅客人数</w:t>
      </w:r>
      <w:r>
        <w:rPr>
          <w:rFonts w:hint="eastAsia" w:ascii="Times New Roman" w:hAnsi="Times New Roman" w:eastAsia="黑体" w:cs="Times New Roman"/>
          <w:color w:val="auto"/>
          <w:kern w:val="0"/>
          <w:sz w:val="21"/>
          <w:szCs w:val="20"/>
          <w:highlight w:val="none"/>
          <w:lang w:val="en-US" w:eastAsia="zh-CN"/>
        </w:rPr>
        <w:t>一览</w:t>
      </w:r>
      <w:r>
        <w:rPr>
          <w:rFonts w:hint="eastAsia" w:ascii="Times New Roman" w:hAnsi="Times New Roman" w:eastAsia="黑体" w:cs="Times New Roman"/>
          <w:color w:val="auto"/>
          <w:kern w:val="0"/>
          <w:sz w:val="21"/>
          <w:szCs w:val="20"/>
          <w:highlight w:val="none"/>
          <w:lang w:eastAsia="zh-CN"/>
        </w:rPr>
        <w:t>表</w:t>
      </w:r>
    </w:p>
    <w:tbl>
      <w:tblPr>
        <w:tblStyle w:val="88"/>
        <w:tblW w:w="4999" w:type="pct"/>
        <w:tblInd w:w="0" w:type="dxa"/>
        <w:tblLayout w:type="autofit"/>
        <w:tblCellMar>
          <w:top w:w="0" w:type="dxa"/>
          <w:left w:w="0" w:type="dxa"/>
          <w:bottom w:w="0" w:type="dxa"/>
          <w:right w:w="0" w:type="dxa"/>
        </w:tblCellMar>
      </w:tblPr>
      <w:tblGrid>
        <w:gridCol w:w="3327"/>
        <w:gridCol w:w="2355"/>
        <w:gridCol w:w="2944"/>
      </w:tblGrid>
      <w:tr w14:paraId="080ADF08">
        <w:tblPrEx>
          <w:tblCellMar>
            <w:top w:w="0" w:type="dxa"/>
            <w:left w:w="0" w:type="dxa"/>
            <w:bottom w:w="0" w:type="dxa"/>
            <w:right w:w="0" w:type="dxa"/>
          </w:tblCellMar>
        </w:tblPrEx>
        <w:trPr>
          <w:trHeight w:val="397" w:hRule="atLeast"/>
          <w:tblHeader/>
        </w:trPr>
        <w:tc>
          <w:tcPr>
            <w:tcW w:w="1928" w:type="pct"/>
            <w:tcBorders>
              <w:top w:val="single" w:color="000000" w:sz="4" w:space="0"/>
              <w:left w:val="single" w:color="000000" w:sz="4" w:space="0"/>
              <w:bottom w:val="single" w:color="000000" w:sz="4" w:space="0"/>
              <w:right w:val="single" w:color="000000" w:sz="4" w:space="0"/>
            </w:tcBorders>
            <w:vAlign w:val="center"/>
          </w:tcPr>
          <w:p w14:paraId="78AC22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类别</w:t>
            </w:r>
          </w:p>
        </w:tc>
        <w:tc>
          <w:tcPr>
            <w:tcW w:w="1365" w:type="pct"/>
            <w:tcBorders>
              <w:top w:val="single" w:color="000000" w:sz="4" w:space="0"/>
              <w:left w:val="single" w:color="000000" w:sz="4" w:space="0"/>
              <w:bottom w:val="single" w:color="000000" w:sz="4" w:space="0"/>
              <w:right w:val="single" w:color="000000" w:sz="4" w:space="0"/>
            </w:tcBorders>
            <w:vAlign w:val="center"/>
          </w:tcPr>
          <w:p w14:paraId="1E4778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2030年</w:t>
            </w:r>
          </w:p>
        </w:tc>
        <w:tc>
          <w:tcPr>
            <w:tcW w:w="1706" w:type="pct"/>
            <w:tcBorders>
              <w:top w:val="single" w:color="000000" w:sz="4" w:space="0"/>
              <w:left w:val="single" w:color="000000" w:sz="4" w:space="0"/>
              <w:bottom w:val="single" w:color="000000" w:sz="4" w:space="0"/>
              <w:right w:val="single" w:color="000000" w:sz="4" w:space="0"/>
            </w:tcBorders>
            <w:vAlign w:val="center"/>
          </w:tcPr>
          <w:p w14:paraId="2F0442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2050年</w:t>
            </w:r>
          </w:p>
        </w:tc>
      </w:tr>
      <w:tr w14:paraId="3933B112">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04FA44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空中游览观光</w:t>
            </w:r>
          </w:p>
        </w:tc>
        <w:tc>
          <w:tcPr>
            <w:tcW w:w="1365" w:type="pct"/>
            <w:tcBorders>
              <w:top w:val="single" w:color="000000" w:sz="4" w:space="0"/>
              <w:left w:val="single" w:color="000000" w:sz="4" w:space="0"/>
              <w:bottom w:val="single" w:color="000000" w:sz="4" w:space="0"/>
              <w:right w:val="single" w:color="000000" w:sz="4" w:space="0"/>
            </w:tcBorders>
            <w:vAlign w:val="center"/>
          </w:tcPr>
          <w:p w14:paraId="0814D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12</w:t>
            </w:r>
          </w:p>
        </w:tc>
        <w:tc>
          <w:tcPr>
            <w:tcW w:w="1706" w:type="pct"/>
            <w:tcBorders>
              <w:top w:val="single" w:color="000000" w:sz="4" w:space="0"/>
              <w:left w:val="single" w:color="000000" w:sz="4" w:space="0"/>
              <w:bottom w:val="single" w:color="000000" w:sz="4" w:space="0"/>
              <w:right w:val="single" w:color="000000" w:sz="4" w:space="0"/>
            </w:tcBorders>
            <w:vAlign w:val="center"/>
          </w:tcPr>
          <w:p w14:paraId="2D2427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30</w:t>
            </w:r>
          </w:p>
        </w:tc>
      </w:tr>
      <w:tr w14:paraId="5F17F65F">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2FAB93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短途运输</w:t>
            </w:r>
          </w:p>
        </w:tc>
        <w:tc>
          <w:tcPr>
            <w:tcW w:w="1365" w:type="pct"/>
            <w:tcBorders>
              <w:top w:val="single" w:color="000000" w:sz="4" w:space="0"/>
              <w:left w:val="single" w:color="000000" w:sz="4" w:space="0"/>
              <w:bottom w:val="single" w:color="000000" w:sz="4" w:space="0"/>
              <w:right w:val="single" w:color="000000" w:sz="4" w:space="0"/>
            </w:tcBorders>
            <w:vAlign w:val="center"/>
          </w:tcPr>
          <w:p w14:paraId="1D8E1B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60</w:t>
            </w:r>
          </w:p>
        </w:tc>
        <w:tc>
          <w:tcPr>
            <w:tcW w:w="1706" w:type="pct"/>
            <w:tcBorders>
              <w:top w:val="single" w:color="000000" w:sz="4" w:space="0"/>
              <w:left w:val="single" w:color="000000" w:sz="4" w:space="0"/>
              <w:bottom w:val="single" w:color="000000" w:sz="4" w:space="0"/>
              <w:right w:val="single" w:color="000000" w:sz="4" w:space="0"/>
            </w:tcBorders>
            <w:vAlign w:val="center"/>
          </w:tcPr>
          <w:p w14:paraId="0B6064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180</w:t>
            </w:r>
          </w:p>
        </w:tc>
      </w:tr>
      <w:tr w14:paraId="7B092FFC">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5D2AE8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农林作业</w:t>
            </w:r>
          </w:p>
        </w:tc>
        <w:tc>
          <w:tcPr>
            <w:tcW w:w="1365" w:type="pct"/>
            <w:tcBorders>
              <w:top w:val="single" w:color="000000" w:sz="4" w:space="0"/>
              <w:left w:val="single" w:color="000000" w:sz="4" w:space="0"/>
              <w:bottom w:val="single" w:color="000000" w:sz="4" w:space="0"/>
              <w:right w:val="single" w:color="000000" w:sz="4" w:space="0"/>
            </w:tcBorders>
            <w:vAlign w:val="center"/>
          </w:tcPr>
          <w:p w14:paraId="53448E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c>
          <w:tcPr>
            <w:tcW w:w="1706" w:type="pct"/>
            <w:tcBorders>
              <w:top w:val="single" w:color="000000" w:sz="4" w:space="0"/>
              <w:left w:val="single" w:color="000000" w:sz="4" w:space="0"/>
              <w:bottom w:val="single" w:color="000000" w:sz="4" w:space="0"/>
              <w:right w:val="single" w:color="000000" w:sz="4" w:space="0"/>
            </w:tcBorders>
            <w:vAlign w:val="center"/>
          </w:tcPr>
          <w:p w14:paraId="21B49A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r>
      <w:tr w14:paraId="002435B3">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1EE91B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应急救援</w:t>
            </w:r>
          </w:p>
        </w:tc>
        <w:tc>
          <w:tcPr>
            <w:tcW w:w="1365" w:type="pct"/>
            <w:tcBorders>
              <w:top w:val="single" w:color="000000" w:sz="4" w:space="0"/>
              <w:left w:val="single" w:color="000000" w:sz="4" w:space="0"/>
              <w:bottom w:val="single" w:color="000000" w:sz="4" w:space="0"/>
              <w:right w:val="single" w:color="000000" w:sz="4" w:space="0"/>
            </w:tcBorders>
            <w:vAlign w:val="center"/>
          </w:tcPr>
          <w:p w14:paraId="125F29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c>
          <w:tcPr>
            <w:tcW w:w="1706" w:type="pct"/>
            <w:tcBorders>
              <w:top w:val="single" w:color="000000" w:sz="4" w:space="0"/>
              <w:left w:val="single" w:color="000000" w:sz="4" w:space="0"/>
              <w:bottom w:val="single" w:color="000000" w:sz="4" w:space="0"/>
              <w:right w:val="single" w:color="000000" w:sz="4" w:space="0"/>
            </w:tcBorders>
            <w:vAlign w:val="center"/>
          </w:tcPr>
          <w:p w14:paraId="49E923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r>
      <w:tr w14:paraId="7035342B">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2FB3B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包机飞行</w:t>
            </w:r>
          </w:p>
        </w:tc>
        <w:tc>
          <w:tcPr>
            <w:tcW w:w="1365" w:type="pct"/>
            <w:tcBorders>
              <w:top w:val="single" w:color="000000" w:sz="4" w:space="0"/>
              <w:left w:val="single" w:color="000000" w:sz="4" w:space="0"/>
              <w:bottom w:val="single" w:color="000000" w:sz="4" w:space="0"/>
              <w:right w:val="single" w:color="000000" w:sz="4" w:space="0"/>
            </w:tcBorders>
            <w:vAlign w:val="center"/>
          </w:tcPr>
          <w:p w14:paraId="08B84B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10</w:t>
            </w:r>
          </w:p>
        </w:tc>
        <w:tc>
          <w:tcPr>
            <w:tcW w:w="1706" w:type="pct"/>
            <w:tcBorders>
              <w:top w:val="single" w:color="000000" w:sz="4" w:space="0"/>
              <w:left w:val="single" w:color="000000" w:sz="4" w:space="0"/>
              <w:bottom w:val="single" w:color="000000" w:sz="4" w:space="0"/>
              <w:right w:val="single" w:color="000000" w:sz="4" w:space="0"/>
            </w:tcBorders>
            <w:vAlign w:val="center"/>
          </w:tcPr>
          <w:p w14:paraId="73BFF0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20</w:t>
            </w:r>
          </w:p>
        </w:tc>
      </w:tr>
      <w:tr w14:paraId="2A40E936">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3CAC8C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其它通用航空</w:t>
            </w:r>
          </w:p>
        </w:tc>
        <w:tc>
          <w:tcPr>
            <w:tcW w:w="1365" w:type="pct"/>
            <w:tcBorders>
              <w:top w:val="single" w:color="000000" w:sz="4" w:space="0"/>
              <w:left w:val="single" w:color="000000" w:sz="4" w:space="0"/>
              <w:bottom w:val="single" w:color="000000" w:sz="4" w:space="0"/>
              <w:right w:val="single" w:color="000000" w:sz="4" w:space="0"/>
            </w:tcBorders>
            <w:vAlign w:val="center"/>
          </w:tcPr>
          <w:p w14:paraId="6632C3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c>
          <w:tcPr>
            <w:tcW w:w="1706" w:type="pct"/>
            <w:tcBorders>
              <w:top w:val="single" w:color="000000" w:sz="4" w:space="0"/>
              <w:left w:val="single" w:color="000000" w:sz="4" w:space="0"/>
              <w:bottom w:val="single" w:color="000000" w:sz="4" w:space="0"/>
              <w:right w:val="single" w:color="000000" w:sz="4" w:space="0"/>
            </w:tcBorders>
            <w:vAlign w:val="center"/>
          </w:tcPr>
          <w:p w14:paraId="0DA6B4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w:t>
            </w:r>
          </w:p>
        </w:tc>
      </w:tr>
      <w:tr w14:paraId="156B6C6A">
        <w:tblPrEx>
          <w:tblCellMar>
            <w:top w:w="0" w:type="dxa"/>
            <w:left w:w="0" w:type="dxa"/>
            <w:bottom w:w="0" w:type="dxa"/>
            <w:right w:w="0" w:type="dxa"/>
          </w:tblCellMar>
        </w:tblPrEx>
        <w:trPr>
          <w:trHeight w:val="397" w:hRule="atLeast"/>
        </w:trPr>
        <w:tc>
          <w:tcPr>
            <w:tcW w:w="1928" w:type="pct"/>
            <w:tcBorders>
              <w:top w:val="single" w:color="000000" w:sz="4" w:space="0"/>
              <w:left w:val="single" w:color="000000" w:sz="4" w:space="0"/>
              <w:bottom w:val="single" w:color="000000" w:sz="4" w:space="0"/>
              <w:right w:val="single" w:color="000000" w:sz="4" w:space="0"/>
            </w:tcBorders>
            <w:vAlign w:val="center"/>
          </w:tcPr>
          <w:p w14:paraId="6C408F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合计（人）</w:t>
            </w:r>
          </w:p>
        </w:tc>
        <w:tc>
          <w:tcPr>
            <w:tcW w:w="1365" w:type="pct"/>
            <w:tcBorders>
              <w:top w:val="single" w:color="000000" w:sz="4" w:space="0"/>
              <w:left w:val="single" w:color="000000" w:sz="4" w:space="0"/>
              <w:bottom w:val="single" w:color="000000" w:sz="4" w:space="0"/>
              <w:right w:val="single" w:color="000000" w:sz="4" w:space="0"/>
            </w:tcBorders>
            <w:vAlign w:val="center"/>
          </w:tcPr>
          <w:p w14:paraId="5DEDD9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82</w:t>
            </w:r>
          </w:p>
        </w:tc>
        <w:tc>
          <w:tcPr>
            <w:tcW w:w="1706" w:type="pct"/>
            <w:tcBorders>
              <w:top w:val="single" w:color="000000" w:sz="4" w:space="0"/>
              <w:left w:val="single" w:color="000000" w:sz="4" w:space="0"/>
              <w:bottom w:val="single" w:color="000000" w:sz="4" w:space="0"/>
              <w:right w:val="single" w:color="000000" w:sz="4" w:space="0"/>
            </w:tcBorders>
            <w:vAlign w:val="center"/>
          </w:tcPr>
          <w:p w14:paraId="3F2F2F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230</w:t>
            </w:r>
          </w:p>
        </w:tc>
      </w:tr>
    </w:tbl>
    <w:p w14:paraId="5FC36BD6">
      <w:pPr>
        <w:ind w:firstLine="0"/>
        <w:jc w:val="center"/>
        <w:rPr>
          <w:rFonts w:ascii="Times New Roman" w:hAnsi="Times New Roman" w:eastAsia="黑体" w:cs="Times New Roman"/>
          <w:color w:val="auto"/>
          <w:kern w:val="0"/>
          <w:sz w:val="21"/>
          <w:szCs w:val="20"/>
          <w:highlight w:val="none"/>
        </w:rPr>
      </w:pPr>
    </w:p>
    <w:p w14:paraId="2A6486CE">
      <w:pPr>
        <w:keepNext/>
        <w:keepLines/>
        <w:pageBreakBefore w:val="0"/>
        <w:widowControl w:val="0"/>
        <w:numPr>
          <w:ilvl w:val="1"/>
          <w:numId w:val="10"/>
        </w:numPr>
        <w:kinsoku/>
        <w:overflowPunct/>
        <w:bidi w:val="0"/>
        <w:spacing w:line="360" w:lineRule="auto"/>
        <w:ind w:left="567" w:hanging="567"/>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18" w:name="_Toc23010"/>
      <w:r>
        <w:rPr>
          <w:rFonts w:hint="eastAsia" w:ascii="Times New Roman" w:hAnsi="Times New Roman" w:eastAsia="黑体" w:cs="Times New Roman"/>
          <w:bCs/>
          <w:color w:val="auto"/>
          <w:spacing w:val="0"/>
          <w:w w:val="100"/>
          <w:kern w:val="28"/>
          <w:sz w:val="30"/>
          <w:szCs w:val="30"/>
          <w:highlight w:val="none"/>
          <w:lang w:val="en-US" w:eastAsia="zh-CN" w:bidi="ar-SA"/>
        </w:rPr>
        <w:t>环境影响因素及工程污染源分析</w:t>
      </w:r>
      <w:bookmarkEnd w:id="218"/>
    </w:p>
    <w:p w14:paraId="78449807">
      <w:pPr>
        <w:pageBreakBefore w:val="0"/>
        <w:widowControl/>
        <w:kinsoku/>
        <w:wordWrap/>
        <w:overflowPunct/>
        <w:bidi w:val="0"/>
        <w:ind w:right="8" w:firstLine="480" w:firstLineChars="200"/>
        <w:jc w:val="left"/>
        <w:rPr>
          <w:rFonts w:ascii="Times New Roman" w:hAnsi="Times New Roman" w:eastAsia="宋体" w:cs="Times New Roman"/>
          <w:color w:val="auto"/>
          <w:szCs w:val="21"/>
          <w:highlight w:val="none"/>
        </w:rPr>
      </w:pPr>
      <w:r>
        <w:rPr>
          <w:rFonts w:hint="eastAsia" w:cs="Times New Roman"/>
          <w:color w:val="auto"/>
          <w:szCs w:val="21"/>
          <w:highlight w:val="none"/>
          <w:lang w:eastAsia="zh-CN"/>
        </w:rPr>
        <w:t>本项目</w:t>
      </w:r>
      <w:r>
        <w:rPr>
          <w:rFonts w:ascii="Times New Roman" w:hAnsi="Times New Roman" w:eastAsia="宋体" w:cs="Times New Roman"/>
          <w:color w:val="auto"/>
          <w:szCs w:val="21"/>
          <w:highlight w:val="none"/>
        </w:rPr>
        <w:t>主要污染源及污染物概况见表</w:t>
      </w:r>
      <w:r>
        <w:rPr>
          <w:rFonts w:hint="eastAsia" w:cs="Times New Roman"/>
          <w:color w:val="auto"/>
          <w:szCs w:val="21"/>
          <w:highlight w:val="none"/>
          <w:lang w:val="en-US" w:eastAsia="zh-CN"/>
        </w:rPr>
        <w:t>3.5</w:t>
      </w:r>
      <w:r>
        <w:rPr>
          <w:rFonts w:ascii="Times New Roman" w:hAnsi="Times New Roman" w:eastAsia="Times New Roman" w:cs="Times New Roman"/>
          <w:color w:val="auto"/>
          <w:szCs w:val="21"/>
          <w:highlight w:val="none"/>
        </w:rPr>
        <w:t>-1</w:t>
      </w:r>
      <w:r>
        <w:rPr>
          <w:rFonts w:ascii="Times New Roman" w:hAnsi="Times New Roman" w:eastAsia="宋体" w:cs="Times New Roman"/>
          <w:color w:val="auto"/>
          <w:szCs w:val="21"/>
          <w:highlight w:val="none"/>
        </w:rPr>
        <w:t>。</w:t>
      </w:r>
    </w:p>
    <w:p w14:paraId="596A1880">
      <w:pPr>
        <w:pageBreakBefore w:val="0"/>
        <w:widowControl w:val="0"/>
        <w:kinsoku/>
        <w:wordWrap/>
        <w:overflowPunct/>
        <w:bidi w:val="0"/>
        <w:spacing w:beforeLines="0" w:afterLines="0" w:line="240" w:lineRule="auto"/>
        <w:ind w:left="0" w:leftChars="0" w:firstLine="0" w:firstLineChars="0"/>
        <w:jc w:val="center"/>
        <w:rPr>
          <w:rFonts w:ascii="Times New Roman" w:hAnsi="Times New Roman" w:eastAsia="黑体" w:cs="Times New Roman"/>
          <w:color w:val="auto"/>
          <w:kern w:val="2"/>
          <w:sz w:val="21"/>
          <w:szCs w:val="18"/>
          <w:highlight w:val="none"/>
          <w:lang w:val="en-US" w:eastAsia="zh-CN" w:bidi="ar-SA"/>
        </w:rPr>
      </w:pPr>
      <w:r>
        <w:rPr>
          <w:rFonts w:ascii="Times New Roman" w:hAnsi="Times New Roman" w:eastAsia="黑体" w:cs="Times New Roman"/>
          <w:color w:val="auto"/>
          <w:kern w:val="2"/>
          <w:sz w:val="21"/>
          <w:szCs w:val="18"/>
          <w:highlight w:val="none"/>
          <w:lang w:val="en-US" w:eastAsia="zh-CN" w:bidi="ar-SA"/>
        </w:rPr>
        <w:t>表</w:t>
      </w:r>
      <w:r>
        <w:rPr>
          <w:rFonts w:hint="eastAsia" w:eastAsia="Times New Roman" w:cs="Times New Roman"/>
          <w:b/>
          <w:color w:val="auto"/>
          <w:kern w:val="2"/>
          <w:sz w:val="21"/>
          <w:szCs w:val="18"/>
          <w:highlight w:val="none"/>
          <w:lang w:val="en-US" w:eastAsia="zh-CN" w:bidi="ar-SA"/>
        </w:rPr>
        <w:t>3.5-1</w:t>
      </w:r>
      <w:r>
        <w:rPr>
          <w:rFonts w:hint="eastAsia" w:ascii="Times New Roman" w:hAnsi="Times New Roman" w:eastAsia="Times New Roman" w:cs="Times New Roman"/>
          <w:b/>
          <w:color w:val="auto"/>
          <w:kern w:val="2"/>
          <w:sz w:val="21"/>
          <w:szCs w:val="18"/>
          <w:highlight w:val="none"/>
          <w:lang w:val="en-US" w:eastAsia="zh-CN" w:bidi="ar-SA"/>
        </w:rPr>
        <w:t xml:space="preserve">  </w:t>
      </w:r>
      <w:r>
        <w:rPr>
          <w:rFonts w:hint="eastAsia" w:eastAsia="黑体" w:cs="Times New Roman"/>
          <w:color w:val="auto"/>
          <w:kern w:val="2"/>
          <w:sz w:val="21"/>
          <w:szCs w:val="18"/>
          <w:highlight w:val="none"/>
          <w:lang w:val="en-US" w:eastAsia="zh-CN" w:bidi="ar-SA"/>
        </w:rPr>
        <w:t>本项目</w:t>
      </w:r>
      <w:r>
        <w:rPr>
          <w:rFonts w:ascii="Times New Roman" w:hAnsi="Times New Roman" w:eastAsia="黑体" w:cs="Times New Roman"/>
          <w:color w:val="auto"/>
          <w:kern w:val="2"/>
          <w:sz w:val="21"/>
          <w:szCs w:val="18"/>
          <w:highlight w:val="none"/>
          <w:lang w:val="en-US" w:eastAsia="zh-CN" w:bidi="ar-SA"/>
        </w:rPr>
        <w:t>主要污染源及污染物概况</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193"/>
        <w:gridCol w:w="2390"/>
        <w:gridCol w:w="2818"/>
        <w:gridCol w:w="1300"/>
      </w:tblGrid>
      <w:tr w14:paraId="68C7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0" w:type="pct"/>
            <w:tcMar>
              <w:left w:w="57" w:type="dxa"/>
              <w:right w:w="57" w:type="dxa"/>
            </w:tcMar>
            <w:vAlign w:val="center"/>
          </w:tcPr>
          <w:p w14:paraId="21375F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评价期</w:t>
            </w:r>
          </w:p>
        </w:tc>
        <w:tc>
          <w:tcPr>
            <w:tcW w:w="683" w:type="pct"/>
            <w:tcMar>
              <w:left w:w="57" w:type="dxa"/>
              <w:right w:w="57" w:type="dxa"/>
            </w:tcMar>
            <w:vAlign w:val="center"/>
          </w:tcPr>
          <w:p w14:paraId="702674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污染因子</w:t>
            </w:r>
          </w:p>
        </w:tc>
        <w:tc>
          <w:tcPr>
            <w:tcW w:w="1368" w:type="pct"/>
            <w:tcMar>
              <w:left w:w="57" w:type="dxa"/>
              <w:right w:w="57" w:type="dxa"/>
            </w:tcMar>
            <w:vAlign w:val="center"/>
          </w:tcPr>
          <w:p w14:paraId="31C9E6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污染源名称</w:t>
            </w:r>
          </w:p>
        </w:tc>
        <w:tc>
          <w:tcPr>
            <w:tcW w:w="1613" w:type="pct"/>
            <w:tcMar>
              <w:left w:w="57" w:type="dxa"/>
              <w:right w:w="57" w:type="dxa"/>
            </w:tcMar>
            <w:vAlign w:val="center"/>
          </w:tcPr>
          <w:p w14:paraId="25CCBF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污染物名称</w:t>
            </w:r>
          </w:p>
        </w:tc>
        <w:tc>
          <w:tcPr>
            <w:tcW w:w="744" w:type="pct"/>
            <w:tcMar>
              <w:left w:w="57" w:type="dxa"/>
              <w:right w:w="57" w:type="dxa"/>
            </w:tcMar>
            <w:vAlign w:val="center"/>
          </w:tcPr>
          <w:p w14:paraId="3FC0FD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污染源特征</w:t>
            </w:r>
          </w:p>
        </w:tc>
      </w:tr>
      <w:tr w14:paraId="2353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0" w:type="pct"/>
            <w:vMerge w:val="restart"/>
            <w:tcMar>
              <w:left w:w="57" w:type="dxa"/>
              <w:right w:w="57" w:type="dxa"/>
            </w:tcMar>
            <w:vAlign w:val="center"/>
          </w:tcPr>
          <w:p w14:paraId="591528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施工期</w:t>
            </w:r>
          </w:p>
        </w:tc>
        <w:tc>
          <w:tcPr>
            <w:tcW w:w="683" w:type="pct"/>
            <w:vMerge w:val="restart"/>
            <w:tcMar>
              <w:left w:w="57" w:type="dxa"/>
              <w:right w:w="57" w:type="dxa"/>
            </w:tcMar>
            <w:vAlign w:val="center"/>
          </w:tcPr>
          <w:p w14:paraId="1B995A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噪声</w:t>
            </w:r>
          </w:p>
        </w:tc>
        <w:tc>
          <w:tcPr>
            <w:tcW w:w="1368" w:type="pct"/>
            <w:tcMar>
              <w:left w:w="57" w:type="dxa"/>
              <w:right w:w="57" w:type="dxa"/>
            </w:tcMar>
            <w:vAlign w:val="center"/>
          </w:tcPr>
          <w:p w14:paraId="4BE878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设备噪声</w:t>
            </w:r>
          </w:p>
        </w:tc>
        <w:tc>
          <w:tcPr>
            <w:tcW w:w="1613" w:type="pct"/>
            <w:tcMar>
              <w:left w:w="57" w:type="dxa"/>
              <w:right w:w="57" w:type="dxa"/>
            </w:tcMar>
            <w:vAlign w:val="center"/>
          </w:tcPr>
          <w:p w14:paraId="471028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等效连续</w:t>
            </w:r>
            <w:r>
              <w:rPr>
                <w:rFonts w:hint="default" w:ascii="Times New Roman" w:hAnsi="Times New Roman" w:eastAsia="宋体" w:cs="Times New Roman"/>
                <w:color w:val="auto"/>
                <w:kern w:val="2"/>
                <w:sz w:val="21"/>
                <w:szCs w:val="24"/>
                <w:highlight w:val="none"/>
                <w:lang w:val="en-US" w:eastAsia="zh-CN" w:bidi="ar-SA"/>
              </w:rPr>
              <w:t>A</w:t>
            </w:r>
            <w:r>
              <w:rPr>
                <w:rFonts w:hint="eastAsia" w:ascii="Times New Roman" w:hAnsi="Times New Roman" w:eastAsia="宋体" w:cs="Times New Roman"/>
                <w:color w:val="auto"/>
                <w:kern w:val="2"/>
                <w:sz w:val="21"/>
                <w:szCs w:val="24"/>
                <w:highlight w:val="none"/>
                <w:lang w:val="en-US" w:eastAsia="zh-CN" w:bidi="ar-SA"/>
              </w:rPr>
              <w:t>声级</w:t>
            </w:r>
          </w:p>
        </w:tc>
        <w:tc>
          <w:tcPr>
            <w:tcW w:w="744" w:type="pct"/>
            <w:tcMar>
              <w:left w:w="57" w:type="dxa"/>
              <w:right w:w="57" w:type="dxa"/>
            </w:tcMar>
            <w:vAlign w:val="center"/>
          </w:tcPr>
          <w:p w14:paraId="6056FD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固定源</w:t>
            </w:r>
          </w:p>
        </w:tc>
      </w:tr>
      <w:tr w14:paraId="45A7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0" w:type="pct"/>
            <w:vMerge w:val="continue"/>
            <w:tcMar>
              <w:left w:w="57" w:type="dxa"/>
              <w:right w:w="57" w:type="dxa"/>
            </w:tcMar>
            <w:vAlign w:val="center"/>
          </w:tcPr>
          <w:p w14:paraId="04955B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683" w:type="pct"/>
            <w:vMerge w:val="continue"/>
            <w:tcMar>
              <w:left w:w="57" w:type="dxa"/>
              <w:right w:w="57" w:type="dxa"/>
            </w:tcMar>
            <w:vAlign w:val="center"/>
          </w:tcPr>
          <w:p w14:paraId="79089C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68" w:type="pct"/>
            <w:tcMar>
              <w:left w:w="57" w:type="dxa"/>
              <w:right w:w="57" w:type="dxa"/>
            </w:tcMar>
            <w:vAlign w:val="center"/>
          </w:tcPr>
          <w:p w14:paraId="46B1FB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运输车辆</w:t>
            </w:r>
          </w:p>
        </w:tc>
        <w:tc>
          <w:tcPr>
            <w:tcW w:w="1613" w:type="pct"/>
            <w:tcMar>
              <w:left w:w="57" w:type="dxa"/>
              <w:right w:w="57" w:type="dxa"/>
            </w:tcMar>
            <w:vAlign w:val="center"/>
          </w:tcPr>
          <w:p w14:paraId="1323A5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等效连续</w:t>
            </w:r>
            <w:r>
              <w:rPr>
                <w:rFonts w:hint="default" w:ascii="Times New Roman" w:hAnsi="Times New Roman" w:eastAsia="宋体" w:cs="Times New Roman"/>
                <w:color w:val="auto"/>
                <w:kern w:val="2"/>
                <w:sz w:val="21"/>
                <w:szCs w:val="24"/>
                <w:highlight w:val="none"/>
                <w:lang w:val="en-US" w:eastAsia="zh-CN" w:bidi="ar-SA"/>
              </w:rPr>
              <w:t>A</w:t>
            </w:r>
            <w:r>
              <w:rPr>
                <w:rFonts w:hint="eastAsia" w:ascii="Times New Roman" w:hAnsi="Times New Roman" w:eastAsia="宋体" w:cs="Times New Roman"/>
                <w:color w:val="auto"/>
                <w:kern w:val="2"/>
                <w:sz w:val="21"/>
                <w:szCs w:val="24"/>
                <w:highlight w:val="none"/>
                <w:lang w:val="en-US" w:eastAsia="zh-CN" w:bidi="ar-SA"/>
              </w:rPr>
              <w:t>声级</w:t>
            </w:r>
          </w:p>
        </w:tc>
        <w:tc>
          <w:tcPr>
            <w:tcW w:w="744" w:type="pct"/>
            <w:tcMar>
              <w:left w:w="57" w:type="dxa"/>
              <w:right w:w="57" w:type="dxa"/>
            </w:tcMar>
            <w:vAlign w:val="center"/>
          </w:tcPr>
          <w:p w14:paraId="251D1F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移动源</w:t>
            </w:r>
          </w:p>
        </w:tc>
      </w:tr>
      <w:tr w14:paraId="3A02F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0" w:type="pct"/>
            <w:vMerge w:val="continue"/>
            <w:tcMar>
              <w:left w:w="57" w:type="dxa"/>
              <w:right w:w="57" w:type="dxa"/>
            </w:tcMar>
            <w:vAlign w:val="center"/>
          </w:tcPr>
          <w:p w14:paraId="4B8F4B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683" w:type="pct"/>
            <w:tcMar>
              <w:left w:w="57" w:type="dxa"/>
              <w:right w:w="57" w:type="dxa"/>
            </w:tcMar>
            <w:vAlign w:val="center"/>
          </w:tcPr>
          <w:p w14:paraId="060C2E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废气</w:t>
            </w:r>
          </w:p>
        </w:tc>
        <w:tc>
          <w:tcPr>
            <w:tcW w:w="1368" w:type="pct"/>
            <w:tcMar>
              <w:left w:w="57" w:type="dxa"/>
              <w:right w:w="57" w:type="dxa"/>
            </w:tcMar>
            <w:vAlign w:val="center"/>
          </w:tcPr>
          <w:p w14:paraId="22D09C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汽车尾气</w:t>
            </w:r>
          </w:p>
        </w:tc>
        <w:tc>
          <w:tcPr>
            <w:tcW w:w="1613" w:type="pct"/>
            <w:tcMar>
              <w:left w:w="57" w:type="dxa"/>
              <w:right w:w="57" w:type="dxa"/>
            </w:tcMar>
            <w:vAlign w:val="center"/>
          </w:tcPr>
          <w:p w14:paraId="1C16BC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NO</w:t>
            </w:r>
            <w:r>
              <w:rPr>
                <w:rFonts w:hint="eastAsia" w:ascii="Times New Roman" w:hAnsi="Times New Roman" w:eastAsia="宋体" w:cs="Times New Roman"/>
                <w:color w:val="auto"/>
                <w:kern w:val="2"/>
                <w:sz w:val="21"/>
                <w:szCs w:val="24"/>
                <w:highlight w:val="none"/>
                <w:vertAlign w:val="baseline"/>
                <w:lang w:val="en-US" w:eastAsia="zh-CN" w:bidi="ar-SA"/>
              </w:rPr>
              <w:t>x</w:t>
            </w:r>
            <w:r>
              <w:rPr>
                <w:rFonts w:hint="default" w:ascii="Times New Roman" w:hAnsi="Times New Roman" w:eastAsia="宋体" w:cs="Times New Roman"/>
                <w:color w:val="auto"/>
                <w:kern w:val="2"/>
                <w:sz w:val="21"/>
                <w:szCs w:val="24"/>
                <w:highlight w:val="none"/>
                <w:lang w:val="en-US" w:eastAsia="zh-CN" w:bidi="ar-SA"/>
              </w:rPr>
              <w:t>、CO、</w:t>
            </w:r>
            <w:r>
              <w:rPr>
                <w:rFonts w:hint="eastAsia" w:ascii="Times New Roman" w:hAnsi="Times New Roman" w:eastAsia="宋体" w:cs="Times New Roman"/>
                <w:color w:val="auto"/>
                <w:kern w:val="2"/>
                <w:sz w:val="21"/>
                <w:szCs w:val="24"/>
                <w:highlight w:val="none"/>
                <w:lang w:val="en-US" w:eastAsia="zh-CN" w:bidi="ar-SA"/>
              </w:rPr>
              <w:t>NMHC</w:t>
            </w:r>
          </w:p>
        </w:tc>
        <w:tc>
          <w:tcPr>
            <w:tcW w:w="744" w:type="pct"/>
            <w:tcMar>
              <w:left w:w="57" w:type="dxa"/>
              <w:right w:w="57" w:type="dxa"/>
            </w:tcMar>
            <w:vAlign w:val="center"/>
          </w:tcPr>
          <w:p w14:paraId="5AE94D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移动源</w:t>
            </w:r>
          </w:p>
        </w:tc>
      </w:tr>
      <w:tr w14:paraId="1390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0" w:type="pct"/>
            <w:vMerge w:val="continue"/>
            <w:tcMar>
              <w:left w:w="57" w:type="dxa"/>
              <w:right w:w="57" w:type="dxa"/>
            </w:tcMar>
            <w:vAlign w:val="center"/>
          </w:tcPr>
          <w:p w14:paraId="150635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683" w:type="pct"/>
            <w:tcMar>
              <w:left w:w="57" w:type="dxa"/>
              <w:right w:w="57" w:type="dxa"/>
            </w:tcMar>
            <w:vAlign w:val="center"/>
          </w:tcPr>
          <w:p w14:paraId="491314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废水</w:t>
            </w:r>
          </w:p>
        </w:tc>
        <w:tc>
          <w:tcPr>
            <w:tcW w:w="1368" w:type="pct"/>
            <w:tcMar>
              <w:left w:w="57" w:type="dxa"/>
              <w:right w:w="57" w:type="dxa"/>
            </w:tcMar>
            <w:vAlign w:val="center"/>
          </w:tcPr>
          <w:p w14:paraId="387DB2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生产废水、冲洗废水</w:t>
            </w:r>
          </w:p>
        </w:tc>
        <w:tc>
          <w:tcPr>
            <w:tcW w:w="1613" w:type="pct"/>
            <w:tcMar>
              <w:left w:w="57" w:type="dxa"/>
              <w:right w:w="57" w:type="dxa"/>
            </w:tcMar>
            <w:vAlign w:val="center"/>
          </w:tcPr>
          <w:p w14:paraId="504BBF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SS</w:t>
            </w:r>
          </w:p>
        </w:tc>
        <w:tc>
          <w:tcPr>
            <w:tcW w:w="744" w:type="pct"/>
            <w:tcMar>
              <w:left w:w="57" w:type="dxa"/>
              <w:right w:w="57" w:type="dxa"/>
            </w:tcMar>
            <w:vAlign w:val="center"/>
          </w:tcPr>
          <w:p w14:paraId="1F22F7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固定源</w:t>
            </w:r>
          </w:p>
        </w:tc>
      </w:tr>
      <w:tr w14:paraId="2565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0" w:type="pct"/>
            <w:vMerge w:val="continue"/>
            <w:tcMar>
              <w:left w:w="57" w:type="dxa"/>
              <w:right w:w="57" w:type="dxa"/>
            </w:tcMar>
            <w:vAlign w:val="center"/>
          </w:tcPr>
          <w:p w14:paraId="25AA35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683" w:type="pct"/>
            <w:tcMar>
              <w:left w:w="57" w:type="dxa"/>
              <w:right w:w="57" w:type="dxa"/>
            </w:tcMar>
            <w:vAlign w:val="center"/>
          </w:tcPr>
          <w:p w14:paraId="7A3DC5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固体废物</w:t>
            </w:r>
          </w:p>
        </w:tc>
        <w:tc>
          <w:tcPr>
            <w:tcW w:w="1368" w:type="pct"/>
            <w:tcMar>
              <w:left w:w="57" w:type="dxa"/>
              <w:right w:w="57" w:type="dxa"/>
            </w:tcMar>
            <w:vAlign w:val="center"/>
          </w:tcPr>
          <w:p w14:paraId="4F55F6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废弃建材、生活垃圾</w:t>
            </w:r>
          </w:p>
        </w:tc>
        <w:tc>
          <w:tcPr>
            <w:tcW w:w="1613" w:type="pct"/>
            <w:tcMar>
              <w:left w:w="57" w:type="dxa"/>
              <w:right w:w="57" w:type="dxa"/>
            </w:tcMar>
            <w:vAlign w:val="center"/>
          </w:tcPr>
          <w:p w14:paraId="7C7357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一般固体废物</w:t>
            </w:r>
          </w:p>
        </w:tc>
        <w:tc>
          <w:tcPr>
            <w:tcW w:w="744" w:type="pct"/>
            <w:tcMar>
              <w:left w:w="57" w:type="dxa"/>
              <w:right w:w="57" w:type="dxa"/>
            </w:tcMar>
            <w:vAlign w:val="center"/>
          </w:tcPr>
          <w:p w14:paraId="66DEC1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固定源</w:t>
            </w:r>
          </w:p>
        </w:tc>
      </w:tr>
      <w:tr w14:paraId="50CA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0" w:type="pct"/>
            <w:vMerge w:val="restart"/>
            <w:tcMar>
              <w:left w:w="57" w:type="dxa"/>
              <w:right w:w="57" w:type="dxa"/>
            </w:tcMar>
            <w:vAlign w:val="center"/>
          </w:tcPr>
          <w:p w14:paraId="4A9DDE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运营期</w:t>
            </w:r>
          </w:p>
        </w:tc>
        <w:tc>
          <w:tcPr>
            <w:tcW w:w="683" w:type="pct"/>
            <w:vMerge w:val="restart"/>
            <w:tcMar>
              <w:left w:w="57" w:type="dxa"/>
              <w:right w:w="57" w:type="dxa"/>
            </w:tcMar>
            <w:vAlign w:val="center"/>
          </w:tcPr>
          <w:p w14:paraId="4F6E43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噪声</w:t>
            </w:r>
          </w:p>
        </w:tc>
        <w:tc>
          <w:tcPr>
            <w:tcW w:w="1368" w:type="pct"/>
            <w:tcMar>
              <w:left w:w="57" w:type="dxa"/>
              <w:right w:w="57" w:type="dxa"/>
            </w:tcMar>
            <w:vAlign w:val="center"/>
          </w:tcPr>
          <w:p w14:paraId="616C06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航空器</w:t>
            </w:r>
            <w:r>
              <w:rPr>
                <w:rFonts w:hint="default" w:ascii="Times New Roman" w:hAnsi="Times New Roman" w:eastAsia="宋体" w:cs="Times New Roman"/>
                <w:color w:val="auto"/>
                <w:kern w:val="2"/>
                <w:sz w:val="21"/>
                <w:szCs w:val="24"/>
                <w:highlight w:val="none"/>
                <w:lang w:val="en-US" w:eastAsia="zh-CN" w:bidi="ar-SA"/>
              </w:rPr>
              <w:t>噪声</w:t>
            </w:r>
          </w:p>
        </w:tc>
        <w:tc>
          <w:tcPr>
            <w:tcW w:w="1613" w:type="pct"/>
            <w:tcMar>
              <w:left w:w="57" w:type="dxa"/>
              <w:right w:w="57" w:type="dxa"/>
            </w:tcMar>
            <w:vAlign w:val="center"/>
          </w:tcPr>
          <w:p w14:paraId="46595C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计权等效连续感觉噪声级L</w:t>
            </w:r>
            <w:r>
              <w:rPr>
                <w:rFonts w:hint="default" w:ascii="Times New Roman" w:hAnsi="Times New Roman" w:eastAsia="宋体" w:cs="Times New Roman"/>
                <w:color w:val="auto"/>
                <w:kern w:val="2"/>
                <w:sz w:val="21"/>
                <w:szCs w:val="24"/>
                <w:highlight w:val="none"/>
                <w:vertAlign w:val="subscript"/>
                <w:lang w:val="en-US" w:eastAsia="zh-CN" w:bidi="ar-SA"/>
              </w:rPr>
              <w:t>WECPN</w:t>
            </w:r>
          </w:p>
        </w:tc>
        <w:tc>
          <w:tcPr>
            <w:tcW w:w="744" w:type="pct"/>
            <w:tcMar>
              <w:left w:w="57" w:type="dxa"/>
              <w:right w:w="57" w:type="dxa"/>
            </w:tcMar>
            <w:vAlign w:val="center"/>
          </w:tcPr>
          <w:p w14:paraId="3C5998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移动源</w:t>
            </w:r>
          </w:p>
        </w:tc>
      </w:tr>
      <w:tr w14:paraId="6F9E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0" w:type="pct"/>
            <w:vMerge w:val="continue"/>
            <w:tcMar>
              <w:left w:w="57" w:type="dxa"/>
              <w:right w:w="57" w:type="dxa"/>
            </w:tcMar>
            <w:vAlign w:val="center"/>
          </w:tcPr>
          <w:p w14:paraId="3691D4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683" w:type="pct"/>
            <w:vMerge w:val="continue"/>
            <w:tcMar>
              <w:left w:w="57" w:type="dxa"/>
              <w:right w:w="57" w:type="dxa"/>
            </w:tcMar>
            <w:vAlign w:val="center"/>
          </w:tcPr>
          <w:p w14:paraId="34A887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68" w:type="pct"/>
            <w:tcMar>
              <w:left w:w="57" w:type="dxa"/>
              <w:right w:w="57" w:type="dxa"/>
            </w:tcMar>
            <w:vAlign w:val="center"/>
          </w:tcPr>
          <w:p w14:paraId="24EECE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设备噪声</w:t>
            </w:r>
          </w:p>
        </w:tc>
        <w:tc>
          <w:tcPr>
            <w:tcW w:w="1613" w:type="pct"/>
            <w:tcMar>
              <w:left w:w="57" w:type="dxa"/>
              <w:right w:w="57" w:type="dxa"/>
            </w:tcMar>
            <w:vAlign w:val="center"/>
          </w:tcPr>
          <w:p w14:paraId="3EF5A4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等效连续</w:t>
            </w:r>
            <w:r>
              <w:rPr>
                <w:rFonts w:hint="default" w:ascii="Times New Roman" w:hAnsi="Times New Roman" w:eastAsia="宋体" w:cs="Times New Roman"/>
                <w:color w:val="auto"/>
                <w:kern w:val="2"/>
                <w:sz w:val="21"/>
                <w:szCs w:val="24"/>
                <w:highlight w:val="none"/>
                <w:lang w:val="en-US" w:eastAsia="zh-CN" w:bidi="ar-SA"/>
              </w:rPr>
              <w:t>A</w:t>
            </w:r>
            <w:r>
              <w:rPr>
                <w:rFonts w:hint="eastAsia" w:ascii="Times New Roman" w:hAnsi="Times New Roman" w:eastAsia="宋体" w:cs="Times New Roman"/>
                <w:color w:val="auto"/>
                <w:kern w:val="2"/>
                <w:sz w:val="21"/>
                <w:szCs w:val="24"/>
                <w:highlight w:val="none"/>
                <w:lang w:val="en-US" w:eastAsia="zh-CN" w:bidi="ar-SA"/>
              </w:rPr>
              <w:t>声级</w:t>
            </w:r>
          </w:p>
        </w:tc>
        <w:tc>
          <w:tcPr>
            <w:tcW w:w="744" w:type="pct"/>
            <w:tcMar>
              <w:left w:w="57" w:type="dxa"/>
              <w:right w:w="57" w:type="dxa"/>
            </w:tcMar>
            <w:vAlign w:val="center"/>
          </w:tcPr>
          <w:p w14:paraId="4E77B2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固定源</w:t>
            </w:r>
          </w:p>
        </w:tc>
      </w:tr>
      <w:tr w14:paraId="53A4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0" w:type="pct"/>
            <w:vMerge w:val="continue"/>
            <w:tcMar>
              <w:left w:w="57" w:type="dxa"/>
              <w:right w:w="57" w:type="dxa"/>
            </w:tcMar>
            <w:vAlign w:val="center"/>
          </w:tcPr>
          <w:p w14:paraId="798EFA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683" w:type="pct"/>
            <w:vMerge w:val="restart"/>
            <w:tcMar>
              <w:left w:w="57" w:type="dxa"/>
              <w:right w:w="57" w:type="dxa"/>
            </w:tcMar>
            <w:vAlign w:val="center"/>
          </w:tcPr>
          <w:p w14:paraId="64B139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废气</w:t>
            </w:r>
          </w:p>
        </w:tc>
        <w:tc>
          <w:tcPr>
            <w:tcW w:w="1368" w:type="pct"/>
            <w:tcMar>
              <w:left w:w="57" w:type="dxa"/>
              <w:right w:w="57" w:type="dxa"/>
            </w:tcMar>
            <w:vAlign w:val="center"/>
          </w:tcPr>
          <w:p w14:paraId="7CF4B6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飞机尾气</w:t>
            </w:r>
          </w:p>
        </w:tc>
        <w:tc>
          <w:tcPr>
            <w:tcW w:w="1613" w:type="pct"/>
            <w:tcMar>
              <w:left w:w="57" w:type="dxa"/>
              <w:right w:w="57" w:type="dxa"/>
            </w:tcMar>
            <w:vAlign w:val="center"/>
          </w:tcPr>
          <w:p w14:paraId="4E0383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NO</w:t>
            </w:r>
            <w:r>
              <w:rPr>
                <w:rFonts w:hint="eastAsia" w:cs="Times New Roman"/>
                <w:color w:val="auto"/>
                <w:kern w:val="2"/>
                <w:sz w:val="21"/>
                <w:szCs w:val="24"/>
                <w:highlight w:val="none"/>
                <w:lang w:val="en-US" w:eastAsia="zh-CN" w:bidi="ar-SA"/>
              </w:rPr>
              <w:t>x</w:t>
            </w:r>
            <w:r>
              <w:rPr>
                <w:rFonts w:hint="default" w:ascii="Times New Roman" w:hAnsi="Times New Roman" w:eastAsia="宋体" w:cs="Times New Roman"/>
                <w:color w:val="auto"/>
                <w:kern w:val="2"/>
                <w:sz w:val="21"/>
                <w:szCs w:val="24"/>
                <w:highlight w:val="none"/>
                <w:lang w:val="en-US" w:eastAsia="zh-CN" w:bidi="ar-SA"/>
              </w:rPr>
              <w:t>、CO、SO</w:t>
            </w:r>
            <w:r>
              <w:rPr>
                <w:rFonts w:hint="default" w:ascii="Times New Roman" w:hAnsi="Times New Roman" w:eastAsia="宋体" w:cs="Times New Roman"/>
                <w:color w:val="auto"/>
                <w:kern w:val="2"/>
                <w:sz w:val="21"/>
                <w:szCs w:val="24"/>
                <w:highlight w:val="none"/>
                <w:vertAlign w:val="subscript"/>
                <w:lang w:val="en-US" w:eastAsia="zh-CN" w:bidi="ar-SA"/>
              </w:rPr>
              <w:t>2</w:t>
            </w:r>
            <w:r>
              <w:rPr>
                <w:rFonts w:hint="default" w:ascii="Times New Roman" w:hAnsi="Times New Roman" w:eastAsia="宋体" w:cs="Times New Roman"/>
                <w:color w:val="auto"/>
                <w:kern w:val="2"/>
                <w:sz w:val="21"/>
                <w:szCs w:val="24"/>
                <w:highlight w:val="none"/>
                <w:lang w:val="en-US" w:eastAsia="zh-CN" w:bidi="ar-SA"/>
              </w:rPr>
              <w:t>、</w:t>
            </w:r>
            <w:r>
              <w:rPr>
                <w:rFonts w:hint="eastAsia" w:ascii="Times New Roman" w:hAnsi="Times New Roman" w:eastAsia="宋体" w:cs="Times New Roman"/>
                <w:color w:val="auto"/>
                <w:kern w:val="2"/>
                <w:sz w:val="21"/>
                <w:szCs w:val="24"/>
                <w:highlight w:val="none"/>
                <w:lang w:val="en-US" w:eastAsia="zh-CN" w:bidi="ar-SA"/>
              </w:rPr>
              <w:t>NMHC</w:t>
            </w:r>
          </w:p>
        </w:tc>
        <w:tc>
          <w:tcPr>
            <w:tcW w:w="744" w:type="pct"/>
            <w:tcMar>
              <w:left w:w="57" w:type="dxa"/>
              <w:right w:w="57" w:type="dxa"/>
            </w:tcMar>
            <w:vAlign w:val="center"/>
          </w:tcPr>
          <w:p w14:paraId="14FC6D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移动源</w:t>
            </w:r>
          </w:p>
        </w:tc>
      </w:tr>
      <w:tr w14:paraId="0083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0" w:type="pct"/>
            <w:vMerge w:val="continue"/>
            <w:tcMar>
              <w:left w:w="57" w:type="dxa"/>
              <w:right w:w="57" w:type="dxa"/>
            </w:tcMar>
            <w:vAlign w:val="center"/>
          </w:tcPr>
          <w:p w14:paraId="105855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683" w:type="pct"/>
            <w:vMerge w:val="continue"/>
            <w:tcMar>
              <w:left w:w="57" w:type="dxa"/>
              <w:right w:w="57" w:type="dxa"/>
            </w:tcMar>
            <w:vAlign w:val="center"/>
          </w:tcPr>
          <w:p w14:paraId="121B78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68" w:type="pct"/>
            <w:tcMar>
              <w:left w:w="57" w:type="dxa"/>
              <w:right w:w="57" w:type="dxa"/>
            </w:tcMar>
            <w:vAlign w:val="center"/>
          </w:tcPr>
          <w:p w14:paraId="00C2C0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汽车尾气</w:t>
            </w:r>
          </w:p>
        </w:tc>
        <w:tc>
          <w:tcPr>
            <w:tcW w:w="1613" w:type="pct"/>
            <w:tcMar>
              <w:left w:w="57" w:type="dxa"/>
              <w:right w:w="57" w:type="dxa"/>
            </w:tcMar>
            <w:vAlign w:val="center"/>
          </w:tcPr>
          <w:p w14:paraId="3DA9BC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NO</w:t>
            </w:r>
            <w:r>
              <w:rPr>
                <w:rFonts w:hint="eastAsia" w:cs="Times New Roman"/>
                <w:color w:val="auto"/>
                <w:kern w:val="2"/>
                <w:sz w:val="21"/>
                <w:szCs w:val="24"/>
                <w:highlight w:val="none"/>
                <w:lang w:val="en-US" w:eastAsia="zh-CN" w:bidi="ar-SA"/>
              </w:rPr>
              <w:t>x</w:t>
            </w:r>
            <w:r>
              <w:rPr>
                <w:rFonts w:hint="default" w:ascii="Times New Roman" w:hAnsi="Times New Roman" w:eastAsia="宋体" w:cs="Times New Roman"/>
                <w:color w:val="auto"/>
                <w:kern w:val="2"/>
                <w:sz w:val="21"/>
                <w:szCs w:val="24"/>
                <w:highlight w:val="none"/>
                <w:lang w:val="en-US" w:eastAsia="zh-CN" w:bidi="ar-SA"/>
              </w:rPr>
              <w:t>、CO、</w:t>
            </w:r>
            <w:r>
              <w:rPr>
                <w:rFonts w:hint="eastAsia" w:ascii="Times New Roman" w:hAnsi="Times New Roman" w:eastAsia="宋体" w:cs="Times New Roman"/>
                <w:color w:val="auto"/>
                <w:kern w:val="2"/>
                <w:sz w:val="21"/>
                <w:szCs w:val="24"/>
                <w:highlight w:val="none"/>
                <w:lang w:val="en-US" w:eastAsia="zh-CN" w:bidi="ar-SA"/>
              </w:rPr>
              <w:t>NMHC</w:t>
            </w:r>
          </w:p>
        </w:tc>
        <w:tc>
          <w:tcPr>
            <w:tcW w:w="744" w:type="pct"/>
            <w:tcMar>
              <w:left w:w="57" w:type="dxa"/>
              <w:right w:w="57" w:type="dxa"/>
            </w:tcMar>
            <w:vAlign w:val="center"/>
          </w:tcPr>
          <w:p w14:paraId="7F3FAB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移动源</w:t>
            </w:r>
          </w:p>
        </w:tc>
      </w:tr>
      <w:tr w14:paraId="625E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0" w:type="pct"/>
            <w:vMerge w:val="continue"/>
            <w:tcMar>
              <w:left w:w="57" w:type="dxa"/>
              <w:right w:w="57" w:type="dxa"/>
            </w:tcMar>
            <w:vAlign w:val="center"/>
          </w:tcPr>
          <w:p w14:paraId="5C0EF0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683" w:type="pct"/>
            <w:vMerge w:val="continue"/>
            <w:tcMar>
              <w:left w:w="57" w:type="dxa"/>
              <w:right w:w="57" w:type="dxa"/>
            </w:tcMar>
            <w:vAlign w:val="center"/>
          </w:tcPr>
          <w:p w14:paraId="570C9E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68" w:type="pct"/>
            <w:tcMar>
              <w:left w:w="57" w:type="dxa"/>
              <w:right w:w="57" w:type="dxa"/>
            </w:tcMar>
            <w:vAlign w:val="center"/>
          </w:tcPr>
          <w:p w14:paraId="25AE89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罐式加油车</w:t>
            </w:r>
          </w:p>
        </w:tc>
        <w:tc>
          <w:tcPr>
            <w:tcW w:w="1613" w:type="pct"/>
            <w:tcMar>
              <w:left w:w="57" w:type="dxa"/>
              <w:right w:w="57" w:type="dxa"/>
            </w:tcMar>
            <w:vAlign w:val="center"/>
          </w:tcPr>
          <w:p w14:paraId="489F71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NMHC</w:t>
            </w:r>
          </w:p>
        </w:tc>
        <w:tc>
          <w:tcPr>
            <w:tcW w:w="744" w:type="pct"/>
            <w:tcMar>
              <w:left w:w="57" w:type="dxa"/>
              <w:right w:w="57" w:type="dxa"/>
            </w:tcMar>
            <w:vAlign w:val="center"/>
          </w:tcPr>
          <w:p w14:paraId="685FD9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无组织源</w:t>
            </w:r>
          </w:p>
        </w:tc>
      </w:tr>
      <w:tr w14:paraId="06B1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0" w:type="pct"/>
            <w:vMerge w:val="continue"/>
            <w:tcMar>
              <w:left w:w="57" w:type="dxa"/>
              <w:right w:w="57" w:type="dxa"/>
            </w:tcMar>
            <w:vAlign w:val="center"/>
          </w:tcPr>
          <w:p w14:paraId="1C4CBA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683" w:type="pct"/>
            <w:vMerge w:val="continue"/>
            <w:tcMar>
              <w:left w:w="57" w:type="dxa"/>
              <w:right w:w="57" w:type="dxa"/>
            </w:tcMar>
            <w:vAlign w:val="center"/>
          </w:tcPr>
          <w:p w14:paraId="5BFBC2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68" w:type="pct"/>
            <w:tcMar>
              <w:left w:w="57" w:type="dxa"/>
              <w:right w:w="57" w:type="dxa"/>
            </w:tcMar>
            <w:vAlign w:val="center"/>
          </w:tcPr>
          <w:p w14:paraId="7C7EC2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职工食堂油烟</w:t>
            </w:r>
          </w:p>
        </w:tc>
        <w:tc>
          <w:tcPr>
            <w:tcW w:w="1613" w:type="pct"/>
            <w:tcMar>
              <w:left w:w="57" w:type="dxa"/>
              <w:right w:w="57" w:type="dxa"/>
            </w:tcMar>
            <w:vAlign w:val="center"/>
          </w:tcPr>
          <w:p w14:paraId="28AB52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烟尘（油烟）</w:t>
            </w:r>
          </w:p>
        </w:tc>
        <w:tc>
          <w:tcPr>
            <w:tcW w:w="744" w:type="pct"/>
            <w:tcMar>
              <w:left w:w="57" w:type="dxa"/>
              <w:right w:w="57" w:type="dxa"/>
            </w:tcMar>
            <w:vAlign w:val="center"/>
          </w:tcPr>
          <w:p w14:paraId="3AC230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固定源</w:t>
            </w:r>
          </w:p>
        </w:tc>
      </w:tr>
      <w:tr w14:paraId="2F15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0" w:type="pct"/>
            <w:vMerge w:val="continue"/>
            <w:tcMar>
              <w:left w:w="57" w:type="dxa"/>
              <w:right w:w="57" w:type="dxa"/>
            </w:tcMar>
            <w:vAlign w:val="center"/>
          </w:tcPr>
          <w:p w14:paraId="6860BA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683" w:type="pct"/>
            <w:vMerge w:val="continue"/>
            <w:tcMar>
              <w:left w:w="57" w:type="dxa"/>
              <w:right w:w="57" w:type="dxa"/>
            </w:tcMar>
            <w:vAlign w:val="center"/>
          </w:tcPr>
          <w:p w14:paraId="2702FC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68" w:type="pct"/>
            <w:tcMar>
              <w:left w:w="57" w:type="dxa"/>
              <w:right w:w="57" w:type="dxa"/>
            </w:tcMar>
            <w:vAlign w:val="center"/>
          </w:tcPr>
          <w:p w14:paraId="2B989B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污水处理</w:t>
            </w:r>
            <w:r>
              <w:rPr>
                <w:rFonts w:hint="eastAsia" w:cs="Times New Roman"/>
                <w:color w:val="auto"/>
                <w:kern w:val="2"/>
                <w:sz w:val="21"/>
                <w:szCs w:val="24"/>
                <w:highlight w:val="none"/>
                <w:lang w:val="en-US" w:eastAsia="zh-CN" w:bidi="ar-SA"/>
              </w:rPr>
              <w:t>站</w:t>
            </w:r>
            <w:r>
              <w:rPr>
                <w:rFonts w:hint="default" w:ascii="Times New Roman" w:hAnsi="Times New Roman" w:eastAsia="宋体" w:cs="Times New Roman"/>
                <w:color w:val="auto"/>
                <w:kern w:val="2"/>
                <w:sz w:val="21"/>
                <w:szCs w:val="24"/>
                <w:highlight w:val="none"/>
                <w:lang w:val="en-US" w:eastAsia="zh-CN" w:bidi="ar-SA"/>
              </w:rPr>
              <w:t>恶臭</w:t>
            </w:r>
          </w:p>
        </w:tc>
        <w:tc>
          <w:tcPr>
            <w:tcW w:w="1613" w:type="pct"/>
            <w:tcMar>
              <w:left w:w="57" w:type="dxa"/>
              <w:right w:w="57" w:type="dxa"/>
            </w:tcMar>
            <w:vAlign w:val="center"/>
          </w:tcPr>
          <w:p w14:paraId="4F74DA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eastAsia="Times New Roman"/>
                <w:color w:val="auto"/>
                <w:sz w:val="21"/>
                <w:highlight w:val="none"/>
              </w:rPr>
              <w:t>H</w:t>
            </w:r>
            <w:r>
              <w:rPr>
                <w:rFonts w:hint="default" w:eastAsia="Times New Roman"/>
                <w:color w:val="auto"/>
                <w:sz w:val="21"/>
                <w:highlight w:val="none"/>
                <w:vertAlign w:val="subscript"/>
              </w:rPr>
              <w:t>2</w:t>
            </w:r>
            <w:r>
              <w:rPr>
                <w:rFonts w:hint="default" w:eastAsia="Times New Roman"/>
                <w:color w:val="auto"/>
                <w:sz w:val="21"/>
                <w:highlight w:val="none"/>
              </w:rPr>
              <w:t>S</w:t>
            </w:r>
            <w:r>
              <w:rPr>
                <w:rFonts w:hint="default"/>
                <w:color w:val="auto"/>
                <w:sz w:val="21"/>
                <w:highlight w:val="none"/>
              </w:rPr>
              <w:t>、</w:t>
            </w:r>
            <w:r>
              <w:rPr>
                <w:rFonts w:hint="default" w:eastAsia="Times New Roman"/>
                <w:color w:val="auto"/>
                <w:sz w:val="21"/>
                <w:highlight w:val="none"/>
              </w:rPr>
              <w:t>NH</w:t>
            </w:r>
            <w:r>
              <w:rPr>
                <w:rFonts w:hint="default" w:eastAsia="Times New Roman"/>
                <w:color w:val="auto"/>
                <w:sz w:val="21"/>
                <w:highlight w:val="none"/>
                <w:vertAlign w:val="subscript"/>
              </w:rPr>
              <w:t>3</w:t>
            </w:r>
          </w:p>
        </w:tc>
        <w:tc>
          <w:tcPr>
            <w:tcW w:w="744" w:type="pct"/>
            <w:tcMar>
              <w:left w:w="57" w:type="dxa"/>
              <w:right w:w="57" w:type="dxa"/>
            </w:tcMar>
            <w:vAlign w:val="center"/>
          </w:tcPr>
          <w:p w14:paraId="2FACE2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无组织源</w:t>
            </w:r>
          </w:p>
        </w:tc>
      </w:tr>
      <w:tr w14:paraId="2CEA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0" w:type="pct"/>
            <w:vMerge w:val="continue"/>
            <w:tcMar>
              <w:left w:w="57" w:type="dxa"/>
              <w:right w:w="57" w:type="dxa"/>
            </w:tcMar>
            <w:vAlign w:val="center"/>
          </w:tcPr>
          <w:p w14:paraId="06A4B3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683" w:type="pct"/>
            <w:tcMar>
              <w:left w:w="57" w:type="dxa"/>
              <w:right w:w="57" w:type="dxa"/>
            </w:tcMar>
            <w:vAlign w:val="center"/>
          </w:tcPr>
          <w:p w14:paraId="4620D0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废水</w:t>
            </w:r>
          </w:p>
        </w:tc>
        <w:tc>
          <w:tcPr>
            <w:tcW w:w="1368" w:type="pct"/>
            <w:tcMar>
              <w:left w:w="57" w:type="dxa"/>
              <w:right w:w="57" w:type="dxa"/>
            </w:tcMar>
            <w:vAlign w:val="center"/>
          </w:tcPr>
          <w:p w14:paraId="49D83F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生活、生产废水、冲洗废水</w:t>
            </w:r>
          </w:p>
        </w:tc>
        <w:tc>
          <w:tcPr>
            <w:tcW w:w="1613" w:type="pct"/>
            <w:tcMar>
              <w:left w:w="57" w:type="dxa"/>
              <w:right w:w="57" w:type="dxa"/>
            </w:tcMar>
            <w:vAlign w:val="center"/>
          </w:tcPr>
          <w:p w14:paraId="096A5C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COD、BOD</w:t>
            </w:r>
            <w:r>
              <w:rPr>
                <w:rFonts w:hint="default" w:ascii="Times New Roman" w:hAnsi="Times New Roman" w:eastAsia="宋体" w:cs="Times New Roman"/>
                <w:color w:val="auto"/>
                <w:kern w:val="2"/>
                <w:sz w:val="21"/>
                <w:szCs w:val="24"/>
                <w:highlight w:val="none"/>
                <w:vertAlign w:val="subscript"/>
                <w:lang w:val="en-US" w:eastAsia="zh-CN" w:bidi="ar-SA"/>
              </w:rPr>
              <w:t>5</w:t>
            </w:r>
            <w:r>
              <w:rPr>
                <w:rFonts w:hint="default" w:ascii="Times New Roman" w:hAnsi="Times New Roman" w:eastAsia="宋体" w:cs="Times New Roman"/>
                <w:color w:val="auto"/>
                <w:kern w:val="2"/>
                <w:sz w:val="21"/>
                <w:szCs w:val="24"/>
                <w:highlight w:val="none"/>
                <w:lang w:val="en-US" w:eastAsia="zh-CN" w:bidi="ar-SA"/>
              </w:rPr>
              <w:t>、氨氮、SS</w:t>
            </w:r>
            <w:r>
              <w:rPr>
                <w:rFonts w:hint="eastAsia" w:ascii="Times New Roman" w:hAnsi="Times New Roman" w:eastAsia="宋体" w:cs="Times New Roman"/>
                <w:color w:val="auto"/>
                <w:kern w:val="2"/>
                <w:sz w:val="21"/>
                <w:szCs w:val="24"/>
                <w:highlight w:val="none"/>
                <w:lang w:val="en-US" w:eastAsia="zh-CN" w:bidi="ar-SA"/>
              </w:rPr>
              <w:t>、石油类</w:t>
            </w:r>
          </w:p>
        </w:tc>
        <w:tc>
          <w:tcPr>
            <w:tcW w:w="744" w:type="pct"/>
            <w:tcMar>
              <w:left w:w="57" w:type="dxa"/>
              <w:right w:w="57" w:type="dxa"/>
            </w:tcMar>
            <w:vAlign w:val="center"/>
          </w:tcPr>
          <w:p w14:paraId="46B685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固定源</w:t>
            </w:r>
          </w:p>
        </w:tc>
      </w:tr>
      <w:tr w14:paraId="359A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0" w:type="pct"/>
            <w:vMerge w:val="continue"/>
            <w:tcMar>
              <w:left w:w="57" w:type="dxa"/>
              <w:right w:w="57" w:type="dxa"/>
            </w:tcMar>
            <w:vAlign w:val="center"/>
          </w:tcPr>
          <w:p w14:paraId="329C7E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683" w:type="pct"/>
            <w:vMerge w:val="restart"/>
            <w:tcMar>
              <w:left w:w="57" w:type="dxa"/>
              <w:right w:w="57" w:type="dxa"/>
            </w:tcMar>
            <w:vAlign w:val="center"/>
          </w:tcPr>
          <w:p w14:paraId="584081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固体废物</w:t>
            </w:r>
          </w:p>
        </w:tc>
        <w:tc>
          <w:tcPr>
            <w:tcW w:w="1368" w:type="pct"/>
            <w:tcMar>
              <w:left w:w="57" w:type="dxa"/>
              <w:right w:w="57" w:type="dxa"/>
            </w:tcMar>
            <w:vAlign w:val="center"/>
          </w:tcPr>
          <w:p w14:paraId="5C485C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航空垃圾</w:t>
            </w:r>
          </w:p>
        </w:tc>
        <w:tc>
          <w:tcPr>
            <w:tcW w:w="1613" w:type="pct"/>
            <w:tcMar>
              <w:left w:w="57" w:type="dxa"/>
              <w:right w:w="57" w:type="dxa"/>
            </w:tcMar>
            <w:vAlign w:val="center"/>
          </w:tcPr>
          <w:p w14:paraId="1A9442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国内航空垃圾</w:t>
            </w:r>
          </w:p>
        </w:tc>
        <w:tc>
          <w:tcPr>
            <w:tcW w:w="744" w:type="pct"/>
            <w:tcMar>
              <w:left w:w="57" w:type="dxa"/>
              <w:right w:w="57" w:type="dxa"/>
            </w:tcMar>
            <w:vAlign w:val="center"/>
          </w:tcPr>
          <w:p w14:paraId="1BFC9C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固定源</w:t>
            </w:r>
          </w:p>
        </w:tc>
      </w:tr>
      <w:tr w14:paraId="5DCB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0" w:type="pct"/>
            <w:vMerge w:val="continue"/>
            <w:tcMar>
              <w:left w:w="57" w:type="dxa"/>
              <w:right w:w="57" w:type="dxa"/>
            </w:tcMar>
            <w:vAlign w:val="center"/>
          </w:tcPr>
          <w:p w14:paraId="1CE12C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683" w:type="pct"/>
            <w:vMerge w:val="continue"/>
            <w:tcMar>
              <w:left w:w="57" w:type="dxa"/>
              <w:right w:w="57" w:type="dxa"/>
            </w:tcMar>
            <w:vAlign w:val="center"/>
          </w:tcPr>
          <w:p w14:paraId="6F13D1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68" w:type="pct"/>
            <w:tcMar>
              <w:left w:w="57" w:type="dxa"/>
              <w:right w:w="57" w:type="dxa"/>
            </w:tcMar>
            <w:vAlign w:val="center"/>
          </w:tcPr>
          <w:p w14:paraId="49AF77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机场办公生活区</w:t>
            </w:r>
          </w:p>
        </w:tc>
        <w:tc>
          <w:tcPr>
            <w:tcW w:w="1613" w:type="pct"/>
            <w:tcMar>
              <w:left w:w="57" w:type="dxa"/>
              <w:right w:w="57" w:type="dxa"/>
            </w:tcMar>
            <w:vAlign w:val="center"/>
          </w:tcPr>
          <w:p w14:paraId="2A652B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生活及办公垃圾等</w:t>
            </w:r>
          </w:p>
        </w:tc>
        <w:tc>
          <w:tcPr>
            <w:tcW w:w="744" w:type="pct"/>
            <w:tcMar>
              <w:left w:w="57" w:type="dxa"/>
              <w:right w:w="57" w:type="dxa"/>
            </w:tcMar>
            <w:vAlign w:val="center"/>
          </w:tcPr>
          <w:p w14:paraId="1F57A4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固定源</w:t>
            </w:r>
          </w:p>
        </w:tc>
      </w:tr>
    </w:tbl>
    <w:p w14:paraId="64844E07">
      <w:pPr>
        <w:pageBreakBefore w:val="0"/>
        <w:widowControl/>
        <w:kinsoku/>
        <w:wordWrap/>
        <w:overflowPunct/>
        <w:autoSpaceDE w:val="0"/>
        <w:autoSpaceDN w:val="0"/>
        <w:bidi w:val="0"/>
        <w:ind w:firstLine="480" w:firstLineChars="200"/>
        <w:jc w:val="left"/>
        <w:rPr>
          <w:rFonts w:hint="eastAsia" w:ascii="Times New Roman" w:hAnsi="Times New Roman" w:eastAsia="宋体" w:cs="Times New Roman"/>
          <w:color w:val="auto"/>
          <w:szCs w:val="21"/>
          <w:highlight w:val="none"/>
          <w:lang w:eastAsia="zh-CN"/>
        </w:rPr>
      </w:pPr>
      <w:r>
        <w:rPr>
          <w:rFonts w:ascii="Times New Roman" w:hAnsi="Times New Roman" w:eastAsia="宋体" w:cs="Times New Roman"/>
          <w:color w:val="auto"/>
          <w:szCs w:val="21"/>
          <w:highlight w:val="none"/>
        </w:rPr>
        <w:t>本次评价污染源核算以</w:t>
      </w:r>
      <w:r>
        <w:rPr>
          <w:rFonts w:ascii="Times New Roman" w:hAnsi="Times New Roman" w:eastAsia="Times New Roman" w:cs="Times New Roman"/>
          <w:color w:val="auto"/>
          <w:szCs w:val="21"/>
          <w:highlight w:val="none"/>
        </w:rPr>
        <w:t>20</w:t>
      </w:r>
      <w:r>
        <w:rPr>
          <w:rFonts w:hint="eastAsia" w:ascii="Times New Roman" w:hAnsi="Times New Roman" w:eastAsia="宋体" w:cs="Times New Roman"/>
          <w:color w:val="auto"/>
          <w:szCs w:val="21"/>
          <w:highlight w:val="none"/>
          <w:lang w:val="en-US" w:eastAsia="zh-CN"/>
        </w:rPr>
        <w:t>30</w:t>
      </w:r>
      <w:r>
        <w:rPr>
          <w:rFonts w:ascii="Times New Roman" w:hAnsi="Times New Roman" w:eastAsia="宋体" w:cs="Times New Roman"/>
          <w:color w:val="auto"/>
          <w:szCs w:val="21"/>
          <w:highlight w:val="none"/>
        </w:rPr>
        <w:t>年为预测目标年。</w:t>
      </w:r>
      <w:r>
        <w:rPr>
          <w:rFonts w:hint="eastAsia" w:cs="Times New Roman"/>
          <w:color w:val="auto"/>
          <w:szCs w:val="21"/>
          <w:highlight w:val="none"/>
          <w:lang w:eastAsia="zh-CN"/>
        </w:rPr>
        <w:t>本项目</w:t>
      </w:r>
      <w:r>
        <w:rPr>
          <w:rFonts w:ascii="Times New Roman" w:hAnsi="Times New Roman" w:eastAsia="宋体" w:cs="Times New Roman"/>
          <w:color w:val="auto"/>
          <w:szCs w:val="21"/>
          <w:highlight w:val="none"/>
        </w:rPr>
        <w:t>主要影响阶段分为施工期和运营期，针对两个阶段污染物产生特点，对机场主要污染源进行分析核算</w:t>
      </w:r>
      <w:r>
        <w:rPr>
          <w:rFonts w:hint="eastAsia" w:ascii="Times New Roman" w:hAnsi="Times New Roman" w:eastAsia="宋体" w:cs="Times New Roman"/>
          <w:color w:val="auto"/>
          <w:szCs w:val="21"/>
          <w:highlight w:val="none"/>
          <w:lang w:eastAsia="zh-CN"/>
        </w:rPr>
        <w:t>。</w:t>
      </w:r>
    </w:p>
    <w:p w14:paraId="1EFA98AD">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施工期工程分析</w:t>
      </w:r>
    </w:p>
    <w:p w14:paraId="2963572B">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施工期噪声</w:t>
      </w:r>
    </w:p>
    <w:p w14:paraId="31CB68A3">
      <w:pPr>
        <w:pageBreakBefore w:val="0"/>
        <w:widowControl/>
        <w:kinsoku/>
        <w:wordWrap/>
        <w:overflowPunct/>
        <w:bidi w:val="0"/>
        <w:spacing w:line="363" w:lineRule="auto"/>
        <w:ind w:left="-17" w:right="6" w:firstLine="482"/>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在施工阶段，随着工程的进展和工序的更替，会使用不同的施工机械和施工方法。施工期噪声污染源主要为各类机械设备工作产生的噪声，运输车辆产生的交通噪声等。</w:t>
      </w:r>
      <w:r>
        <w:rPr>
          <w:rFonts w:hint="eastAsia" w:ascii="Times New Roman" w:hAnsi="Times New Roman" w:eastAsia="宋体" w:cs="Times New Roman"/>
          <w:color w:val="auto"/>
          <w:szCs w:val="21"/>
          <w:highlight w:val="none"/>
        </w:rPr>
        <w:t>根据《环境噪声与振动控制工程技术导则》（HJ2034-2013）</w:t>
      </w:r>
      <w:r>
        <w:rPr>
          <w:rFonts w:hint="eastAsia" w:cs="Times New Roman"/>
          <w:color w:val="auto"/>
          <w:szCs w:val="21"/>
          <w:highlight w:val="none"/>
          <w:lang w:eastAsia="zh-CN"/>
        </w:rPr>
        <w:t>，</w:t>
      </w:r>
      <w:r>
        <w:rPr>
          <w:rFonts w:ascii="Times New Roman" w:hAnsi="Times New Roman" w:eastAsia="宋体" w:cs="Times New Roman"/>
          <w:color w:val="auto"/>
          <w:szCs w:val="21"/>
          <w:highlight w:val="none"/>
        </w:rPr>
        <w:t>不同阶段的主要施工机械噪声源强见表</w:t>
      </w:r>
      <w:r>
        <w:rPr>
          <w:rFonts w:hint="eastAsia" w:cs="Times New Roman"/>
          <w:color w:val="auto"/>
          <w:szCs w:val="21"/>
          <w:highlight w:val="none"/>
          <w:lang w:val="en-US" w:eastAsia="zh-CN"/>
        </w:rPr>
        <w:t>3.5</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2</w:t>
      </w:r>
      <w:r>
        <w:rPr>
          <w:rFonts w:ascii="Times New Roman" w:hAnsi="Times New Roman" w:eastAsia="宋体" w:cs="Times New Roman"/>
          <w:color w:val="auto"/>
          <w:szCs w:val="21"/>
          <w:highlight w:val="none"/>
        </w:rPr>
        <w:t>。</w:t>
      </w:r>
    </w:p>
    <w:p w14:paraId="48DD56C1">
      <w:pPr>
        <w:pageBreakBefore w:val="0"/>
        <w:widowControl/>
        <w:kinsoku/>
        <w:wordWrap/>
        <w:overflowPunct/>
        <w:bidi w:val="0"/>
        <w:ind w:firstLine="420" w:firstLineChars="200"/>
        <w:jc w:val="center"/>
        <w:rPr>
          <w:rFonts w:hint="eastAsia" w:ascii="黑体" w:hAnsi="黑体" w:eastAsia="黑体" w:cs="黑体"/>
          <w:b w:val="0"/>
          <w:bCs/>
          <w:color w:val="auto"/>
          <w:sz w:val="21"/>
          <w:szCs w:val="18"/>
          <w:highlight w:val="none"/>
          <w:lang w:eastAsia="zh-CN"/>
        </w:rPr>
      </w:pPr>
      <w:r>
        <w:rPr>
          <w:rFonts w:hint="eastAsia" w:ascii="黑体" w:hAnsi="黑体" w:eastAsia="黑体" w:cs="黑体"/>
          <w:b w:val="0"/>
          <w:bCs/>
          <w:color w:val="auto"/>
          <w:sz w:val="21"/>
          <w:szCs w:val="18"/>
          <w:highlight w:val="none"/>
        </w:rPr>
        <w:t>表</w:t>
      </w:r>
      <w:r>
        <w:rPr>
          <w:rFonts w:hint="eastAsia" w:ascii="黑体" w:hAnsi="黑体" w:eastAsia="黑体" w:cs="黑体"/>
          <w:b w:val="0"/>
          <w:bCs/>
          <w:color w:val="auto"/>
          <w:sz w:val="21"/>
          <w:szCs w:val="18"/>
          <w:highlight w:val="none"/>
          <w:lang w:eastAsia="zh-CN"/>
        </w:rPr>
        <w:t>3.5</w:t>
      </w:r>
      <w:r>
        <w:rPr>
          <w:rFonts w:hint="eastAsia" w:ascii="黑体" w:hAnsi="黑体" w:eastAsia="黑体" w:cs="黑体"/>
          <w:b w:val="0"/>
          <w:bCs/>
          <w:color w:val="auto"/>
          <w:sz w:val="21"/>
          <w:szCs w:val="18"/>
          <w:highlight w:val="none"/>
        </w:rPr>
        <w:t>-2    各施工阶段主要噪声源噪声值一览表单位：dB</w:t>
      </w:r>
      <w:r>
        <w:rPr>
          <w:rFonts w:hint="eastAsia" w:ascii="黑体" w:hAnsi="黑体" w:eastAsia="黑体" w:cs="黑体"/>
          <w:b w:val="0"/>
          <w:bCs/>
          <w:color w:val="auto"/>
          <w:sz w:val="21"/>
          <w:szCs w:val="18"/>
          <w:highlight w:val="none"/>
          <w:lang w:eastAsia="zh-CN"/>
        </w:rPr>
        <w:t>（</w:t>
      </w:r>
      <w:r>
        <w:rPr>
          <w:rFonts w:hint="eastAsia" w:ascii="黑体" w:hAnsi="黑体" w:eastAsia="黑体" w:cs="黑体"/>
          <w:b w:val="0"/>
          <w:bCs/>
          <w:color w:val="auto"/>
          <w:sz w:val="21"/>
          <w:szCs w:val="18"/>
          <w:highlight w:val="none"/>
        </w:rPr>
        <w:t>A</w:t>
      </w:r>
      <w:r>
        <w:rPr>
          <w:rFonts w:hint="eastAsia" w:ascii="黑体" w:hAnsi="黑体" w:eastAsia="黑体" w:cs="黑体"/>
          <w:b w:val="0"/>
          <w:bCs/>
          <w:color w:val="auto"/>
          <w:sz w:val="21"/>
          <w:szCs w:val="18"/>
          <w:highlight w:val="none"/>
          <w:lang w:eastAsia="zh-CN"/>
        </w:rPr>
        <w:t>）</w:t>
      </w:r>
    </w:p>
    <w:tbl>
      <w:tblPr>
        <w:tblStyle w:val="5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1385"/>
        <w:gridCol w:w="1155"/>
        <w:gridCol w:w="1155"/>
        <w:gridCol w:w="2074"/>
        <w:gridCol w:w="1616"/>
      </w:tblGrid>
      <w:tr w14:paraId="258D3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20" w:type="pct"/>
            <w:vAlign w:val="center"/>
          </w:tcPr>
          <w:p w14:paraId="3DDFD5CD">
            <w:pPr>
              <w:keepNext w:val="0"/>
              <w:keepLines w:val="0"/>
              <w:suppressLineNumbers w:val="0"/>
              <w:spacing w:before="0" w:beforeAutospacing="0" w:after="0" w:afterAutospacing="0" w:line="240" w:lineRule="atLeast"/>
              <w:ind w:left="0" w:right="0" w:firstLine="0"/>
              <w:jc w:val="center"/>
              <w:rPr>
                <w:rFonts w:hint="default"/>
                <w:color w:val="auto"/>
                <w:highlight w:val="none"/>
              </w:rPr>
            </w:pPr>
            <w:r>
              <w:rPr>
                <w:rFonts w:hint="default"/>
                <w:color w:val="auto"/>
                <w:sz w:val="21"/>
                <w:highlight w:val="none"/>
              </w:rPr>
              <w:t>设备</w:t>
            </w:r>
          </w:p>
        </w:tc>
        <w:tc>
          <w:tcPr>
            <w:tcW w:w="784" w:type="pct"/>
            <w:vAlign w:val="center"/>
          </w:tcPr>
          <w:p w14:paraId="69F15009">
            <w:pPr>
              <w:keepNext w:val="0"/>
              <w:keepLines w:val="0"/>
              <w:suppressLineNumbers w:val="0"/>
              <w:spacing w:before="0" w:beforeAutospacing="0" w:after="0" w:afterAutospacing="0" w:line="240" w:lineRule="atLeast"/>
              <w:ind w:left="0" w:right="0" w:firstLine="0"/>
              <w:jc w:val="center"/>
              <w:rPr>
                <w:rFonts w:hint="default"/>
                <w:color w:val="auto"/>
                <w:highlight w:val="none"/>
              </w:rPr>
            </w:pPr>
            <w:r>
              <w:rPr>
                <w:rFonts w:hint="default"/>
                <w:color w:val="auto"/>
                <w:sz w:val="21"/>
                <w:highlight w:val="none"/>
              </w:rPr>
              <w:t>轮式装载机</w:t>
            </w:r>
          </w:p>
        </w:tc>
        <w:tc>
          <w:tcPr>
            <w:tcW w:w="654" w:type="pct"/>
            <w:vAlign w:val="center"/>
          </w:tcPr>
          <w:p w14:paraId="605451B2">
            <w:pPr>
              <w:keepNext w:val="0"/>
              <w:keepLines w:val="0"/>
              <w:suppressLineNumbers w:val="0"/>
              <w:spacing w:before="0" w:beforeAutospacing="0" w:after="0" w:afterAutospacing="0" w:line="240" w:lineRule="atLeast"/>
              <w:ind w:left="0" w:right="0" w:firstLine="0"/>
              <w:jc w:val="center"/>
              <w:rPr>
                <w:rFonts w:hint="default"/>
                <w:color w:val="auto"/>
                <w:highlight w:val="none"/>
              </w:rPr>
            </w:pPr>
            <w:r>
              <w:rPr>
                <w:rFonts w:hint="default"/>
                <w:color w:val="auto"/>
                <w:sz w:val="21"/>
                <w:highlight w:val="none"/>
              </w:rPr>
              <w:t>平地机</w:t>
            </w:r>
          </w:p>
        </w:tc>
        <w:tc>
          <w:tcPr>
            <w:tcW w:w="654" w:type="pct"/>
            <w:vAlign w:val="center"/>
          </w:tcPr>
          <w:p w14:paraId="6B788DB2">
            <w:pPr>
              <w:keepNext w:val="0"/>
              <w:keepLines w:val="0"/>
              <w:suppressLineNumbers w:val="0"/>
              <w:spacing w:before="0" w:beforeAutospacing="0" w:after="0" w:afterAutospacing="0" w:line="240" w:lineRule="atLeast"/>
              <w:ind w:left="0" w:right="0" w:firstLine="0"/>
              <w:jc w:val="center"/>
              <w:rPr>
                <w:rFonts w:hint="default"/>
                <w:color w:val="auto"/>
                <w:highlight w:val="none"/>
              </w:rPr>
            </w:pPr>
            <w:r>
              <w:rPr>
                <w:rFonts w:hint="default"/>
                <w:color w:val="auto"/>
                <w:sz w:val="21"/>
                <w:highlight w:val="none"/>
              </w:rPr>
              <w:t>推土机</w:t>
            </w:r>
          </w:p>
        </w:tc>
        <w:tc>
          <w:tcPr>
            <w:tcW w:w="1174" w:type="pct"/>
            <w:vAlign w:val="center"/>
          </w:tcPr>
          <w:p w14:paraId="1A7019BF">
            <w:pPr>
              <w:keepNext w:val="0"/>
              <w:keepLines w:val="0"/>
              <w:suppressLineNumbers w:val="0"/>
              <w:spacing w:before="0" w:beforeAutospacing="0" w:after="0" w:afterAutospacing="0" w:line="240" w:lineRule="atLeast"/>
              <w:ind w:left="0" w:right="0" w:firstLine="0"/>
              <w:jc w:val="center"/>
              <w:rPr>
                <w:rFonts w:hint="default"/>
                <w:color w:val="auto"/>
                <w:highlight w:val="none"/>
              </w:rPr>
            </w:pPr>
            <w:r>
              <w:rPr>
                <w:rFonts w:hint="default"/>
                <w:color w:val="auto"/>
                <w:sz w:val="21"/>
                <w:highlight w:val="none"/>
              </w:rPr>
              <w:t>轮胎式液压挖掘机</w:t>
            </w:r>
          </w:p>
        </w:tc>
        <w:tc>
          <w:tcPr>
            <w:tcW w:w="914" w:type="pct"/>
            <w:vAlign w:val="center"/>
          </w:tcPr>
          <w:p w14:paraId="3E54850D">
            <w:pPr>
              <w:keepNext w:val="0"/>
              <w:keepLines w:val="0"/>
              <w:suppressLineNumbers w:val="0"/>
              <w:spacing w:before="0" w:beforeAutospacing="0" w:after="0" w:afterAutospacing="0" w:line="240" w:lineRule="atLeast"/>
              <w:ind w:left="0" w:right="0" w:firstLine="0"/>
              <w:jc w:val="center"/>
              <w:rPr>
                <w:rFonts w:hint="default"/>
                <w:color w:val="auto"/>
                <w:highlight w:val="none"/>
              </w:rPr>
            </w:pPr>
            <w:r>
              <w:rPr>
                <w:rFonts w:hint="default"/>
                <w:color w:val="auto"/>
                <w:sz w:val="21"/>
                <w:highlight w:val="none"/>
              </w:rPr>
              <w:t>冲击式钻井机</w:t>
            </w:r>
          </w:p>
        </w:tc>
      </w:tr>
      <w:tr w14:paraId="34D4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20" w:type="pct"/>
            <w:vAlign w:val="center"/>
          </w:tcPr>
          <w:p w14:paraId="34F52D89">
            <w:pPr>
              <w:keepNext w:val="0"/>
              <w:keepLines w:val="0"/>
              <w:suppressLineNumbers w:val="0"/>
              <w:spacing w:before="0" w:beforeAutospacing="0" w:after="0" w:afterAutospacing="0" w:line="240" w:lineRule="atLeast"/>
              <w:ind w:left="0" w:right="0" w:firstLine="0"/>
              <w:jc w:val="center"/>
              <w:rPr>
                <w:rFonts w:hint="default"/>
                <w:color w:val="auto"/>
                <w:highlight w:val="none"/>
              </w:rPr>
            </w:pPr>
            <w:r>
              <w:rPr>
                <w:rFonts w:hint="default"/>
                <w:color w:val="auto"/>
                <w:sz w:val="21"/>
                <w:highlight w:val="none"/>
              </w:rPr>
              <w:t>距离（</w:t>
            </w:r>
            <w:r>
              <w:rPr>
                <w:rFonts w:hint="default" w:eastAsia="Times New Roman"/>
                <w:color w:val="auto"/>
                <w:sz w:val="21"/>
                <w:highlight w:val="none"/>
              </w:rPr>
              <w:t>5m</w:t>
            </w:r>
            <w:r>
              <w:rPr>
                <w:rFonts w:hint="default"/>
                <w:color w:val="auto"/>
                <w:sz w:val="21"/>
                <w:highlight w:val="none"/>
              </w:rPr>
              <w:t>）</w:t>
            </w:r>
          </w:p>
        </w:tc>
        <w:tc>
          <w:tcPr>
            <w:tcW w:w="784" w:type="pct"/>
            <w:vAlign w:val="center"/>
          </w:tcPr>
          <w:p w14:paraId="17E42B2C">
            <w:pPr>
              <w:keepNext w:val="0"/>
              <w:keepLines w:val="0"/>
              <w:suppressLineNumbers w:val="0"/>
              <w:spacing w:before="0" w:beforeAutospacing="0" w:after="0" w:afterAutospacing="0" w:line="240" w:lineRule="atLeast"/>
              <w:ind w:left="0" w:right="0" w:firstLine="0"/>
              <w:jc w:val="center"/>
              <w:rPr>
                <w:rFonts w:hint="eastAsia" w:eastAsia="宋体"/>
                <w:color w:val="auto"/>
                <w:highlight w:val="none"/>
                <w:lang w:eastAsia="zh-CN"/>
              </w:rPr>
            </w:pPr>
            <w:r>
              <w:rPr>
                <w:rFonts w:hint="default" w:eastAsia="Times New Roman"/>
                <w:color w:val="auto"/>
                <w:sz w:val="21"/>
                <w:highlight w:val="none"/>
              </w:rPr>
              <w:t>9</w:t>
            </w:r>
            <w:r>
              <w:rPr>
                <w:rFonts w:hint="eastAsia" w:ascii="Times New Roman" w:eastAsia="宋体"/>
                <w:color w:val="auto"/>
                <w:sz w:val="21"/>
                <w:highlight w:val="none"/>
                <w:lang w:val="en-US" w:eastAsia="zh-CN"/>
              </w:rPr>
              <w:t>5</w:t>
            </w:r>
          </w:p>
        </w:tc>
        <w:tc>
          <w:tcPr>
            <w:tcW w:w="654" w:type="pct"/>
            <w:vAlign w:val="center"/>
          </w:tcPr>
          <w:p w14:paraId="2C38CC8B">
            <w:pPr>
              <w:keepNext w:val="0"/>
              <w:keepLines w:val="0"/>
              <w:suppressLineNumbers w:val="0"/>
              <w:spacing w:before="0" w:beforeAutospacing="0" w:after="0" w:afterAutospacing="0" w:line="240" w:lineRule="atLeast"/>
              <w:ind w:left="0" w:right="0" w:firstLine="0"/>
              <w:jc w:val="center"/>
              <w:rPr>
                <w:rFonts w:hint="default"/>
                <w:color w:val="auto"/>
                <w:highlight w:val="none"/>
              </w:rPr>
            </w:pPr>
            <w:r>
              <w:rPr>
                <w:rFonts w:hint="default" w:eastAsia="Times New Roman"/>
                <w:color w:val="auto"/>
                <w:sz w:val="21"/>
                <w:highlight w:val="none"/>
              </w:rPr>
              <w:t>90</w:t>
            </w:r>
          </w:p>
        </w:tc>
        <w:tc>
          <w:tcPr>
            <w:tcW w:w="654" w:type="pct"/>
            <w:vAlign w:val="center"/>
          </w:tcPr>
          <w:p w14:paraId="330441DB">
            <w:pPr>
              <w:keepNext w:val="0"/>
              <w:keepLines w:val="0"/>
              <w:suppressLineNumbers w:val="0"/>
              <w:spacing w:before="0" w:beforeAutospacing="0" w:after="0" w:afterAutospacing="0" w:line="240" w:lineRule="atLeast"/>
              <w:ind w:left="0" w:right="0" w:firstLine="0"/>
              <w:jc w:val="center"/>
              <w:rPr>
                <w:rFonts w:hint="eastAsia" w:eastAsia="宋体"/>
                <w:color w:val="auto"/>
                <w:highlight w:val="none"/>
                <w:lang w:eastAsia="zh-CN"/>
              </w:rPr>
            </w:pPr>
            <w:r>
              <w:rPr>
                <w:rFonts w:hint="default" w:eastAsia="Times New Roman"/>
                <w:color w:val="auto"/>
                <w:sz w:val="21"/>
                <w:highlight w:val="none"/>
              </w:rPr>
              <w:t>8</w:t>
            </w:r>
            <w:r>
              <w:rPr>
                <w:rFonts w:hint="eastAsia" w:ascii="Times New Roman" w:eastAsia="宋体"/>
                <w:color w:val="auto"/>
                <w:sz w:val="21"/>
                <w:highlight w:val="none"/>
                <w:lang w:val="en-US" w:eastAsia="zh-CN"/>
              </w:rPr>
              <w:t>8</w:t>
            </w:r>
          </w:p>
        </w:tc>
        <w:tc>
          <w:tcPr>
            <w:tcW w:w="1174" w:type="pct"/>
            <w:vAlign w:val="center"/>
          </w:tcPr>
          <w:p w14:paraId="12B15854">
            <w:pPr>
              <w:keepNext w:val="0"/>
              <w:keepLines w:val="0"/>
              <w:suppressLineNumbers w:val="0"/>
              <w:spacing w:before="0" w:beforeAutospacing="0" w:after="0" w:afterAutospacing="0" w:line="240" w:lineRule="atLeast"/>
              <w:ind w:left="0" w:right="0" w:firstLine="0"/>
              <w:jc w:val="center"/>
              <w:rPr>
                <w:rFonts w:hint="default" w:eastAsia="宋体"/>
                <w:color w:val="auto"/>
                <w:highlight w:val="none"/>
                <w:lang w:val="en-US" w:eastAsia="zh-CN"/>
              </w:rPr>
            </w:pPr>
            <w:r>
              <w:rPr>
                <w:rFonts w:hint="eastAsia" w:ascii="Times New Roman" w:eastAsia="宋体"/>
                <w:color w:val="auto"/>
                <w:sz w:val="21"/>
                <w:highlight w:val="none"/>
                <w:lang w:val="en-US" w:eastAsia="zh-CN"/>
              </w:rPr>
              <w:t>90</w:t>
            </w:r>
          </w:p>
        </w:tc>
        <w:tc>
          <w:tcPr>
            <w:tcW w:w="914" w:type="pct"/>
            <w:vAlign w:val="center"/>
          </w:tcPr>
          <w:p w14:paraId="5CC79689">
            <w:pPr>
              <w:keepNext w:val="0"/>
              <w:keepLines w:val="0"/>
              <w:suppressLineNumbers w:val="0"/>
              <w:spacing w:before="0" w:beforeAutospacing="0" w:after="0" w:afterAutospacing="0" w:line="240" w:lineRule="atLeast"/>
              <w:ind w:left="0" w:right="0" w:firstLine="0"/>
              <w:jc w:val="center"/>
              <w:rPr>
                <w:rFonts w:hint="default"/>
                <w:color w:val="auto"/>
                <w:highlight w:val="none"/>
              </w:rPr>
            </w:pPr>
            <w:r>
              <w:rPr>
                <w:rFonts w:hint="default" w:eastAsia="Times New Roman"/>
                <w:color w:val="auto"/>
                <w:sz w:val="21"/>
                <w:highlight w:val="none"/>
              </w:rPr>
              <w:t>87</w:t>
            </w:r>
          </w:p>
        </w:tc>
      </w:tr>
      <w:tr w14:paraId="55AE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20" w:type="pct"/>
            <w:vAlign w:val="center"/>
          </w:tcPr>
          <w:p w14:paraId="0781360D">
            <w:pPr>
              <w:keepNext w:val="0"/>
              <w:keepLines w:val="0"/>
              <w:suppressLineNumbers w:val="0"/>
              <w:spacing w:before="0" w:beforeAutospacing="0" w:after="0" w:afterAutospacing="0" w:line="240" w:lineRule="atLeast"/>
              <w:ind w:left="0" w:right="0" w:firstLine="0"/>
              <w:jc w:val="center"/>
              <w:rPr>
                <w:rFonts w:hint="default"/>
                <w:color w:val="auto"/>
                <w:highlight w:val="none"/>
              </w:rPr>
            </w:pPr>
            <w:r>
              <w:rPr>
                <w:rFonts w:hint="default"/>
                <w:color w:val="auto"/>
                <w:sz w:val="21"/>
                <w:highlight w:val="none"/>
              </w:rPr>
              <w:t>设备</w:t>
            </w:r>
          </w:p>
        </w:tc>
        <w:tc>
          <w:tcPr>
            <w:tcW w:w="784" w:type="pct"/>
            <w:vAlign w:val="center"/>
          </w:tcPr>
          <w:p w14:paraId="0F29DEC6">
            <w:pPr>
              <w:keepNext w:val="0"/>
              <w:keepLines w:val="0"/>
              <w:suppressLineNumbers w:val="0"/>
              <w:spacing w:before="0" w:beforeAutospacing="0" w:after="0" w:afterAutospacing="0" w:line="240" w:lineRule="atLeast"/>
              <w:ind w:left="0" w:right="0" w:firstLine="0"/>
              <w:jc w:val="center"/>
              <w:rPr>
                <w:rFonts w:hint="default"/>
                <w:color w:val="auto"/>
                <w:highlight w:val="none"/>
              </w:rPr>
            </w:pPr>
            <w:r>
              <w:rPr>
                <w:rFonts w:hint="default"/>
                <w:color w:val="auto"/>
                <w:sz w:val="21"/>
                <w:highlight w:val="none"/>
              </w:rPr>
              <w:t>振动压路机</w:t>
            </w:r>
          </w:p>
        </w:tc>
        <w:tc>
          <w:tcPr>
            <w:tcW w:w="654" w:type="pct"/>
            <w:vAlign w:val="center"/>
          </w:tcPr>
          <w:p w14:paraId="4804C838">
            <w:pPr>
              <w:keepNext w:val="0"/>
              <w:keepLines w:val="0"/>
              <w:suppressLineNumbers w:val="0"/>
              <w:spacing w:before="0" w:beforeAutospacing="0" w:after="0" w:afterAutospacing="0" w:line="240" w:lineRule="atLeast"/>
              <w:ind w:left="0" w:right="0" w:firstLine="0"/>
              <w:jc w:val="center"/>
              <w:rPr>
                <w:rFonts w:hint="default"/>
                <w:color w:val="auto"/>
                <w:highlight w:val="none"/>
              </w:rPr>
            </w:pPr>
            <w:r>
              <w:rPr>
                <w:rFonts w:hint="default"/>
                <w:color w:val="auto"/>
                <w:sz w:val="21"/>
                <w:highlight w:val="none"/>
              </w:rPr>
              <w:t>气动扳手</w:t>
            </w:r>
          </w:p>
        </w:tc>
        <w:tc>
          <w:tcPr>
            <w:tcW w:w="654" w:type="pct"/>
            <w:vAlign w:val="center"/>
          </w:tcPr>
          <w:p w14:paraId="02553164">
            <w:pPr>
              <w:keepNext w:val="0"/>
              <w:keepLines w:val="0"/>
              <w:suppressLineNumbers w:val="0"/>
              <w:spacing w:before="0" w:beforeAutospacing="0" w:after="0" w:afterAutospacing="0" w:line="240" w:lineRule="atLeast"/>
              <w:ind w:left="0" w:right="0" w:firstLine="0"/>
              <w:jc w:val="center"/>
              <w:rPr>
                <w:rFonts w:hint="default"/>
                <w:color w:val="auto"/>
                <w:highlight w:val="none"/>
              </w:rPr>
            </w:pPr>
            <w:r>
              <w:rPr>
                <w:rFonts w:hint="default"/>
                <w:color w:val="auto"/>
                <w:sz w:val="21"/>
                <w:highlight w:val="none"/>
              </w:rPr>
              <w:t>混凝土泵</w:t>
            </w:r>
          </w:p>
        </w:tc>
        <w:tc>
          <w:tcPr>
            <w:tcW w:w="1174" w:type="pct"/>
            <w:vAlign w:val="center"/>
          </w:tcPr>
          <w:p w14:paraId="2D72D2DC">
            <w:pPr>
              <w:keepNext w:val="0"/>
              <w:keepLines w:val="0"/>
              <w:suppressLineNumbers w:val="0"/>
              <w:spacing w:before="0" w:beforeAutospacing="0" w:after="0" w:afterAutospacing="0" w:line="240" w:lineRule="atLeast"/>
              <w:ind w:left="0" w:right="0" w:firstLine="0"/>
              <w:jc w:val="center"/>
              <w:rPr>
                <w:rFonts w:hint="default"/>
                <w:color w:val="auto"/>
                <w:highlight w:val="none"/>
              </w:rPr>
            </w:pPr>
            <w:r>
              <w:rPr>
                <w:rFonts w:hint="default"/>
                <w:color w:val="auto"/>
                <w:sz w:val="21"/>
                <w:highlight w:val="none"/>
              </w:rPr>
              <w:t>混凝土振捣机</w:t>
            </w:r>
          </w:p>
        </w:tc>
        <w:tc>
          <w:tcPr>
            <w:tcW w:w="914" w:type="pct"/>
            <w:vAlign w:val="center"/>
          </w:tcPr>
          <w:p w14:paraId="364BF27A">
            <w:pPr>
              <w:keepNext w:val="0"/>
              <w:keepLines w:val="0"/>
              <w:suppressLineNumbers w:val="0"/>
              <w:spacing w:before="0" w:beforeAutospacing="0" w:after="0" w:afterAutospacing="0" w:line="240" w:lineRule="atLeast"/>
              <w:ind w:left="0" w:right="0" w:firstLine="0"/>
              <w:jc w:val="center"/>
              <w:rPr>
                <w:rFonts w:hint="default"/>
                <w:color w:val="auto"/>
                <w:highlight w:val="none"/>
              </w:rPr>
            </w:pPr>
            <w:r>
              <w:rPr>
                <w:rFonts w:hint="default"/>
                <w:color w:val="auto"/>
                <w:sz w:val="21"/>
                <w:highlight w:val="none"/>
              </w:rPr>
              <w:t>混凝土搅拌</w:t>
            </w:r>
            <w:r>
              <w:rPr>
                <w:rFonts w:hint="eastAsia" w:ascii="Times New Roman" w:eastAsia="宋体"/>
                <w:color w:val="auto"/>
                <w:sz w:val="21"/>
                <w:highlight w:val="none"/>
                <w:lang w:val="en-US" w:eastAsia="zh-CN"/>
              </w:rPr>
              <w:t>车</w:t>
            </w:r>
          </w:p>
        </w:tc>
      </w:tr>
      <w:tr w14:paraId="4B76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20" w:type="pct"/>
            <w:vAlign w:val="center"/>
          </w:tcPr>
          <w:p w14:paraId="0D70EDC4">
            <w:pPr>
              <w:keepNext w:val="0"/>
              <w:keepLines w:val="0"/>
              <w:suppressLineNumbers w:val="0"/>
              <w:spacing w:before="0" w:beforeAutospacing="0" w:after="0" w:afterAutospacing="0" w:line="240" w:lineRule="atLeast"/>
              <w:ind w:left="0" w:right="0" w:firstLine="0"/>
              <w:jc w:val="center"/>
              <w:rPr>
                <w:rFonts w:hint="default"/>
                <w:color w:val="auto"/>
                <w:highlight w:val="none"/>
              </w:rPr>
            </w:pPr>
            <w:r>
              <w:rPr>
                <w:rFonts w:hint="default"/>
                <w:color w:val="auto"/>
                <w:sz w:val="21"/>
                <w:highlight w:val="none"/>
              </w:rPr>
              <w:t>距离（</w:t>
            </w:r>
            <w:r>
              <w:rPr>
                <w:rFonts w:hint="default" w:eastAsia="Times New Roman"/>
                <w:color w:val="auto"/>
                <w:sz w:val="21"/>
                <w:highlight w:val="none"/>
              </w:rPr>
              <w:t>5m</w:t>
            </w:r>
            <w:r>
              <w:rPr>
                <w:rFonts w:hint="default"/>
                <w:color w:val="auto"/>
                <w:sz w:val="21"/>
                <w:highlight w:val="none"/>
              </w:rPr>
              <w:t>）</w:t>
            </w:r>
          </w:p>
        </w:tc>
        <w:tc>
          <w:tcPr>
            <w:tcW w:w="784" w:type="pct"/>
            <w:vAlign w:val="center"/>
          </w:tcPr>
          <w:p w14:paraId="2FF22FD4">
            <w:pPr>
              <w:keepNext w:val="0"/>
              <w:keepLines w:val="0"/>
              <w:suppressLineNumbers w:val="0"/>
              <w:spacing w:before="0" w:beforeAutospacing="0" w:after="0" w:afterAutospacing="0" w:line="240" w:lineRule="atLeast"/>
              <w:ind w:left="0" w:right="0" w:firstLine="0"/>
              <w:jc w:val="center"/>
              <w:rPr>
                <w:rFonts w:hint="default" w:eastAsia="宋体"/>
                <w:color w:val="auto"/>
                <w:highlight w:val="none"/>
                <w:lang w:val="en-US" w:eastAsia="zh-CN"/>
              </w:rPr>
            </w:pPr>
            <w:r>
              <w:rPr>
                <w:rFonts w:hint="eastAsia" w:ascii="Times New Roman" w:eastAsia="宋体"/>
                <w:color w:val="auto"/>
                <w:sz w:val="21"/>
                <w:highlight w:val="none"/>
                <w:lang w:val="en-US" w:eastAsia="zh-CN"/>
              </w:rPr>
              <w:t>90</w:t>
            </w:r>
          </w:p>
        </w:tc>
        <w:tc>
          <w:tcPr>
            <w:tcW w:w="654" w:type="pct"/>
            <w:vAlign w:val="center"/>
          </w:tcPr>
          <w:p w14:paraId="2582EAB2">
            <w:pPr>
              <w:keepNext w:val="0"/>
              <w:keepLines w:val="0"/>
              <w:suppressLineNumbers w:val="0"/>
              <w:spacing w:before="0" w:beforeAutospacing="0" w:after="0" w:afterAutospacing="0" w:line="240" w:lineRule="atLeast"/>
              <w:ind w:left="0" w:right="0" w:firstLine="0"/>
              <w:jc w:val="center"/>
              <w:rPr>
                <w:rFonts w:hint="default"/>
                <w:color w:val="auto"/>
                <w:highlight w:val="none"/>
              </w:rPr>
            </w:pPr>
            <w:r>
              <w:rPr>
                <w:rFonts w:hint="default" w:eastAsia="Times New Roman"/>
                <w:color w:val="auto"/>
                <w:sz w:val="21"/>
                <w:highlight w:val="none"/>
              </w:rPr>
              <w:t>95</w:t>
            </w:r>
          </w:p>
        </w:tc>
        <w:tc>
          <w:tcPr>
            <w:tcW w:w="654" w:type="pct"/>
            <w:vAlign w:val="center"/>
          </w:tcPr>
          <w:p w14:paraId="46C0AB0F">
            <w:pPr>
              <w:keepNext w:val="0"/>
              <w:keepLines w:val="0"/>
              <w:suppressLineNumbers w:val="0"/>
              <w:spacing w:before="0" w:beforeAutospacing="0" w:after="0" w:afterAutospacing="0" w:line="240" w:lineRule="atLeast"/>
              <w:ind w:left="0" w:right="0" w:firstLine="0"/>
              <w:jc w:val="center"/>
              <w:rPr>
                <w:rFonts w:hint="default" w:eastAsia="宋体"/>
                <w:color w:val="auto"/>
                <w:highlight w:val="none"/>
                <w:lang w:val="en-US" w:eastAsia="zh-CN"/>
              </w:rPr>
            </w:pPr>
            <w:r>
              <w:rPr>
                <w:rFonts w:hint="eastAsia" w:ascii="Times New Roman" w:eastAsia="宋体"/>
                <w:color w:val="auto"/>
                <w:sz w:val="21"/>
                <w:highlight w:val="none"/>
                <w:lang w:val="en-US" w:eastAsia="zh-CN"/>
              </w:rPr>
              <w:t>95</w:t>
            </w:r>
          </w:p>
        </w:tc>
        <w:tc>
          <w:tcPr>
            <w:tcW w:w="1174" w:type="pct"/>
            <w:vAlign w:val="center"/>
          </w:tcPr>
          <w:p w14:paraId="1C485EAD">
            <w:pPr>
              <w:keepNext w:val="0"/>
              <w:keepLines w:val="0"/>
              <w:suppressLineNumbers w:val="0"/>
              <w:spacing w:before="0" w:beforeAutospacing="0" w:after="0" w:afterAutospacing="0" w:line="240" w:lineRule="atLeast"/>
              <w:ind w:left="0" w:right="0" w:firstLine="0"/>
              <w:jc w:val="center"/>
              <w:rPr>
                <w:rFonts w:hint="default" w:eastAsia="宋体"/>
                <w:color w:val="auto"/>
                <w:highlight w:val="none"/>
                <w:lang w:val="en-US" w:eastAsia="zh-CN"/>
              </w:rPr>
            </w:pPr>
            <w:r>
              <w:rPr>
                <w:rFonts w:hint="eastAsia" w:ascii="Times New Roman" w:eastAsia="宋体"/>
                <w:color w:val="auto"/>
                <w:sz w:val="21"/>
                <w:highlight w:val="none"/>
                <w:lang w:val="en-US" w:eastAsia="zh-CN"/>
              </w:rPr>
              <w:t>88</w:t>
            </w:r>
          </w:p>
        </w:tc>
        <w:tc>
          <w:tcPr>
            <w:tcW w:w="914" w:type="pct"/>
            <w:vAlign w:val="center"/>
          </w:tcPr>
          <w:p w14:paraId="77E386B6">
            <w:pPr>
              <w:keepNext w:val="0"/>
              <w:keepLines w:val="0"/>
              <w:suppressLineNumbers w:val="0"/>
              <w:spacing w:before="0" w:beforeAutospacing="0" w:after="0" w:afterAutospacing="0" w:line="240" w:lineRule="atLeast"/>
              <w:ind w:left="0" w:right="0" w:firstLine="0"/>
              <w:jc w:val="center"/>
              <w:rPr>
                <w:rFonts w:hint="eastAsia" w:eastAsia="宋体"/>
                <w:color w:val="auto"/>
                <w:highlight w:val="none"/>
                <w:lang w:val="en-US" w:eastAsia="zh-CN"/>
              </w:rPr>
            </w:pPr>
            <w:r>
              <w:rPr>
                <w:rFonts w:hint="default" w:eastAsia="Times New Roman"/>
                <w:color w:val="auto"/>
                <w:sz w:val="21"/>
                <w:highlight w:val="none"/>
              </w:rPr>
              <w:t>9</w:t>
            </w:r>
            <w:r>
              <w:rPr>
                <w:rFonts w:hint="eastAsia" w:ascii="Times New Roman" w:eastAsia="宋体"/>
                <w:color w:val="auto"/>
                <w:sz w:val="21"/>
                <w:highlight w:val="none"/>
                <w:lang w:val="en-US" w:eastAsia="zh-CN"/>
              </w:rPr>
              <w:t>0</w:t>
            </w:r>
          </w:p>
        </w:tc>
      </w:tr>
    </w:tbl>
    <w:p w14:paraId="0D9DBF28">
      <w:pPr>
        <w:pageBreakBefore w:val="0"/>
        <w:widowControl/>
        <w:kinsoku/>
        <w:wordWrap/>
        <w:overflowPunct/>
        <w:autoSpaceDE w:val="0"/>
        <w:autoSpaceDN w:val="0"/>
        <w:bidi w:val="0"/>
        <w:ind w:firstLine="480" w:firstLineChars="200"/>
        <w:jc w:val="left"/>
        <w:rPr>
          <w:rFonts w:hint="eastAsia" w:ascii="Times New Roman" w:hAnsi="Times New Roman" w:eastAsia="宋体" w:cs="Times New Roman"/>
          <w:color w:val="auto"/>
          <w:szCs w:val="24"/>
          <w:highlight w:val="none"/>
          <w:lang w:eastAsia="zh-CN"/>
        </w:rPr>
      </w:pPr>
      <w:r>
        <w:rPr>
          <w:rFonts w:hint="eastAsia" w:ascii="Times New Roman" w:hAnsi="Times New Roman" w:eastAsia="宋体" w:cs="Times New Roman"/>
          <w:color w:val="auto"/>
          <w:szCs w:val="24"/>
          <w:highlight w:val="none"/>
          <w:lang w:val="en-US" w:eastAsia="zh-CN"/>
        </w:rPr>
        <w:t>上表显示</w:t>
      </w:r>
      <w:r>
        <w:rPr>
          <w:rFonts w:ascii="Times New Roman" w:hAnsi="Times New Roman" w:eastAsia="宋体" w:cs="Times New Roman"/>
          <w:color w:val="auto"/>
          <w:szCs w:val="24"/>
          <w:highlight w:val="none"/>
        </w:rPr>
        <w:t>，各类机械施工的噪声级相对较大，加之人为噪声及其它施工噪声，将对周围声环境产生一定的影响</w:t>
      </w:r>
      <w:r>
        <w:rPr>
          <w:rFonts w:hint="eastAsia" w:ascii="Times New Roman" w:hAnsi="Times New Roman" w:eastAsia="宋体" w:cs="Times New Roman"/>
          <w:color w:val="auto"/>
          <w:szCs w:val="24"/>
          <w:highlight w:val="none"/>
          <w:lang w:eastAsia="zh-CN"/>
        </w:rPr>
        <w:t>。</w:t>
      </w:r>
    </w:p>
    <w:p w14:paraId="59420163">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施工期废气</w:t>
      </w:r>
    </w:p>
    <w:p w14:paraId="5F7D04BF">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eastAsia="zh-CN"/>
        </w:rPr>
      </w:pPr>
      <w:r>
        <w:rPr>
          <w:rFonts w:hint="eastAsia" w:cs="Times New Roman"/>
          <w:color w:val="auto"/>
          <w:szCs w:val="21"/>
          <w:highlight w:val="none"/>
          <w:lang w:eastAsia="zh-CN"/>
        </w:rPr>
        <w:t>本项目施工期原辅材料主要为商品料（含水泥、碎石、砂、生石灰、水等）。机场场内项目产生的主要环境空气污染来自施工作业产生的施工扬尘及施工车辆尾气。</w:t>
      </w:r>
    </w:p>
    <w:p w14:paraId="6D9A1D51">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eastAsia="zh-CN"/>
        </w:rPr>
      </w:pPr>
      <w:r>
        <w:rPr>
          <w:rFonts w:hint="eastAsia" w:cs="Times New Roman"/>
          <w:color w:val="auto"/>
          <w:szCs w:val="21"/>
          <w:highlight w:val="none"/>
          <w:lang w:eastAsia="zh-CN"/>
        </w:rPr>
        <w:t>（1）施工扬尘</w:t>
      </w:r>
    </w:p>
    <w:p w14:paraId="5601C7BB">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eastAsia="zh-CN"/>
        </w:rPr>
      </w:pPr>
      <w:r>
        <w:rPr>
          <w:rFonts w:hint="eastAsia" w:cs="Times New Roman"/>
          <w:color w:val="auto"/>
          <w:szCs w:val="21"/>
          <w:highlight w:val="none"/>
          <w:lang w:eastAsia="zh-CN"/>
        </w:rPr>
        <w:t>施工期平整土地、挖填方、铺浇路面，材料运输、装卸和混凝土搅拌等环节都有扬尘发生，污染因子主要为TSP。</w:t>
      </w:r>
    </w:p>
    <w:p w14:paraId="4DD87604">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eastAsia="zh-CN"/>
        </w:rPr>
      </w:pPr>
      <w:r>
        <w:rPr>
          <w:rFonts w:hint="eastAsia" w:cs="Times New Roman"/>
          <w:color w:val="auto"/>
          <w:szCs w:val="21"/>
          <w:highlight w:val="none"/>
          <w:lang w:eastAsia="zh-CN"/>
        </w:rPr>
        <w:t>扬尘主要来自以下几个方面：大量的挖填土方和砂石料开采作业过程中，土壤翻动，产生扬尘；大面积开挖区，地表植被破坏，土壤松散，产生扬尘；施工便道路面差，车辆碾压，破坏植被和土壤，产生扬尘；土方、砂石料、水泥等筑路材料以及废弃物运输过程密闭不好，粉尘泄漏；散落在施工现场、施工便道及周围的尘土，在车辆通过时或刮风时，形成地面降尘的二次污染；材料现场加工过程中粉尘泄漏，如混凝土搅拌过程中，水泥、砂石中细土等泄漏。</w:t>
      </w:r>
    </w:p>
    <w:p w14:paraId="1B05BE80">
      <w:pPr>
        <w:pageBreakBefore w:val="0"/>
        <w:widowControl/>
        <w:kinsoku/>
        <w:wordWrap/>
        <w:overflowPunct/>
        <w:autoSpaceDE w:val="0"/>
        <w:autoSpaceDN w:val="0"/>
        <w:bidi w:val="0"/>
        <w:ind w:firstLine="480" w:firstLineChars="200"/>
        <w:jc w:val="left"/>
        <w:rPr>
          <w:rFonts w:hint="eastAsia" w:cs="Times New Roman"/>
          <w:color w:val="auto"/>
          <w:szCs w:val="21"/>
          <w:highlight w:val="none"/>
          <w:lang w:eastAsia="zh-CN"/>
        </w:rPr>
      </w:pPr>
      <w:r>
        <w:rPr>
          <w:rFonts w:hint="eastAsia" w:cs="Times New Roman"/>
          <w:color w:val="auto"/>
          <w:szCs w:val="21"/>
          <w:highlight w:val="none"/>
          <w:lang w:eastAsia="zh-CN"/>
        </w:rPr>
        <w:t>（2）汽车尾气</w:t>
      </w:r>
    </w:p>
    <w:p w14:paraId="3677EA70">
      <w:pPr>
        <w:pageBreakBefore w:val="0"/>
        <w:widowControl/>
        <w:kinsoku/>
        <w:wordWrap/>
        <w:overflowPunct/>
        <w:autoSpaceDE w:val="0"/>
        <w:autoSpaceDN w:val="0"/>
        <w:bidi w:val="0"/>
        <w:ind w:firstLine="480" w:firstLineChars="200"/>
        <w:jc w:val="left"/>
        <w:rPr>
          <w:rFonts w:hint="eastAsia" w:ascii="Times New Roman" w:hAnsi="Times New Roman" w:eastAsia="宋体" w:cs="Times New Roman"/>
          <w:color w:val="auto"/>
          <w:szCs w:val="24"/>
          <w:highlight w:val="none"/>
          <w:lang w:eastAsia="zh-CN"/>
        </w:rPr>
      </w:pPr>
      <w:r>
        <w:rPr>
          <w:rFonts w:hint="eastAsia" w:cs="Times New Roman"/>
          <w:color w:val="auto"/>
          <w:szCs w:val="21"/>
          <w:highlight w:val="none"/>
          <w:lang w:eastAsia="zh-CN"/>
        </w:rPr>
        <w:t>运输车辆排放的尾气也是施工中的污染物之一，主要污染因子为CO、NOx和</w:t>
      </w:r>
      <w:r>
        <w:rPr>
          <w:rFonts w:hint="eastAsia" w:cs="Times New Roman"/>
          <w:color w:val="auto"/>
          <w:szCs w:val="21"/>
          <w:highlight w:val="none"/>
          <w:lang w:val="en-US" w:eastAsia="zh-CN"/>
        </w:rPr>
        <w:t>NMHC</w:t>
      </w:r>
      <w:r>
        <w:rPr>
          <w:rFonts w:hint="eastAsia" w:cs="Times New Roman"/>
          <w:color w:val="auto"/>
          <w:szCs w:val="21"/>
          <w:highlight w:val="none"/>
          <w:lang w:eastAsia="zh-CN"/>
        </w:rPr>
        <w:t>。</w:t>
      </w:r>
    </w:p>
    <w:p w14:paraId="44974C92">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施工期废水</w:t>
      </w:r>
    </w:p>
    <w:p w14:paraId="1EC67B2C">
      <w:pPr>
        <w:pageBreakBefore w:val="0"/>
        <w:kinsoku/>
        <w:wordWrap/>
        <w:overflowPunct/>
        <w:bidi w:val="0"/>
        <w:spacing w:line="360" w:lineRule="auto"/>
        <w:ind w:firstLine="480" w:firstLineChars="200"/>
        <w:rPr>
          <w:rFonts w:ascii="Times New Roman" w:hAnsi="Times New Roman" w:eastAsia="宋体" w:cs="Times New Roman"/>
          <w:color w:val="auto"/>
          <w:kern w:val="2"/>
          <w:sz w:val="24"/>
          <w:szCs w:val="21"/>
          <w:highlight w:val="none"/>
          <w:lang w:val="en-US" w:eastAsia="zh-CN" w:bidi="ar-SA"/>
        </w:rPr>
      </w:pPr>
      <w:r>
        <w:rPr>
          <w:rFonts w:ascii="Times New Roman" w:hAnsi="Times New Roman" w:eastAsia="宋体" w:cs="Times New Roman"/>
          <w:color w:val="auto"/>
          <w:kern w:val="2"/>
          <w:sz w:val="24"/>
          <w:szCs w:val="21"/>
          <w:highlight w:val="none"/>
          <w:lang w:val="en-US" w:eastAsia="zh-CN" w:bidi="ar-SA"/>
        </w:rPr>
        <w:t>施工期间，废水主要包括施工废水和生活污水。</w:t>
      </w:r>
    </w:p>
    <w:p w14:paraId="0EC1B981">
      <w:pPr>
        <w:pageBreakBefore w:val="0"/>
        <w:kinsoku/>
        <w:wordWrap/>
        <w:overflowPunct/>
        <w:bidi w:val="0"/>
        <w:spacing w:line="360" w:lineRule="auto"/>
        <w:ind w:firstLine="480" w:firstLineChars="200"/>
        <w:rPr>
          <w:rFonts w:ascii="Times New Roman" w:hAnsi="Times New Roman" w:eastAsia="宋体" w:cs="Times New Roman"/>
          <w:color w:val="auto"/>
          <w:kern w:val="2"/>
          <w:sz w:val="24"/>
          <w:szCs w:val="21"/>
          <w:highlight w:val="none"/>
          <w:lang w:val="en-US" w:eastAsia="zh-CN" w:bidi="ar-SA"/>
        </w:rPr>
      </w:pPr>
      <w:r>
        <w:rPr>
          <w:rFonts w:ascii="Times New Roman" w:hAnsi="Times New Roman" w:eastAsia="宋体" w:cs="Times New Roman"/>
          <w:color w:val="auto"/>
          <w:kern w:val="2"/>
          <w:sz w:val="24"/>
          <w:szCs w:val="21"/>
          <w:highlight w:val="none"/>
          <w:lang w:val="en-US" w:eastAsia="zh-CN" w:bidi="ar-SA"/>
        </w:rPr>
        <w:t>（1）施工废水</w:t>
      </w:r>
    </w:p>
    <w:p w14:paraId="09C245FD">
      <w:pPr>
        <w:pageBreakBefore w:val="0"/>
        <w:kinsoku/>
        <w:wordWrap/>
        <w:overflowPunct/>
        <w:bidi w:val="0"/>
        <w:spacing w:line="360" w:lineRule="auto"/>
        <w:ind w:firstLine="480" w:firstLineChars="200"/>
        <w:rPr>
          <w:rFonts w:ascii="Times New Roman" w:hAnsi="Times New Roman" w:eastAsia="宋体" w:cs="Times New Roman"/>
          <w:color w:val="auto"/>
          <w:kern w:val="2"/>
          <w:sz w:val="24"/>
          <w:szCs w:val="21"/>
          <w:highlight w:val="none"/>
          <w:lang w:val="en-US" w:eastAsia="zh-CN" w:bidi="ar-SA"/>
        </w:rPr>
      </w:pPr>
      <w:r>
        <w:rPr>
          <w:rFonts w:ascii="Times New Roman" w:hAnsi="Times New Roman" w:eastAsia="宋体" w:cs="Times New Roman"/>
          <w:color w:val="auto"/>
          <w:kern w:val="2"/>
          <w:sz w:val="24"/>
          <w:szCs w:val="21"/>
          <w:highlight w:val="none"/>
          <w:lang w:val="en-US" w:eastAsia="zh-CN" w:bidi="ar-SA"/>
        </w:rPr>
        <w:t>施工期的施工废水主要为砂石料冲洗水、车辆和设备冲洗废水、混凝土系统废水等，主要污染物为</w:t>
      </w:r>
      <w:r>
        <w:rPr>
          <w:rFonts w:ascii="Times New Roman" w:hAnsi="Times New Roman" w:eastAsia="Times New Roman" w:cs="Times New Roman"/>
          <w:color w:val="auto"/>
          <w:kern w:val="2"/>
          <w:sz w:val="24"/>
          <w:szCs w:val="21"/>
          <w:highlight w:val="none"/>
          <w:lang w:val="en-US" w:eastAsia="zh-CN" w:bidi="ar-SA"/>
        </w:rPr>
        <w:t>SS</w:t>
      </w:r>
      <w:r>
        <w:rPr>
          <w:rFonts w:ascii="Times New Roman" w:hAnsi="Times New Roman" w:eastAsia="宋体" w:cs="Times New Roman"/>
          <w:color w:val="auto"/>
          <w:kern w:val="2"/>
          <w:sz w:val="24"/>
          <w:szCs w:val="21"/>
          <w:highlight w:val="none"/>
          <w:lang w:val="en-US" w:eastAsia="zh-CN" w:bidi="ar-SA"/>
        </w:rPr>
        <w:t>、</w:t>
      </w:r>
      <w:r>
        <w:rPr>
          <w:rFonts w:ascii="Times New Roman" w:hAnsi="Times New Roman" w:eastAsia="Times New Roman" w:cs="Times New Roman"/>
          <w:color w:val="auto"/>
          <w:kern w:val="2"/>
          <w:sz w:val="24"/>
          <w:szCs w:val="21"/>
          <w:highlight w:val="none"/>
          <w:lang w:val="en-US" w:eastAsia="zh-CN" w:bidi="ar-SA"/>
        </w:rPr>
        <w:t>COD</w:t>
      </w:r>
      <w:r>
        <w:rPr>
          <w:rFonts w:ascii="Times New Roman" w:hAnsi="Times New Roman" w:eastAsia="宋体" w:cs="Times New Roman"/>
          <w:color w:val="auto"/>
          <w:kern w:val="2"/>
          <w:sz w:val="24"/>
          <w:szCs w:val="21"/>
          <w:highlight w:val="none"/>
          <w:lang w:val="en-US" w:eastAsia="zh-CN" w:bidi="ar-SA"/>
        </w:rPr>
        <w:t>和石油类等。在施工现场设置沉淀池、隔油池，施工废水经处理后循环使用或用于洒水降尘，不外排。</w:t>
      </w:r>
    </w:p>
    <w:p w14:paraId="5B8E3A09">
      <w:pPr>
        <w:pageBreakBefore w:val="0"/>
        <w:kinsoku/>
        <w:wordWrap/>
        <w:overflowPunct/>
        <w:bidi w:val="0"/>
        <w:spacing w:line="360" w:lineRule="auto"/>
        <w:ind w:firstLine="480" w:firstLineChars="200"/>
        <w:rPr>
          <w:rFonts w:ascii="Times New Roman" w:hAnsi="Times New Roman" w:eastAsia="宋体" w:cs="Times New Roman"/>
          <w:color w:val="auto"/>
          <w:kern w:val="2"/>
          <w:sz w:val="24"/>
          <w:szCs w:val="21"/>
          <w:highlight w:val="none"/>
          <w:lang w:val="en-US" w:eastAsia="zh-CN" w:bidi="ar-SA"/>
        </w:rPr>
      </w:pPr>
      <w:r>
        <w:rPr>
          <w:rFonts w:ascii="Times New Roman" w:hAnsi="Times New Roman" w:eastAsia="宋体" w:cs="Times New Roman"/>
          <w:color w:val="auto"/>
          <w:kern w:val="2"/>
          <w:sz w:val="24"/>
          <w:szCs w:val="21"/>
          <w:highlight w:val="none"/>
          <w:lang w:val="en-US" w:eastAsia="zh-CN" w:bidi="ar-SA"/>
        </w:rPr>
        <w:t>（2）施工人员生活污水</w:t>
      </w:r>
    </w:p>
    <w:p w14:paraId="2FAAEE1F">
      <w:pPr>
        <w:pageBreakBefore w:val="0"/>
        <w:kinsoku/>
        <w:wordWrap/>
        <w:overflowPunct/>
        <w:bidi w:val="0"/>
        <w:spacing w:line="360" w:lineRule="auto"/>
        <w:ind w:firstLine="480" w:firstLineChars="200"/>
        <w:rPr>
          <w:rFonts w:ascii="Times New Roman" w:hAnsi="Times New Roman" w:eastAsia="宋体" w:cs="Times New Roman"/>
          <w:color w:val="auto"/>
          <w:kern w:val="2"/>
          <w:sz w:val="24"/>
          <w:szCs w:val="21"/>
          <w:highlight w:val="none"/>
          <w:lang w:val="en-US" w:eastAsia="zh-CN" w:bidi="ar-SA"/>
        </w:rPr>
      </w:pPr>
      <w:r>
        <w:rPr>
          <w:rFonts w:ascii="Times New Roman" w:hAnsi="Times New Roman" w:eastAsia="宋体" w:cs="Times New Roman"/>
          <w:color w:val="auto"/>
          <w:kern w:val="2"/>
          <w:sz w:val="24"/>
          <w:szCs w:val="21"/>
          <w:highlight w:val="none"/>
          <w:lang w:val="en-US" w:eastAsia="zh-CN" w:bidi="ar-SA"/>
        </w:rPr>
        <w:t>施工期水污染源主要为生活污水。施工场地修建环保厕所，生活污水经沉淀处理后，上层清液可用于周边农林地、园地灌溉，粪便和沉淀物定期清掏，由环卫部门统一处理。</w:t>
      </w:r>
    </w:p>
    <w:p w14:paraId="0F911F92">
      <w:pPr>
        <w:pageBreakBefore w:val="0"/>
        <w:kinsoku/>
        <w:wordWrap/>
        <w:overflowPunct/>
        <w:bidi w:val="0"/>
        <w:spacing w:line="360" w:lineRule="auto"/>
        <w:ind w:firstLine="480" w:firstLineChars="200"/>
        <w:rPr>
          <w:rFonts w:ascii="Times New Roman" w:hAnsi="Times New Roman" w:eastAsia="宋体" w:cs="Times New Roman"/>
          <w:color w:val="auto"/>
          <w:kern w:val="2"/>
          <w:sz w:val="24"/>
          <w:szCs w:val="21"/>
          <w:highlight w:val="none"/>
          <w:lang w:val="en-US" w:eastAsia="zh-CN" w:bidi="ar-SA"/>
        </w:rPr>
      </w:pPr>
      <w:r>
        <w:rPr>
          <w:rFonts w:hint="eastAsia" w:ascii="Times New Roman" w:hAnsi="Times New Roman" w:eastAsia="宋体" w:cs="Times New Roman"/>
          <w:color w:val="auto"/>
          <w:kern w:val="2"/>
          <w:sz w:val="24"/>
          <w:szCs w:val="21"/>
          <w:highlight w:val="none"/>
          <w:lang w:val="en-US" w:eastAsia="zh-CN" w:bidi="ar-SA"/>
        </w:rPr>
        <w:t>预计施工人员数高峰时在1000人左右，按人均日用水定额100L计。施工区污水排放量按下式计算</w:t>
      </w:r>
      <w:r>
        <w:rPr>
          <w:rFonts w:ascii="Times New Roman" w:hAnsi="Times New Roman" w:eastAsia="宋体" w:cs="Times New Roman"/>
          <w:color w:val="auto"/>
          <w:kern w:val="2"/>
          <w:sz w:val="24"/>
          <w:szCs w:val="21"/>
          <w:highlight w:val="none"/>
          <w:lang w:val="en-US" w:eastAsia="zh-CN" w:bidi="ar-SA"/>
        </w:rPr>
        <w:t>：</w:t>
      </w:r>
    </w:p>
    <w:p w14:paraId="39B0F68F">
      <w:pPr>
        <w:pageBreakBefore w:val="0"/>
        <w:widowControl/>
        <w:kinsoku/>
        <w:wordWrap/>
        <w:overflowPunct/>
        <w:bidi w:val="0"/>
        <w:spacing w:after="17"/>
        <w:ind w:left="0" w:leftChars="0" w:right="0" w:rightChars="0" w:firstLine="0" w:firstLineChars="0"/>
        <w:jc w:val="center"/>
        <w:rPr>
          <w:rFonts w:ascii="Times New Roman" w:hAnsi="Times New Roman" w:eastAsia="Times New Roman" w:cs="Times New Roman"/>
          <w:color w:val="auto"/>
          <w:szCs w:val="21"/>
          <w:highlight w:val="none"/>
        </w:rPr>
      </w:pPr>
      <w:r>
        <w:rPr>
          <w:rFonts w:ascii="Times New Roman" w:hAnsi="Times New Roman" w:eastAsia="Cambria Math" w:cs="Times New Roman"/>
          <w:color w:val="auto"/>
          <w:szCs w:val="21"/>
          <w:highlight w:val="none"/>
        </w:rPr>
        <w:t>Q</w:t>
      </w:r>
      <w:r>
        <w:rPr>
          <w:rFonts w:ascii="Times New Roman" w:hAnsi="Times New Roman" w:eastAsia="Cambria Math" w:cs="Times New Roman"/>
          <w:color w:val="auto"/>
          <w:szCs w:val="21"/>
          <w:highlight w:val="none"/>
          <w:vertAlign w:val="subscript"/>
        </w:rPr>
        <w:t>S</w:t>
      </w:r>
      <w:r>
        <w:rPr>
          <w:rFonts w:ascii="Times New Roman" w:hAnsi="Times New Roman" w:eastAsia="Cambria Math" w:cs="Times New Roman"/>
          <w:color w:val="auto"/>
          <w:szCs w:val="21"/>
          <w:highlight w:val="none"/>
        </w:rPr>
        <w:t>=Kq</w:t>
      </w:r>
      <w:r>
        <w:rPr>
          <w:rFonts w:ascii="Times New Roman" w:hAnsi="Times New Roman" w:eastAsia="Cambria Math" w:cs="Times New Roman"/>
          <w:color w:val="auto"/>
          <w:szCs w:val="21"/>
          <w:highlight w:val="none"/>
          <w:vertAlign w:val="subscript"/>
        </w:rPr>
        <w:t>1</w:t>
      </w:r>
      <w:r>
        <w:rPr>
          <w:rFonts w:ascii="Times New Roman" w:hAnsi="Times New Roman" w:eastAsia="Cambria Math" w:cs="Times New Roman"/>
          <w:color w:val="auto"/>
          <w:szCs w:val="21"/>
          <w:highlight w:val="none"/>
        </w:rPr>
        <w:t>V</w:t>
      </w:r>
      <w:r>
        <w:rPr>
          <w:rFonts w:ascii="Times New Roman" w:hAnsi="Times New Roman" w:eastAsia="Cambria Math" w:cs="Times New Roman"/>
          <w:color w:val="auto"/>
          <w:szCs w:val="21"/>
          <w:highlight w:val="none"/>
          <w:vertAlign w:val="subscript"/>
        </w:rPr>
        <w:t>1</w:t>
      </w:r>
      <w:r>
        <w:rPr>
          <w:rFonts w:ascii="Times New Roman" w:hAnsi="Times New Roman" w:eastAsia="Cambria Math" w:cs="Times New Roman"/>
          <w:color w:val="auto"/>
          <w:szCs w:val="21"/>
          <w:highlight w:val="none"/>
        </w:rPr>
        <w:t>⁄1000</w:t>
      </w:r>
    </w:p>
    <w:p w14:paraId="21AE09FD">
      <w:pPr>
        <w:pageBreakBefore w:val="0"/>
        <w:kinsoku/>
        <w:wordWrap/>
        <w:overflowPunct/>
        <w:bidi w:val="0"/>
        <w:spacing w:line="360" w:lineRule="auto"/>
        <w:ind w:firstLine="480" w:firstLineChars="200"/>
        <w:rPr>
          <w:rFonts w:ascii="Times New Roman" w:hAnsi="Times New Roman" w:eastAsia="宋体" w:cs="Times New Roman"/>
          <w:color w:val="auto"/>
          <w:kern w:val="2"/>
          <w:sz w:val="24"/>
          <w:szCs w:val="21"/>
          <w:highlight w:val="none"/>
          <w:lang w:val="en-US" w:eastAsia="zh-CN" w:bidi="ar-SA"/>
        </w:rPr>
      </w:pPr>
      <w:r>
        <w:rPr>
          <w:rFonts w:ascii="Times New Roman" w:hAnsi="Times New Roman" w:eastAsia="宋体" w:cs="Times New Roman"/>
          <w:color w:val="auto"/>
          <w:kern w:val="2"/>
          <w:sz w:val="24"/>
          <w:szCs w:val="21"/>
          <w:highlight w:val="none"/>
          <w:lang w:val="en-US" w:eastAsia="zh-CN" w:bidi="ar-SA"/>
        </w:rPr>
        <w:t>式中：</w:t>
      </w:r>
    </w:p>
    <w:p w14:paraId="4ACB6F62">
      <w:pPr>
        <w:pageBreakBefore w:val="0"/>
        <w:kinsoku/>
        <w:wordWrap/>
        <w:overflowPunct/>
        <w:bidi w:val="0"/>
        <w:spacing w:line="360" w:lineRule="auto"/>
        <w:ind w:firstLine="480" w:firstLineChars="200"/>
        <w:rPr>
          <w:rFonts w:ascii="Times New Roman" w:hAnsi="Times New Roman" w:eastAsia="Times New Roman" w:cs="Times New Roman"/>
          <w:color w:val="auto"/>
          <w:kern w:val="2"/>
          <w:sz w:val="24"/>
          <w:szCs w:val="21"/>
          <w:highlight w:val="none"/>
          <w:lang w:val="en-US" w:eastAsia="zh-CN" w:bidi="ar-SA"/>
        </w:rPr>
      </w:pPr>
      <w:r>
        <w:rPr>
          <w:rFonts w:ascii="Times New Roman" w:hAnsi="Times New Roman" w:eastAsia="Cambria Math" w:cs="Times New Roman"/>
          <w:color w:val="auto"/>
          <w:kern w:val="2"/>
          <w:sz w:val="24"/>
          <w:szCs w:val="21"/>
          <w:highlight w:val="none"/>
          <w:lang w:val="en-US" w:eastAsia="zh-CN" w:bidi="ar-SA"/>
        </w:rPr>
        <w:t>Q</w:t>
      </w:r>
      <w:r>
        <w:rPr>
          <w:rFonts w:ascii="Times New Roman" w:hAnsi="Times New Roman" w:eastAsia="Cambria Math" w:cs="Times New Roman"/>
          <w:color w:val="auto"/>
          <w:kern w:val="2"/>
          <w:sz w:val="24"/>
          <w:szCs w:val="21"/>
          <w:highlight w:val="none"/>
          <w:vertAlign w:val="subscript"/>
          <w:lang w:val="en-US" w:eastAsia="zh-CN" w:bidi="ar-SA"/>
        </w:rPr>
        <w:t>S</w:t>
      </w:r>
      <w:r>
        <w:rPr>
          <w:rFonts w:ascii="Times New Roman" w:hAnsi="Times New Roman" w:eastAsia="Times New Roman" w:cs="Times New Roman"/>
          <w:color w:val="auto"/>
          <w:kern w:val="2"/>
          <w:sz w:val="24"/>
          <w:szCs w:val="21"/>
          <w:highlight w:val="none"/>
          <w:lang w:val="en-US" w:eastAsia="zh-CN" w:bidi="ar-SA"/>
        </w:rPr>
        <w:t>——</w:t>
      </w:r>
      <w:r>
        <w:rPr>
          <w:rFonts w:ascii="Times New Roman" w:hAnsi="Times New Roman" w:eastAsia="宋体" w:cs="Times New Roman"/>
          <w:color w:val="auto"/>
          <w:kern w:val="2"/>
          <w:sz w:val="24"/>
          <w:szCs w:val="21"/>
          <w:highlight w:val="none"/>
          <w:lang w:val="en-US" w:eastAsia="zh-CN" w:bidi="ar-SA"/>
        </w:rPr>
        <w:t>生活区污水排放量，</w:t>
      </w:r>
      <w:r>
        <w:rPr>
          <w:rFonts w:ascii="Times New Roman" w:hAnsi="Times New Roman" w:eastAsia="Times New Roman" w:cs="Times New Roman"/>
          <w:color w:val="auto"/>
          <w:kern w:val="2"/>
          <w:sz w:val="24"/>
          <w:szCs w:val="21"/>
          <w:highlight w:val="none"/>
          <w:lang w:val="en-US" w:eastAsia="zh-CN" w:bidi="ar-SA"/>
        </w:rPr>
        <w:t>t/d</w:t>
      </w:r>
      <w:r>
        <w:rPr>
          <w:rFonts w:ascii="Times New Roman" w:hAnsi="Times New Roman" w:eastAsia="宋体" w:cs="Times New Roman"/>
          <w:color w:val="auto"/>
          <w:kern w:val="2"/>
          <w:sz w:val="24"/>
          <w:szCs w:val="21"/>
          <w:highlight w:val="none"/>
          <w:lang w:val="en-US" w:eastAsia="zh-CN" w:bidi="ar-SA"/>
        </w:rPr>
        <w:t>；</w:t>
      </w:r>
    </w:p>
    <w:p w14:paraId="72877B9B">
      <w:pPr>
        <w:pageBreakBefore w:val="0"/>
        <w:kinsoku/>
        <w:wordWrap/>
        <w:overflowPunct/>
        <w:bidi w:val="0"/>
        <w:spacing w:line="360" w:lineRule="auto"/>
        <w:ind w:firstLine="480" w:firstLineChars="200"/>
        <w:rPr>
          <w:rFonts w:ascii="Times New Roman" w:hAnsi="Times New Roman" w:eastAsia="宋体" w:cs="Times New Roman"/>
          <w:color w:val="auto"/>
          <w:kern w:val="2"/>
          <w:sz w:val="24"/>
          <w:szCs w:val="21"/>
          <w:highlight w:val="none"/>
          <w:lang w:val="en-US" w:eastAsia="zh-CN" w:bidi="ar-SA"/>
        </w:rPr>
      </w:pPr>
      <w:r>
        <w:rPr>
          <w:rFonts w:ascii="Times New Roman" w:hAnsi="Times New Roman" w:eastAsia="Cambria Math" w:cs="Times New Roman"/>
          <w:color w:val="auto"/>
          <w:kern w:val="2"/>
          <w:sz w:val="24"/>
          <w:szCs w:val="21"/>
          <w:highlight w:val="none"/>
          <w:lang w:val="en-US" w:eastAsia="zh-CN" w:bidi="ar-SA"/>
        </w:rPr>
        <w:t>q</w:t>
      </w:r>
      <w:r>
        <w:rPr>
          <w:rFonts w:ascii="Times New Roman" w:hAnsi="Times New Roman" w:eastAsia="Cambria Math" w:cs="Times New Roman"/>
          <w:color w:val="auto"/>
          <w:kern w:val="2"/>
          <w:sz w:val="24"/>
          <w:szCs w:val="21"/>
          <w:highlight w:val="none"/>
          <w:vertAlign w:val="subscript"/>
          <w:lang w:val="en-US" w:eastAsia="zh-CN" w:bidi="ar-SA"/>
        </w:rPr>
        <w:t>1</w:t>
      </w:r>
      <w:r>
        <w:rPr>
          <w:rFonts w:ascii="Times New Roman" w:hAnsi="Times New Roman" w:eastAsia="Times New Roman" w:cs="Times New Roman"/>
          <w:color w:val="auto"/>
          <w:kern w:val="2"/>
          <w:sz w:val="24"/>
          <w:szCs w:val="21"/>
          <w:highlight w:val="none"/>
          <w:lang w:val="en-US" w:eastAsia="zh-CN" w:bidi="ar-SA"/>
        </w:rPr>
        <w:t>——</w:t>
      </w:r>
      <w:r>
        <w:rPr>
          <w:rFonts w:ascii="Times New Roman" w:hAnsi="Times New Roman" w:eastAsia="宋体" w:cs="Times New Roman"/>
          <w:color w:val="auto"/>
          <w:kern w:val="2"/>
          <w:sz w:val="24"/>
          <w:szCs w:val="21"/>
          <w:highlight w:val="none"/>
          <w:lang w:val="en-US" w:eastAsia="zh-CN" w:bidi="ar-SA"/>
        </w:rPr>
        <w:t>每人每天生活污水量总额，</w:t>
      </w:r>
      <w:r>
        <w:rPr>
          <w:rFonts w:ascii="Times New Roman" w:hAnsi="Times New Roman" w:eastAsia="Times New Roman" w:cs="Times New Roman"/>
          <w:color w:val="auto"/>
          <w:kern w:val="2"/>
          <w:sz w:val="24"/>
          <w:szCs w:val="21"/>
          <w:highlight w:val="none"/>
          <w:lang w:val="en-US" w:eastAsia="zh-CN" w:bidi="ar-SA"/>
        </w:rPr>
        <w:t>L/</w:t>
      </w:r>
      <w:r>
        <w:rPr>
          <w:rFonts w:hint="eastAsia" w:eastAsia="Times New Roman" w:cs="Times New Roman"/>
          <w:color w:val="auto"/>
          <w:kern w:val="2"/>
          <w:sz w:val="24"/>
          <w:szCs w:val="21"/>
          <w:highlight w:val="none"/>
          <w:lang w:val="en-US" w:eastAsia="zh-CN" w:bidi="ar-SA"/>
        </w:rPr>
        <w:t>（</w:t>
      </w:r>
      <w:r>
        <w:rPr>
          <w:rFonts w:ascii="Times New Roman" w:hAnsi="Times New Roman" w:eastAsia="宋体" w:cs="Times New Roman"/>
          <w:color w:val="auto"/>
          <w:kern w:val="2"/>
          <w:sz w:val="24"/>
          <w:szCs w:val="21"/>
          <w:highlight w:val="none"/>
          <w:lang w:val="en-US" w:eastAsia="zh-CN" w:bidi="ar-SA"/>
        </w:rPr>
        <w:t>人</w:t>
      </w:r>
      <w:r>
        <w:rPr>
          <w:rFonts w:ascii="Times New Roman" w:hAnsi="Times New Roman" w:eastAsia="Times New Roman" w:cs="Times New Roman"/>
          <w:color w:val="auto"/>
          <w:kern w:val="2"/>
          <w:sz w:val="24"/>
          <w:szCs w:val="21"/>
          <w:highlight w:val="none"/>
          <w:lang w:val="en-US" w:eastAsia="zh-CN" w:bidi="ar-SA"/>
        </w:rPr>
        <w:t>·d</w:t>
      </w:r>
      <w:r>
        <w:rPr>
          <w:rFonts w:hint="eastAsia" w:eastAsia="Times New Roman" w:cs="Times New Roman"/>
          <w:color w:val="auto"/>
          <w:kern w:val="2"/>
          <w:sz w:val="24"/>
          <w:szCs w:val="21"/>
          <w:highlight w:val="none"/>
          <w:lang w:val="en-US" w:eastAsia="zh-CN" w:bidi="ar-SA"/>
        </w:rPr>
        <w:t>）</w:t>
      </w:r>
      <w:r>
        <w:rPr>
          <w:rFonts w:ascii="Times New Roman" w:hAnsi="Times New Roman" w:eastAsia="宋体" w:cs="Times New Roman"/>
          <w:color w:val="auto"/>
          <w:kern w:val="2"/>
          <w:sz w:val="24"/>
          <w:szCs w:val="21"/>
          <w:highlight w:val="none"/>
          <w:lang w:val="en-US" w:eastAsia="zh-CN" w:bidi="ar-SA"/>
        </w:rPr>
        <w:t>；</w:t>
      </w:r>
    </w:p>
    <w:p w14:paraId="0CD97E5C">
      <w:pPr>
        <w:pageBreakBefore w:val="0"/>
        <w:kinsoku/>
        <w:wordWrap/>
        <w:overflowPunct/>
        <w:bidi w:val="0"/>
        <w:spacing w:line="360" w:lineRule="auto"/>
        <w:ind w:firstLine="480" w:firstLineChars="200"/>
        <w:rPr>
          <w:rFonts w:ascii="Times New Roman" w:hAnsi="Times New Roman" w:eastAsia="宋体" w:cs="Times New Roman"/>
          <w:color w:val="auto"/>
          <w:kern w:val="2"/>
          <w:sz w:val="24"/>
          <w:szCs w:val="21"/>
          <w:highlight w:val="none"/>
          <w:lang w:val="en-US" w:eastAsia="zh-CN" w:bidi="ar-SA"/>
        </w:rPr>
      </w:pPr>
      <w:r>
        <w:rPr>
          <w:rFonts w:ascii="Times New Roman" w:hAnsi="Times New Roman" w:eastAsia="Cambria Math" w:cs="Times New Roman"/>
          <w:color w:val="auto"/>
          <w:kern w:val="2"/>
          <w:sz w:val="24"/>
          <w:szCs w:val="21"/>
          <w:highlight w:val="none"/>
          <w:lang w:val="en-US" w:eastAsia="zh-CN" w:bidi="ar-SA"/>
        </w:rPr>
        <w:t>V</w:t>
      </w:r>
      <w:r>
        <w:rPr>
          <w:rFonts w:ascii="Times New Roman" w:hAnsi="Times New Roman" w:eastAsia="Cambria Math" w:cs="Times New Roman"/>
          <w:color w:val="auto"/>
          <w:kern w:val="2"/>
          <w:sz w:val="24"/>
          <w:szCs w:val="21"/>
          <w:highlight w:val="none"/>
          <w:vertAlign w:val="subscript"/>
          <w:lang w:val="en-US" w:eastAsia="zh-CN" w:bidi="ar-SA"/>
        </w:rPr>
        <w:t>1</w:t>
      </w:r>
      <w:r>
        <w:rPr>
          <w:rFonts w:ascii="Times New Roman" w:hAnsi="Times New Roman" w:eastAsia="Times New Roman" w:cs="Times New Roman"/>
          <w:color w:val="auto"/>
          <w:kern w:val="2"/>
          <w:sz w:val="24"/>
          <w:szCs w:val="21"/>
          <w:highlight w:val="none"/>
          <w:lang w:val="en-US" w:eastAsia="zh-CN" w:bidi="ar-SA"/>
        </w:rPr>
        <w:t>——</w:t>
      </w:r>
      <w:r>
        <w:rPr>
          <w:rFonts w:ascii="Times New Roman" w:hAnsi="Times New Roman" w:eastAsia="宋体" w:cs="Times New Roman"/>
          <w:color w:val="auto"/>
          <w:kern w:val="2"/>
          <w:sz w:val="24"/>
          <w:szCs w:val="21"/>
          <w:highlight w:val="none"/>
          <w:lang w:val="en-US" w:eastAsia="zh-CN" w:bidi="ar-SA"/>
        </w:rPr>
        <w:t>工区人数，人；</w:t>
      </w:r>
    </w:p>
    <w:p w14:paraId="11908B53">
      <w:pPr>
        <w:pageBreakBefore w:val="0"/>
        <w:kinsoku/>
        <w:wordWrap/>
        <w:overflowPunct/>
        <w:bidi w:val="0"/>
        <w:spacing w:line="360" w:lineRule="auto"/>
        <w:ind w:firstLine="480" w:firstLineChars="200"/>
        <w:rPr>
          <w:rFonts w:ascii="Times New Roman" w:hAnsi="Times New Roman" w:eastAsia="宋体" w:cs="Times New Roman"/>
          <w:color w:val="auto"/>
          <w:kern w:val="2"/>
          <w:sz w:val="24"/>
          <w:szCs w:val="21"/>
          <w:highlight w:val="none"/>
          <w:lang w:val="en-US" w:eastAsia="zh-CN" w:bidi="ar-SA"/>
        </w:rPr>
      </w:pPr>
      <w:r>
        <w:rPr>
          <w:rFonts w:ascii="Times New Roman" w:hAnsi="Times New Roman" w:eastAsia="Times New Roman" w:cs="Times New Roman"/>
          <w:color w:val="auto"/>
          <w:kern w:val="2"/>
          <w:sz w:val="24"/>
          <w:szCs w:val="21"/>
          <w:highlight w:val="none"/>
          <w:lang w:val="en-US" w:eastAsia="zh-CN" w:bidi="ar-SA"/>
        </w:rPr>
        <w:t>K——</w:t>
      </w:r>
      <w:r>
        <w:rPr>
          <w:rFonts w:ascii="Times New Roman" w:hAnsi="Times New Roman" w:eastAsia="宋体" w:cs="Times New Roman"/>
          <w:color w:val="auto"/>
          <w:kern w:val="2"/>
          <w:sz w:val="24"/>
          <w:szCs w:val="21"/>
          <w:highlight w:val="none"/>
          <w:lang w:val="en-US" w:eastAsia="zh-CN" w:bidi="ar-SA"/>
        </w:rPr>
        <w:t>工区污水排放系数，一般为</w:t>
      </w:r>
      <w:r>
        <w:rPr>
          <w:rFonts w:ascii="Times New Roman" w:hAnsi="Times New Roman" w:eastAsia="Times New Roman" w:cs="Times New Roman"/>
          <w:color w:val="auto"/>
          <w:kern w:val="2"/>
          <w:sz w:val="24"/>
          <w:szCs w:val="21"/>
          <w:highlight w:val="none"/>
          <w:lang w:val="en-US" w:eastAsia="zh-CN" w:bidi="ar-SA"/>
        </w:rPr>
        <w:t>0.6~0.9</w:t>
      </w:r>
      <w:r>
        <w:rPr>
          <w:rFonts w:ascii="Times New Roman" w:hAnsi="Times New Roman" w:eastAsia="宋体" w:cs="Times New Roman"/>
          <w:color w:val="auto"/>
          <w:kern w:val="2"/>
          <w:sz w:val="24"/>
          <w:szCs w:val="21"/>
          <w:highlight w:val="none"/>
          <w:lang w:val="en-US" w:eastAsia="zh-CN" w:bidi="ar-SA"/>
        </w:rPr>
        <w:t>，</w:t>
      </w:r>
      <w:r>
        <w:rPr>
          <w:rFonts w:hint="eastAsia" w:cs="Times New Roman"/>
          <w:color w:val="auto"/>
          <w:kern w:val="2"/>
          <w:sz w:val="24"/>
          <w:szCs w:val="21"/>
          <w:highlight w:val="none"/>
          <w:lang w:val="en-US" w:eastAsia="zh-CN" w:bidi="ar-SA"/>
        </w:rPr>
        <w:t>本项目</w:t>
      </w:r>
      <w:r>
        <w:rPr>
          <w:rFonts w:ascii="Times New Roman" w:hAnsi="Times New Roman" w:eastAsia="宋体" w:cs="Times New Roman"/>
          <w:color w:val="auto"/>
          <w:kern w:val="2"/>
          <w:sz w:val="24"/>
          <w:szCs w:val="21"/>
          <w:highlight w:val="none"/>
          <w:lang w:val="en-US" w:eastAsia="zh-CN" w:bidi="ar-SA"/>
        </w:rPr>
        <w:t>取</w:t>
      </w:r>
      <w:r>
        <w:rPr>
          <w:rFonts w:ascii="Times New Roman" w:hAnsi="Times New Roman" w:eastAsia="Times New Roman" w:cs="Times New Roman"/>
          <w:color w:val="auto"/>
          <w:kern w:val="2"/>
          <w:sz w:val="24"/>
          <w:szCs w:val="21"/>
          <w:highlight w:val="none"/>
          <w:lang w:val="en-US" w:eastAsia="zh-CN" w:bidi="ar-SA"/>
        </w:rPr>
        <w:t>0.9</w:t>
      </w:r>
      <w:r>
        <w:rPr>
          <w:rFonts w:ascii="Times New Roman" w:hAnsi="Times New Roman" w:eastAsia="宋体" w:cs="Times New Roman"/>
          <w:color w:val="auto"/>
          <w:kern w:val="2"/>
          <w:sz w:val="24"/>
          <w:szCs w:val="21"/>
          <w:highlight w:val="none"/>
          <w:lang w:val="en-US" w:eastAsia="zh-CN" w:bidi="ar-SA"/>
        </w:rPr>
        <w:t>。</w:t>
      </w:r>
    </w:p>
    <w:p w14:paraId="20095E06">
      <w:pPr>
        <w:pageBreakBefore w:val="0"/>
        <w:widowControl/>
        <w:kinsoku/>
        <w:wordWrap/>
        <w:overflowPunct/>
        <w:autoSpaceDE w:val="0"/>
        <w:autoSpaceDN w:val="0"/>
        <w:bidi w:val="0"/>
        <w:ind w:firstLine="480" w:firstLineChars="200"/>
        <w:jc w:val="left"/>
        <w:rPr>
          <w:rFonts w:hint="eastAsia" w:ascii="Times New Roman" w:hAnsi="Times New Roman" w:eastAsia="宋体" w:cs="Times New Roman"/>
          <w:color w:val="auto"/>
          <w:szCs w:val="24"/>
          <w:highlight w:val="none"/>
          <w:lang w:eastAsia="zh-CN"/>
        </w:rPr>
      </w:pPr>
      <w:r>
        <w:rPr>
          <w:rFonts w:ascii="Times New Roman" w:hAnsi="Times New Roman" w:eastAsia="宋体" w:cs="Times New Roman"/>
          <w:color w:val="auto"/>
          <w:kern w:val="2"/>
          <w:sz w:val="24"/>
          <w:szCs w:val="21"/>
          <w:highlight w:val="none"/>
          <w:lang w:val="en-US" w:eastAsia="zh-CN" w:bidi="ar-SA"/>
        </w:rPr>
        <w:t>则本期机场建设期间施工人员废水排放量为</w:t>
      </w:r>
      <w:r>
        <w:rPr>
          <w:rFonts w:hint="eastAsia" w:ascii="Times New Roman" w:hAnsi="Times New Roman" w:eastAsia="Times New Roman" w:cs="Times New Roman"/>
          <w:color w:val="auto"/>
          <w:kern w:val="2"/>
          <w:sz w:val="24"/>
          <w:szCs w:val="21"/>
          <w:highlight w:val="none"/>
          <w:lang w:val="en-US" w:eastAsia="zh-CN" w:bidi="ar-SA"/>
        </w:rPr>
        <w:t>90t/d</w:t>
      </w:r>
      <w:r>
        <w:rPr>
          <w:rFonts w:ascii="Times New Roman" w:hAnsi="Times New Roman" w:eastAsia="宋体" w:cs="Times New Roman"/>
          <w:color w:val="auto"/>
          <w:kern w:val="2"/>
          <w:sz w:val="24"/>
          <w:szCs w:val="21"/>
          <w:highlight w:val="none"/>
          <w:lang w:val="en-US" w:eastAsia="zh-CN" w:bidi="ar-SA"/>
        </w:rPr>
        <w:t>。</w:t>
      </w:r>
    </w:p>
    <w:p w14:paraId="3757E315">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施工期固体废物</w:t>
      </w:r>
    </w:p>
    <w:p w14:paraId="593D9266">
      <w:pPr>
        <w:pageBreakBefore w:val="0"/>
        <w:widowControl/>
        <w:kinsoku/>
        <w:wordWrap/>
        <w:overflowPunct/>
        <w:autoSpaceDE w:val="0"/>
        <w:autoSpaceDN w:val="0"/>
        <w:bidi w:val="0"/>
        <w:ind w:firstLine="480" w:firstLineChars="200"/>
        <w:jc w:val="both"/>
        <w:rPr>
          <w:rFonts w:hint="default" w:ascii="Times New Roman" w:hAnsi="Times New Roman" w:eastAsia="宋体" w:cs="Times New Roman"/>
          <w:color w:val="auto"/>
          <w:szCs w:val="24"/>
          <w:highlight w:val="none"/>
          <w:lang w:val="en-US" w:eastAsia="zh-CN"/>
        </w:rPr>
      </w:pPr>
      <w:r>
        <w:rPr>
          <w:rFonts w:hint="eastAsia" w:cs="Times New Roman"/>
          <w:color w:val="auto"/>
          <w:szCs w:val="24"/>
          <w:highlight w:val="none"/>
          <w:lang w:eastAsia="zh-CN"/>
        </w:rPr>
        <w:t>（</w:t>
      </w:r>
      <w:r>
        <w:rPr>
          <w:rFonts w:hint="eastAsia" w:cs="Times New Roman"/>
          <w:color w:val="auto"/>
          <w:szCs w:val="24"/>
          <w:highlight w:val="none"/>
          <w:lang w:val="en-US" w:eastAsia="zh-CN"/>
        </w:rPr>
        <w:t>1</w:t>
      </w:r>
      <w:r>
        <w:rPr>
          <w:rFonts w:hint="eastAsia" w:cs="Times New Roman"/>
          <w:color w:val="auto"/>
          <w:szCs w:val="24"/>
          <w:highlight w:val="none"/>
          <w:lang w:eastAsia="zh-CN"/>
        </w:rPr>
        <w:t>）</w:t>
      </w:r>
      <w:r>
        <w:rPr>
          <w:rFonts w:hint="eastAsia" w:cs="Times New Roman"/>
          <w:color w:val="auto"/>
          <w:szCs w:val="24"/>
          <w:highlight w:val="none"/>
          <w:lang w:val="en-US" w:eastAsia="zh-CN"/>
        </w:rPr>
        <w:t>施工期生活垃圾</w:t>
      </w:r>
    </w:p>
    <w:p w14:paraId="6159BD30">
      <w:pPr>
        <w:pageBreakBefore w:val="0"/>
        <w:widowControl/>
        <w:kinsoku/>
        <w:wordWrap/>
        <w:overflowPunct/>
        <w:autoSpaceDE w:val="0"/>
        <w:autoSpaceDN w:val="0"/>
        <w:bidi w:val="0"/>
        <w:ind w:firstLine="480" w:firstLineChars="200"/>
        <w:jc w:val="both"/>
        <w:rPr>
          <w:rFonts w:hint="eastAsia" w:ascii="Times New Roman" w:hAnsi="Times New Roman" w:eastAsia="宋体" w:cs="Times New Roman"/>
          <w:color w:val="auto"/>
          <w:szCs w:val="24"/>
          <w:highlight w:val="none"/>
          <w:lang w:eastAsia="zh-CN"/>
        </w:rPr>
      </w:pPr>
      <w:r>
        <w:rPr>
          <w:rFonts w:hint="eastAsia" w:ascii="Times New Roman" w:hAnsi="Times New Roman" w:eastAsia="宋体" w:cs="Times New Roman"/>
          <w:color w:val="auto"/>
          <w:szCs w:val="24"/>
          <w:highlight w:val="none"/>
          <w:lang w:eastAsia="zh-CN"/>
        </w:rPr>
        <w:t>施工中产生的固体废物主要是建筑垃圾（主要指地面挖掘、拆除工程、道路修筑、管道敷设、材料运输、基础工程和房屋建筑等工程施工期间产生的大量废弃的建筑材料，如砂石、石灰、混凝土、木材和土石方等）及施工人员的生活垃圾。以生活垃圾产生量0.5kg/人·d计，施工人员按</w:t>
      </w:r>
      <w:r>
        <w:rPr>
          <w:rFonts w:hint="eastAsia" w:cs="Times New Roman"/>
          <w:color w:val="auto"/>
          <w:szCs w:val="24"/>
          <w:highlight w:val="none"/>
          <w:lang w:val="en-US" w:eastAsia="zh-CN"/>
        </w:rPr>
        <w:t>1000</w:t>
      </w:r>
      <w:r>
        <w:rPr>
          <w:rFonts w:hint="eastAsia" w:ascii="Times New Roman" w:hAnsi="Times New Roman" w:eastAsia="宋体" w:cs="Times New Roman"/>
          <w:color w:val="auto"/>
          <w:szCs w:val="24"/>
          <w:highlight w:val="none"/>
          <w:lang w:eastAsia="zh-CN"/>
        </w:rPr>
        <w:t>人计，生活垃圾产生量为0.5t/d。</w:t>
      </w:r>
    </w:p>
    <w:p w14:paraId="12518E54">
      <w:pPr>
        <w:pageBreakBefore w:val="0"/>
        <w:widowControl/>
        <w:kinsoku/>
        <w:wordWrap/>
        <w:overflowPunct/>
        <w:autoSpaceDE w:val="0"/>
        <w:autoSpaceDN w:val="0"/>
        <w:bidi w:val="0"/>
        <w:ind w:firstLine="480" w:firstLineChars="200"/>
        <w:jc w:val="both"/>
        <w:rPr>
          <w:rFonts w:hint="default" w:ascii="Times New Roman" w:hAnsi="Times New Roman" w:eastAsia="宋体" w:cs="Times New Roman"/>
          <w:color w:val="auto"/>
          <w:szCs w:val="24"/>
          <w:highlight w:val="none"/>
          <w:lang w:val="en-US" w:eastAsia="zh-CN"/>
        </w:rPr>
      </w:pPr>
      <w:r>
        <w:rPr>
          <w:rFonts w:hint="eastAsia" w:cs="Times New Roman"/>
          <w:color w:val="auto"/>
          <w:szCs w:val="24"/>
          <w:highlight w:val="none"/>
          <w:lang w:val="en-US" w:eastAsia="zh-CN"/>
        </w:rPr>
        <w:t>（2）施工期土石方</w:t>
      </w:r>
    </w:p>
    <w:p w14:paraId="006473C2">
      <w:pPr>
        <w:spacing w:after="5" w:line="374" w:lineRule="auto"/>
        <w:ind w:left="-15" w:right="231" w:firstLine="489"/>
        <w:rPr>
          <w:color w:val="auto"/>
          <w:highlight w:val="none"/>
        </w:rPr>
      </w:pPr>
      <w:r>
        <w:rPr>
          <w:rFonts w:hint="eastAsia"/>
          <w:color w:val="auto"/>
          <w:highlight w:val="none"/>
        </w:rPr>
        <w:t>根据资料，初拟跑道南端标高274.</w:t>
      </w:r>
      <w:r>
        <w:rPr>
          <w:rFonts w:hint="eastAsia"/>
          <w:color w:val="auto"/>
          <w:highlight w:val="none"/>
          <w:lang w:val="en-US" w:eastAsia="zh-CN"/>
        </w:rPr>
        <w:t>04</w:t>
      </w:r>
      <w:r>
        <w:rPr>
          <w:rFonts w:hint="eastAsia"/>
          <w:color w:val="auto"/>
          <w:highlight w:val="none"/>
        </w:rPr>
        <w:t>m，北端标高265.</w:t>
      </w:r>
      <w:r>
        <w:rPr>
          <w:rFonts w:hint="eastAsia"/>
          <w:color w:val="auto"/>
          <w:highlight w:val="none"/>
          <w:lang w:val="en-US" w:eastAsia="zh-CN"/>
        </w:rPr>
        <w:t>775</w:t>
      </w:r>
      <w:r>
        <w:rPr>
          <w:rFonts w:hint="eastAsia"/>
          <w:color w:val="auto"/>
          <w:highlight w:val="none"/>
        </w:rPr>
        <w:t>m，跑道北端、中部为填方区，南端基本为挖方区，其余区域为填方区。</w:t>
      </w:r>
    </w:p>
    <w:p w14:paraId="75AA5B49">
      <w:pPr>
        <w:ind w:firstLine="489"/>
        <w:rPr>
          <w:rFonts w:hint="default" w:eastAsia="宋体"/>
          <w:color w:val="auto"/>
          <w:highlight w:val="none"/>
          <w:lang w:val="en-US" w:eastAsia="zh-CN"/>
        </w:rPr>
      </w:pPr>
      <w:r>
        <w:rPr>
          <w:rFonts w:hint="eastAsia"/>
          <w:color w:val="auto"/>
          <w:highlight w:val="none"/>
        </w:rPr>
        <w:t>本项目场区内农田灌溉渠纵横交错，其断面呈梯形或“U”字形，渠深2.00～4.00m。灌溉渠总长度约4050m，面积约3.8×1</w:t>
      </w:r>
      <w:r>
        <w:rPr>
          <w:color w:val="auto"/>
          <w:highlight w:val="none"/>
        </w:rPr>
        <w:t>0</w:t>
      </w:r>
      <w:r>
        <w:rPr>
          <w:color w:val="auto"/>
          <w:highlight w:val="none"/>
          <w:vertAlign w:val="superscript"/>
        </w:rPr>
        <w:t>4</w:t>
      </w:r>
      <w:r>
        <w:rPr>
          <w:rFonts w:hint="eastAsia"/>
          <w:color w:val="auto"/>
          <w:highlight w:val="none"/>
        </w:rPr>
        <w:t>m</w:t>
      </w:r>
      <w:r>
        <w:rPr>
          <w:color w:val="auto"/>
          <w:highlight w:val="none"/>
          <w:vertAlign w:val="superscript"/>
        </w:rPr>
        <w:t>2</w:t>
      </w:r>
      <w:r>
        <w:rPr>
          <w:rFonts w:hint="eastAsia"/>
          <w:color w:val="auto"/>
          <w:highlight w:val="none"/>
        </w:rPr>
        <w:t>，深度按3m计，共计增加填方约</w:t>
      </w:r>
      <w:r>
        <w:rPr>
          <w:rFonts w:hint="eastAsia"/>
          <w:color w:val="auto"/>
          <w:highlight w:val="none"/>
          <w:lang w:val="en-US" w:eastAsia="zh-CN"/>
        </w:rPr>
        <w:t>8</w:t>
      </w:r>
      <w:r>
        <w:rPr>
          <w:rFonts w:hint="eastAsia"/>
          <w:color w:val="auto"/>
          <w:highlight w:val="none"/>
        </w:rPr>
        <w:t>×1</w:t>
      </w:r>
      <w:r>
        <w:rPr>
          <w:color w:val="auto"/>
          <w:highlight w:val="none"/>
        </w:rPr>
        <w:t>0</w:t>
      </w:r>
      <w:r>
        <w:rPr>
          <w:color w:val="auto"/>
          <w:highlight w:val="none"/>
          <w:vertAlign w:val="superscript"/>
        </w:rPr>
        <w:t>4</w:t>
      </w:r>
      <w:r>
        <w:rPr>
          <w:rFonts w:hint="eastAsia"/>
          <w:color w:val="auto"/>
          <w:highlight w:val="none"/>
        </w:rPr>
        <w:t>m</w:t>
      </w:r>
      <w:r>
        <w:rPr>
          <w:color w:val="auto"/>
          <w:highlight w:val="none"/>
          <w:vertAlign w:val="superscript"/>
        </w:rPr>
        <w:t>3</w:t>
      </w:r>
      <w:r>
        <w:rPr>
          <w:rFonts w:hint="eastAsia"/>
          <w:color w:val="auto"/>
          <w:highlight w:val="none"/>
        </w:rPr>
        <w:t>，增加挖台阶约</w:t>
      </w:r>
      <w:r>
        <w:rPr>
          <w:rFonts w:hint="eastAsia"/>
          <w:color w:val="auto"/>
          <w:highlight w:val="none"/>
          <w:lang w:val="en-US" w:eastAsia="zh-CN"/>
        </w:rPr>
        <w:t>1.2</w:t>
      </w:r>
      <w:r>
        <w:rPr>
          <w:rFonts w:hint="eastAsia"/>
          <w:color w:val="auto"/>
          <w:highlight w:val="none"/>
        </w:rPr>
        <w:t>×1</w:t>
      </w:r>
      <w:r>
        <w:rPr>
          <w:color w:val="auto"/>
          <w:highlight w:val="none"/>
        </w:rPr>
        <w:t>0</w:t>
      </w:r>
      <w:r>
        <w:rPr>
          <w:color w:val="auto"/>
          <w:highlight w:val="none"/>
          <w:vertAlign w:val="superscript"/>
        </w:rPr>
        <w:t>4</w:t>
      </w:r>
      <w:r>
        <w:rPr>
          <w:rFonts w:hint="eastAsia"/>
          <w:color w:val="auto"/>
          <w:highlight w:val="none"/>
        </w:rPr>
        <w:t>m</w:t>
      </w:r>
      <w:r>
        <w:rPr>
          <w:color w:val="auto"/>
          <w:highlight w:val="none"/>
          <w:vertAlign w:val="superscript"/>
        </w:rPr>
        <w:t>3</w:t>
      </w:r>
      <w:r>
        <w:rPr>
          <w:rFonts w:hint="eastAsia"/>
          <w:color w:val="auto"/>
          <w:highlight w:val="none"/>
        </w:rPr>
        <w:t>。道面影响区清表平均厚度暂按0.7m计，土面区平均清表厚度按0.2m计，共需清表17.5×1</w:t>
      </w:r>
      <w:r>
        <w:rPr>
          <w:color w:val="auto"/>
          <w:highlight w:val="none"/>
        </w:rPr>
        <w:t>0</w:t>
      </w:r>
      <w:r>
        <w:rPr>
          <w:color w:val="auto"/>
          <w:highlight w:val="none"/>
          <w:vertAlign w:val="superscript"/>
        </w:rPr>
        <w:t>4</w:t>
      </w:r>
      <w:r>
        <w:rPr>
          <w:rFonts w:hint="eastAsia"/>
          <w:color w:val="auto"/>
          <w:highlight w:val="none"/>
        </w:rPr>
        <w:t>m</w:t>
      </w:r>
      <w:r>
        <w:rPr>
          <w:color w:val="auto"/>
          <w:highlight w:val="none"/>
          <w:vertAlign w:val="superscript"/>
        </w:rPr>
        <w:t>3</w:t>
      </w:r>
      <w:r>
        <w:rPr>
          <w:rFonts w:hint="eastAsia"/>
          <w:color w:val="auto"/>
          <w:highlight w:val="none"/>
        </w:rPr>
        <w:t>。综合考虑地基处理方案，外借方不参与土方平衡，则参与平衡总挖方58.7万立方米，参与平衡总填方50.9×1</w:t>
      </w:r>
      <w:r>
        <w:rPr>
          <w:color w:val="auto"/>
          <w:highlight w:val="none"/>
        </w:rPr>
        <w:t>0</w:t>
      </w:r>
      <w:r>
        <w:rPr>
          <w:color w:val="auto"/>
          <w:highlight w:val="none"/>
          <w:vertAlign w:val="superscript"/>
        </w:rPr>
        <w:t>4</w:t>
      </w:r>
      <w:r>
        <w:rPr>
          <w:rFonts w:hint="eastAsia"/>
          <w:color w:val="auto"/>
          <w:highlight w:val="none"/>
        </w:rPr>
        <w:t>m</w:t>
      </w:r>
      <w:r>
        <w:rPr>
          <w:color w:val="auto"/>
          <w:highlight w:val="none"/>
          <w:vertAlign w:val="superscript"/>
        </w:rPr>
        <w:t>3</w:t>
      </w:r>
      <w:r>
        <w:rPr>
          <w:rFonts w:hint="eastAsia"/>
          <w:color w:val="auto"/>
          <w:highlight w:val="none"/>
        </w:rPr>
        <w:t>，土方挖填系数暂按1.15计算</w:t>
      </w:r>
      <w:r>
        <w:rPr>
          <w:rFonts w:hint="eastAsia"/>
          <w:color w:val="auto"/>
          <w:highlight w:val="none"/>
          <w:lang w:eastAsia="zh-CN"/>
        </w:rPr>
        <w:t>（</w:t>
      </w:r>
      <w:r>
        <w:rPr>
          <w:rFonts w:hint="eastAsia"/>
          <w:color w:val="auto"/>
          <w:highlight w:val="none"/>
        </w:rPr>
        <w:t>总填方58.</w:t>
      </w:r>
      <w:r>
        <w:rPr>
          <w:rFonts w:hint="eastAsia"/>
          <w:color w:val="auto"/>
          <w:highlight w:val="none"/>
          <w:lang w:val="en-US" w:eastAsia="zh-CN"/>
        </w:rPr>
        <w:t>6</w:t>
      </w:r>
      <w:r>
        <w:rPr>
          <w:rFonts w:hint="eastAsia"/>
          <w:color w:val="auto"/>
          <w:highlight w:val="none"/>
        </w:rPr>
        <w:t>×1</w:t>
      </w:r>
      <w:r>
        <w:rPr>
          <w:color w:val="auto"/>
          <w:highlight w:val="none"/>
        </w:rPr>
        <w:t>0</w:t>
      </w:r>
      <w:r>
        <w:rPr>
          <w:color w:val="auto"/>
          <w:highlight w:val="none"/>
          <w:vertAlign w:val="superscript"/>
        </w:rPr>
        <w:t>4</w:t>
      </w:r>
      <w:r>
        <w:rPr>
          <w:rFonts w:hint="eastAsia"/>
          <w:color w:val="auto"/>
          <w:highlight w:val="none"/>
        </w:rPr>
        <w:t>m</w:t>
      </w:r>
      <w:r>
        <w:rPr>
          <w:color w:val="auto"/>
          <w:highlight w:val="none"/>
          <w:vertAlign w:val="superscript"/>
        </w:rPr>
        <w:t>3</w:t>
      </w:r>
      <w:r>
        <w:rPr>
          <w:rFonts w:hint="eastAsia"/>
          <w:color w:val="auto"/>
          <w:highlight w:val="none"/>
          <w:lang w:eastAsia="zh-CN"/>
        </w:rPr>
        <w:t>）</w:t>
      </w:r>
      <w:r>
        <w:rPr>
          <w:rFonts w:hint="eastAsia"/>
          <w:color w:val="auto"/>
          <w:highlight w:val="none"/>
        </w:rPr>
        <w:t>，整体土方大致平衡。场内无法消纳的少量土方堆填于机场红线内填方边坡以外的</w:t>
      </w:r>
      <w:r>
        <w:rPr>
          <w:rFonts w:hint="eastAsia"/>
          <w:color w:val="auto"/>
          <w:highlight w:val="none"/>
          <w:lang w:eastAsia="zh-CN"/>
        </w:rPr>
        <w:t>富余</w:t>
      </w:r>
      <w:r>
        <w:rPr>
          <w:rFonts w:hint="eastAsia"/>
          <w:color w:val="auto"/>
          <w:highlight w:val="none"/>
        </w:rPr>
        <w:t>区域</w:t>
      </w:r>
      <w:r>
        <w:rPr>
          <w:rFonts w:hint="eastAsia"/>
          <w:color w:val="auto"/>
          <w:highlight w:val="none"/>
          <w:lang w:eastAsia="zh-CN"/>
        </w:rPr>
        <w:t>，</w:t>
      </w:r>
      <w:r>
        <w:rPr>
          <w:rFonts w:hint="eastAsia"/>
          <w:color w:val="auto"/>
          <w:highlight w:val="none"/>
          <w:lang w:val="en-US" w:eastAsia="zh-CN"/>
        </w:rPr>
        <w:t>不另设弃土场。</w:t>
      </w:r>
    </w:p>
    <w:p w14:paraId="24E3278F">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施工期生态影响</w:t>
      </w:r>
      <w:r>
        <w:rPr>
          <w:rFonts w:hint="eastAsia" w:cs="Times New Roman"/>
          <w:b/>
          <w:bCs/>
          <w:color w:val="auto"/>
          <w:kern w:val="2"/>
          <w:sz w:val="24"/>
          <w:szCs w:val="24"/>
          <w:highlight w:val="none"/>
          <w:lang w:val="en-US" w:eastAsia="zh-CN" w:bidi="ar-SA"/>
        </w:rPr>
        <w:t>因素</w:t>
      </w:r>
    </w:p>
    <w:p w14:paraId="1B41BB7E">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）占用土地</w:t>
      </w:r>
    </w:p>
    <w:p w14:paraId="4F2590A3">
      <w:pPr>
        <w:ind w:firstLine="480" w:firstLineChars="200"/>
        <w:rPr>
          <w:rFonts w:hint="eastAsia"/>
          <w:color w:val="auto"/>
          <w:highlight w:val="none"/>
        </w:rPr>
      </w:pPr>
      <w:r>
        <w:rPr>
          <w:rFonts w:hint="eastAsia"/>
          <w:color w:val="auto"/>
          <w:highlight w:val="none"/>
        </w:rPr>
        <w:t>场址用地总面积65.2804</w:t>
      </w:r>
      <w:r>
        <w:rPr>
          <w:rFonts w:eastAsia="Times New Roman"/>
          <w:color w:val="auto"/>
          <w:highlight w:val="none"/>
        </w:rPr>
        <w:t>hm</w:t>
      </w:r>
      <w:r>
        <w:rPr>
          <w:rFonts w:eastAsia="Times New Roman"/>
          <w:color w:val="auto"/>
          <w:highlight w:val="none"/>
          <w:vertAlign w:val="superscript"/>
        </w:rPr>
        <w:t>2</w:t>
      </w:r>
      <w:r>
        <w:rPr>
          <w:rFonts w:hint="eastAsia"/>
          <w:color w:val="auto"/>
          <w:highlight w:val="none"/>
        </w:rPr>
        <w:t>，其中国有农用地65.1988</w:t>
      </w:r>
      <w:r>
        <w:rPr>
          <w:rFonts w:eastAsia="Times New Roman"/>
          <w:color w:val="auto"/>
          <w:highlight w:val="none"/>
        </w:rPr>
        <w:t>hm</w:t>
      </w:r>
      <w:r>
        <w:rPr>
          <w:rFonts w:eastAsia="Times New Roman"/>
          <w:color w:val="auto"/>
          <w:highlight w:val="none"/>
          <w:vertAlign w:val="superscript"/>
        </w:rPr>
        <w:t>2</w:t>
      </w:r>
      <w:r>
        <w:rPr>
          <w:rFonts w:hint="eastAsia"/>
          <w:color w:val="auto"/>
          <w:highlight w:val="none"/>
        </w:rPr>
        <w:t>（一般耕地55.3861</w:t>
      </w:r>
      <w:r>
        <w:rPr>
          <w:rFonts w:eastAsia="Times New Roman"/>
          <w:color w:val="auto"/>
          <w:highlight w:val="none"/>
        </w:rPr>
        <w:t>hm</w:t>
      </w:r>
      <w:r>
        <w:rPr>
          <w:rFonts w:eastAsia="Times New Roman"/>
          <w:color w:val="auto"/>
          <w:highlight w:val="none"/>
          <w:vertAlign w:val="superscript"/>
        </w:rPr>
        <w:t>2</w:t>
      </w:r>
      <w:r>
        <w:rPr>
          <w:rFonts w:hint="eastAsia"/>
          <w:color w:val="auto"/>
          <w:highlight w:val="none"/>
        </w:rPr>
        <w:t>，不占用永久基本农田；乔木林地0.4668</w:t>
      </w:r>
      <w:r>
        <w:rPr>
          <w:rFonts w:eastAsia="Times New Roman"/>
          <w:color w:val="auto"/>
          <w:highlight w:val="none"/>
        </w:rPr>
        <w:t>hm</w:t>
      </w:r>
      <w:r>
        <w:rPr>
          <w:rFonts w:eastAsia="Times New Roman"/>
          <w:color w:val="auto"/>
          <w:highlight w:val="none"/>
          <w:vertAlign w:val="superscript"/>
        </w:rPr>
        <w:t>2</w:t>
      </w:r>
      <w:r>
        <w:rPr>
          <w:rFonts w:hint="eastAsia"/>
          <w:color w:val="auto"/>
          <w:highlight w:val="none"/>
        </w:rPr>
        <w:t>；农村道路3.0474</w:t>
      </w:r>
      <w:r>
        <w:rPr>
          <w:rFonts w:eastAsia="Times New Roman"/>
          <w:color w:val="auto"/>
          <w:highlight w:val="none"/>
        </w:rPr>
        <w:t>hm</w:t>
      </w:r>
      <w:r>
        <w:rPr>
          <w:rFonts w:eastAsia="Times New Roman"/>
          <w:color w:val="auto"/>
          <w:highlight w:val="none"/>
          <w:vertAlign w:val="superscript"/>
        </w:rPr>
        <w:t>2</w:t>
      </w:r>
      <w:r>
        <w:rPr>
          <w:rFonts w:hint="eastAsia"/>
          <w:color w:val="auto"/>
          <w:highlight w:val="none"/>
        </w:rPr>
        <w:t>；沟渠6.2985</w:t>
      </w:r>
      <w:r>
        <w:rPr>
          <w:rFonts w:eastAsia="Times New Roman"/>
          <w:color w:val="auto"/>
          <w:highlight w:val="none"/>
        </w:rPr>
        <w:t>hm</w:t>
      </w:r>
      <w:r>
        <w:rPr>
          <w:rFonts w:eastAsia="Times New Roman"/>
          <w:color w:val="auto"/>
          <w:highlight w:val="none"/>
          <w:vertAlign w:val="superscript"/>
        </w:rPr>
        <w:t>2</w:t>
      </w:r>
      <w:r>
        <w:rPr>
          <w:rFonts w:hint="eastAsia"/>
          <w:color w:val="auto"/>
          <w:highlight w:val="none"/>
        </w:rPr>
        <w:t>）；国有未利用地0.0816</w:t>
      </w:r>
      <w:r>
        <w:rPr>
          <w:rFonts w:eastAsia="Times New Roman"/>
          <w:color w:val="auto"/>
          <w:highlight w:val="none"/>
        </w:rPr>
        <w:t>hm</w:t>
      </w:r>
      <w:r>
        <w:rPr>
          <w:rFonts w:eastAsia="Times New Roman"/>
          <w:color w:val="auto"/>
          <w:highlight w:val="none"/>
          <w:vertAlign w:val="superscript"/>
        </w:rPr>
        <w:t>2</w:t>
      </w:r>
      <w:r>
        <w:rPr>
          <w:rFonts w:hint="eastAsia"/>
          <w:color w:val="auto"/>
          <w:highlight w:val="none"/>
        </w:rPr>
        <w:t>（其他草地0.0816</w:t>
      </w:r>
      <w:r>
        <w:rPr>
          <w:rFonts w:eastAsia="Times New Roman"/>
          <w:color w:val="auto"/>
          <w:highlight w:val="none"/>
        </w:rPr>
        <w:t>hm</w:t>
      </w:r>
      <w:r>
        <w:rPr>
          <w:rFonts w:eastAsia="Times New Roman"/>
          <w:color w:val="auto"/>
          <w:highlight w:val="none"/>
          <w:vertAlign w:val="superscript"/>
        </w:rPr>
        <w:t>2</w:t>
      </w:r>
      <w:r>
        <w:rPr>
          <w:rFonts w:hint="eastAsia"/>
          <w:color w:val="auto"/>
          <w:highlight w:val="none"/>
        </w:rPr>
        <w:t>）。</w:t>
      </w:r>
    </w:p>
    <w:p w14:paraId="41226656">
      <w:pPr>
        <w:spacing w:after="3"/>
        <w:ind w:left="10" w:right="439" w:hanging="10"/>
        <w:jc w:val="center"/>
        <w:rPr>
          <w:color w:val="auto"/>
          <w:highlight w:val="none"/>
        </w:rPr>
      </w:pPr>
      <w:r>
        <w:rPr>
          <w:rFonts w:eastAsia="黑体"/>
          <w:color w:val="auto"/>
          <w:highlight w:val="none"/>
        </w:rPr>
        <w:t>表</w:t>
      </w:r>
      <w:r>
        <w:rPr>
          <w:rFonts w:eastAsia="Times New Roman"/>
          <w:b/>
          <w:color w:val="auto"/>
          <w:highlight w:val="none"/>
        </w:rPr>
        <w:t>3-</w:t>
      </w:r>
      <w:r>
        <w:rPr>
          <w:rFonts w:hint="eastAsia" w:eastAsia="宋体"/>
          <w:b/>
          <w:color w:val="auto"/>
          <w:highlight w:val="none"/>
          <w:lang w:val="en-US" w:eastAsia="zh-CN"/>
        </w:rPr>
        <w:t>7.3</w:t>
      </w:r>
      <w:r>
        <w:rPr>
          <w:color w:val="auto"/>
          <w:highlight w:val="none"/>
        </w:rPr>
        <w:t xml:space="preserve"> </w:t>
      </w:r>
      <w:r>
        <w:rPr>
          <w:rFonts w:eastAsia="黑体"/>
          <w:color w:val="auto"/>
          <w:highlight w:val="none"/>
        </w:rPr>
        <w:t>机场各功能分区用地指标一览表</w:t>
      </w:r>
    </w:p>
    <w:tbl>
      <w:tblPr>
        <w:tblStyle w:val="5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954"/>
        <w:gridCol w:w="1855"/>
        <w:gridCol w:w="1572"/>
        <w:gridCol w:w="3704"/>
      </w:tblGrid>
      <w:tr w14:paraId="27AB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 w:type="pct"/>
            <w:vAlign w:val="center"/>
          </w:tcPr>
          <w:p w14:paraId="3B6E69B7">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序号</w:t>
            </w:r>
          </w:p>
        </w:tc>
        <w:tc>
          <w:tcPr>
            <w:tcW w:w="1590" w:type="pct"/>
            <w:gridSpan w:val="2"/>
            <w:vAlign w:val="center"/>
          </w:tcPr>
          <w:p w14:paraId="483254EA">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使用性质</w:t>
            </w:r>
          </w:p>
        </w:tc>
        <w:tc>
          <w:tcPr>
            <w:tcW w:w="890" w:type="pct"/>
            <w:vAlign w:val="center"/>
          </w:tcPr>
          <w:p w14:paraId="70A80CAD">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本期占地面积（hm</w:t>
            </w:r>
            <w:r>
              <w:rPr>
                <w:rFonts w:hint="default"/>
                <w:color w:val="auto"/>
                <w:sz w:val="21"/>
                <w:szCs w:val="21"/>
                <w:highlight w:val="none"/>
                <w:vertAlign w:val="superscript"/>
              </w:rPr>
              <w:t>2</w:t>
            </w:r>
            <w:r>
              <w:rPr>
                <w:rFonts w:hint="default"/>
                <w:color w:val="auto"/>
                <w:sz w:val="21"/>
                <w:szCs w:val="21"/>
                <w:highlight w:val="none"/>
              </w:rPr>
              <w:t>）</w:t>
            </w:r>
          </w:p>
        </w:tc>
        <w:tc>
          <w:tcPr>
            <w:tcW w:w="2096" w:type="pct"/>
            <w:vAlign w:val="center"/>
          </w:tcPr>
          <w:p w14:paraId="7F556E54">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项目</w:t>
            </w:r>
          </w:p>
        </w:tc>
      </w:tr>
      <w:tr w14:paraId="0EFDC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 w:type="pct"/>
            <w:vAlign w:val="center"/>
          </w:tcPr>
          <w:p w14:paraId="166AD59E">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1</w:t>
            </w:r>
          </w:p>
        </w:tc>
        <w:tc>
          <w:tcPr>
            <w:tcW w:w="1590" w:type="pct"/>
            <w:gridSpan w:val="2"/>
            <w:vAlign w:val="center"/>
          </w:tcPr>
          <w:p w14:paraId="706CC5AD">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飞行区</w:t>
            </w:r>
          </w:p>
        </w:tc>
        <w:tc>
          <w:tcPr>
            <w:tcW w:w="890" w:type="pct"/>
            <w:vAlign w:val="center"/>
          </w:tcPr>
          <w:p w14:paraId="1153FDBE">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eastAsia"/>
                <w:color w:val="auto"/>
                <w:sz w:val="21"/>
                <w:szCs w:val="21"/>
                <w:highlight w:val="none"/>
              </w:rPr>
              <w:t>37.4824</w:t>
            </w:r>
          </w:p>
        </w:tc>
        <w:tc>
          <w:tcPr>
            <w:tcW w:w="2096" w:type="pct"/>
            <w:vAlign w:val="center"/>
          </w:tcPr>
          <w:p w14:paraId="7B09CED2">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跑道、联络道、站坪、灯光带等</w:t>
            </w:r>
          </w:p>
        </w:tc>
      </w:tr>
      <w:tr w14:paraId="79D9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 w:type="pct"/>
            <w:vMerge w:val="restart"/>
            <w:vAlign w:val="center"/>
          </w:tcPr>
          <w:p w14:paraId="1B538863">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2</w:t>
            </w:r>
          </w:p>
        </w:tc>
        <w:tc>
          <w:tcPr>
            <w:tcW w:w="540" w:type="pct"/>
            <w:vMerge w:val="restart"/>
            <w:vAlign w:val="center"/>
          </w:tcPr>
          <w:p w14:paraId="32169D12">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航站区</w:t>
            </w:r>
          </w:p>
        </w:tc>
        <w:tc>
          <w:tcPr>
            <w:tcW w:w="1050" w:type="pct"/>
            <w:vAlign w:val="center"/>
          </w:tcPr>
          <w:p w14:paraId="3CC230DA">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航管综合楼</w:t>
            </w:r>
          </w:p>
        </w:tc>
        <w:tc>
          <w:tcPr>
            <w:tcW w:w="890" w:type="pct"/>
            <w:vAlign w:val="center"/>
          </w:tcPr>
          <w:p w14:paraId="3D5D805C">
            <w:pPr>
              <w:keepNext w:val="0"/>
              <w:keepLines w:val="0"/>
              <w:suppressLineNumbers w:val="0"/>
              <w:spacing w:before="0" w:beforeAutospacing="0" w:after="0" w:afterAutospacing="0" w:line="240" w:lineRule="auto"/>
              <w:ind w:left="0" w:right="0" w:firstLine="0"/>
              <w:jc w:val="center"/>
              <w:rPr>
                <w:rFonts w:hint="eastAsia" w:eastAsia="宋体"/>
                <w:color w:val="auto"/>
                <w:sz w:val="21"/>
                <w:szCs w:val="21"/>
                <w:highlight w:val="none"/>
                <w:lang w:val="en-US" w:eastAsia="zh-CN"/>
              </w:rPr>
            </w:pPr>
            <w:r>
              <w:rPr>
                <w:rFonts w:hint="default"/>
                <w:color w:val="auto"/>
                <w:sz w:val="21"/>
                <w:szCs w:val="21"/>
                <w:highlight w:val="none"/>
              </w:rPr>
              <w:t>0.161</w:t>
            </w:r>
            <w:r>
              <w:rPr>
                <w:rFonts w:hint="eastAsia"/>
                <w:color w:val="auto"/>
                <w:sz w:val="21"/>
                <w:szCs w:val="21"/>
                <w:highlight w:val="none"/>
                <w:lang w:val="en-US" w:eastAsia="zh-CN"/>
              </w:rPr>
              <w:t>0</w:t>
            </w:r>
          </w:p>
        </w:tc>
        <w:tc>
          <w:tcPr>
            <w:tcW w:w="2096" w:type="pct"/>
            <w:vAlign w:val="center"/>
          </w:tcPr>
          <w:p w14:paraId="31EE730D">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旅客进出港、安检、公安、办公等</w:t>
            </w:r>
          </w:p>
        </w:tc>
      </w:tr>
      <w:tr w14:paraId="54C2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 w:type="pct"/>
            <w:vMerge w:val="continue"/>
            <w:vAlign w:val="center"/>
          </w:tcPr>
          <w:p w14:paraId="69824E1E">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p>
        </w:tc>
        <w:tc>
          <w:tcPr>
            <w:tcW w:w="540" w:type="pct"/>
            <w:vMerge w:val="continue"/>
            <w:vAlign w:val="center"/>
          </w:tcPr>
          <w:p w14:paraId="0CB88CAD">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p>
        </w:tc>
        <w:tc>
          <w:tcPr>
            <w:tcW w:w="1050" w:type="pct"/>
            <w:vAlign w:val="center"/>
          </w:tcPr>
          <w:p w14:paraId="78264A51">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生产辅助设施区</w:t>
            </w:r>
          </w:p>
        </w:tc>
        <w:tc>
          <w:tcPr>
            <w:tcW w:w="890" w:type="pct"/>
            <w:vAlign w:val="center"/>
          </w:tcPr>
          <w:p w14:paraId="721920D5">
            <w:pPr>
              <w:keepNext w:val="0"/>
              <w:keepLines w:val="0"/>
              <w:suppressLineNumbers w:val="0"/>
              <w:spacing w:before="0" w:beforeAutospacing="0" w:after="0" w:afterAutospacing="0" w:line="240" w:lineRule="auto"/>
              <w:ind w:left="0" w:right="0" w:firstLine="0"/>
              <w:jc w:val="center"/>
              <w:rPr>
                <w:rFonts w:hint="eastAsia" w:eastAsia="宋体"/>
                <w:color w:val="auto"/>
                <w:sz w:val="21"/>
                <w:szCs w:val="21"/>
                <w:highlight w:val="none"/>
                <w:lang w:val="en-US" w:eastAsia="zh-CN"/>
              </w:rPr>
            </w:pPr>
            <w:r>
              <w:rPr>
                <w:rFonts w:hint="default"/>
                <w:color w:val="auto"/>
                <w:sz w:val="21"/>
                <w:szCs w:val="21"/>
                <w:highlight w:val="none"/>
              </w:rPr>
              <w:t>0.720</w:t>
            </w:r>
            <w:r>
              <w:rPr>
                <w:rFonts w:hint="eastAsia"/>
                <w:color w:val="auto"/>
                <w:sz w:val="21"/>
                <w:szCs w:val="21"/>
                <w:highlight w:val="none"/>
                <w:lang w:val="en-US" w:eastAsia="zh-CN"/>
              </w:rPr>
              <w:t>0</w:t>
            </w:r>
          </w:p>
        </w:tc>
        <w:tc>
          <w:tcPr>
            <w:tcW w:w="2096" w:type="pct"/>
            <w:vAlign w:val="center"/>
          </w:tcPr>
          <w:p w14:paraId="4FF99C43">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气象观测场、蒸发池、特</w:t>
            </w:r>
            <w:r>
              <w:rPr>
                <w:rFonts w:hint="eastAsia"/>
                <w:color w:val="auto"/>
                <w:sz w:val="21"/>
                <w:szCs w:val="21"/>
                <w:highlight w:val="none"/>
                <w:lang w:val="en-US" w:eastAsia="zh-CN"/>
              </w:rPr>
              <w:t>种</w:t>
            </w:r>
            <w:r>
              <w:rPr>
                <w:rFonts w:hint="default"/>
                <w:color w:val="auto"/>
                <w:sz w:val="21"/>
                <w:szCs w:val="21"/>
                <w:highlight w:val="none"/>
              </w:rPr>
              <w:t>车库及综合功能用房（消防、急救）、锅炉房、道口、动力中心、锅炉房、污水站、垃圾房、</w:t>
            </w:r>
            <w:r>
              <w:rPr>
                <w:rFonts w:hint="eastAsia"/>
                <w:color w:val="auto"/>
                <w:sz w:val="21"/>
                <w:szCs w:val="21"/>
                <w:highlight w:val="none"/>
                <w:lang w:val="en-US" w:eastAsia="zh-CN"/>
              </w:rPr>
              <w:t>油车棚</w:t>
            </w:r>
            <w:r>
              <w:rPr>
                <w:rFonts w:hint="default"/>
                <w:color w:val="auto"/>
                <w:sz w:val="21"/>
                <w:szCs w:val="21"/>
                <w:highlight w:val="none"/>
              </w:rPr>
              <w:t>等</w:t>
            </w:r>
          </w:p>
        </w:tc>
      </w:tr>
      <w:tr w14:paraId="1FB3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 w:type="pct"/>
            <w:vMerge w:val="continue"/>
            <w:vAlign w:val="center"/>
          </w:tcPr>
          <w:p w14:paraId="5A8C5B2E">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p>
        </w:tc>
        <w:tc>
          <w:tcPr>
            <w:tcW w:w="540" w:type="pct"/>
            <w:vMerge w:val="continue"/>
            <w:vAlign w:val="center"/>
          </w:tcPr>
          <w:p w14:paraId="69CB13FC">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p>
        </w:tc>
        <w:tc>
          <w:tcPr>
            <w:tcW w:w="1050" w:type="pct"/>
            <w:vAlign w:val="center"/>
          </w:tcPr>
          <w:p w14:paraId="7A8A8AB6">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生活设施区</w:t>
            </w:r>
          </w:p>
        </w:tc>
        <w:tc>
          <w:tcPr>
            <w:tcW w:w="890" w:type="pct"/>
            <w:vAlign w:val="center"/>
          </w:tcPr>
          <w:p w14:paraId="4B351A31">
            <w:pPr>
              <w:keepNext w:val="0"/>
              <w:keepLines w:val="0"/>
              <w:suppressLineNumbers w:val="0"/>
              <w:spacing w:before="0" w:beforeAutospacing="0" w:after="0" w:afterAutospacing="0" w:line="240" w:lineRule="auto"/>
              <w:ind w:left="0" w:right="0" w:firstLine="0"/>
              <w:jc w:val="center"/>
              <w:rPr>
                <w:rFonts w:hint="eastAsia" w:eastAsia="宋体"/>
                <w:color w:val="auto"/>
                <w:sz w:val="21"/>
                <w:szCs w:val="21"/>
                <w:highlight w:val="none"/>
                <w:lang w:val="en-US" w:eastAsia="zh-CN"/>
              </w:rPr>
            </w:pPr>
            <w:r>
              <w:rPr>
                <w:rFonts w:hint="default"/>
                <w:color w:val="auto"/>
                <w:sz w:val="21"/>
                <w:szCs w:val="21"/>
                <w:highlight w:val="none"/>
              </w:rPr>
              <w:t>1.004</w:t>
            </w:r>
            <w:r>
              <w:rPr>
                <w:rFonts w:hint="eastAsia"/>
                <w:color w:val="auto"/>
                <w:sz w:val="21"/>
                <w:szCs w:val="21"/>
                <w:highlight w:val="none"/>
                <w:lang w:val="en-US" w:eastAsia="zh-CN"/>
              </w:rPr>
              <w:t>0</w:t>
            </w:r>
          </w:p>
        </w:tc>
        <w:tc>
          <w:tcPr>
            <w:tcW w:w="2096" w:type="pct"/>
            <w:vAlign w:val="center"/>
          </w:tcPr>
          <w:p w14:paraId="69C07EE9">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生活用房、门卫房、武警执勤点、停车场及绿地等</w:t>
            </w:r>
          </w:p>
        </w:tc>
      </w:tr>
      <w:tr w14:paraId="6681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 w:type="pct"/>
            <w:vMerge w:val="continue"/>
            <w:vAlign w:val="center"/>
          </w:tcPr>
          <w:p w14:paraId="1530AE81">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p>
        </w:tc>
        <w:tc>
          <w:tcPr>
            <w:tcW w:w="540" w:type="pct"/>
            <w:vMerge w:val="continue"/>
            <w:vAlign w:val="center"/>
          </w:tcPr>
          <w:p w14:paraId="5F19CAF4">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p>
        </w:tc>
        <w:tc>
          <w:tcPr>
            <w:tcW w:w="1050" w:type="pct"/>
            <w:vAlign w:val="center"/>
          </w:tcPr>
          <w:p w14:paraId="66F7EC31">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预留机库用地</w:t>
            </w:r>
          </w:p>
        </w:tc>
        <w:tc>
          <w:tcPr>
            <w:tcW w:w="890" w:type="pct"/>
            <w:vAlign w:val="center"/>
          </w:tcPr>
          <w:p w14:paraId="1DFDF715">
            <w:pPr>
              <w:keepNext w:val="0"/>
              <w:keepLines w:val="0"/>
              <w:suppressLineNumbers w:val="0"/>
              <w:spacing w:before="0" w:beforeAutospacing="0" w:after="0" w:afterAutospacing="0" w:line="240" w:lineRule="auto"/>
              <w:ind w:left="0" w:right="0" w:firstLine="0"/>
              <w:jc w:val="center"/>
              <w:rPr>
                <w:rFonts w:hint="eastAsia" w:eastAsia="宋体"/>
                <w:color w:val="auto"/>
                <w:sz w:val="21"/>
                <w:szCs w:val="21"/>
                <w:highlight w:val="none"/>
                <w:lang w:val="en-US" w:eastAsia="zh-CN"/>
              </w:rPr>
            </w:pPr>
            <w:r>
              <w:rPr>
                <w:rFonts w:hint="default"/>
                <w:color w:val="auto"/>
                <w:sz w:val="21"/>
                <w:szCs w:val="21"/>
                <w:highlight w:val="none"/>
              </w:rPr>
              <w:t>0.269</w:t>
            </w:r>
            <w:r>
              <w:rPr>
                <w:rFonts w:hint="eastAsia"/>
                <w:color w:val="auto"/>
                <w:sz w:val="21"/>
                <w:szCs w:val="21"/>
                <w:highlight w:val="none"/>
                <w:lang w:val="en-US" w:eastAsia="zh-CN"/>
              </w:rPr>
              <w:t>0</w:t>
            </w:r>
          </w:p>
        </w:tc>
        <w:tc>
          <w:tcPr>
            <w:tcW w:w="2096" w:type="pct"/>
            <w:vAlign w:val="center"/>
          </w:tcPr>
          <w:p w14:paraId="2C8DC09F">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预留机库用地</w:t>
            </w:r>
          </w:p>
        </w:tc>
      </w:tr>
      <w:tr w14:paraId="1338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 w:type="pct"/>
            <w:vAlign w:val="center"/>
          </w:tcPr>
          <w:p w14:paraId="3BA36E14">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3</w:t>
            </w:r>
          </w:p>
        </w:tc>
        <w:tc>
          <w:tcPr>
            <w:tcW w:w="1590" w:type="pct"/>
            <w:gridSpan w:val="2"/>
            <w:vAlign w:val="center"/>
          </w:tcPr>
          <w:p w14:paraId="139495A5">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场外放坡及排水设施用地</w:t>
            </w:r>
          </w:p>
        </w:tc>
        <w:tc>
          <w:tcPr>
            <w:tcW w:w="890" w:type="pct"/>
            <w:vAlign w:val="center"/>
          </w:tcPr>
          <w:p w14:paraId="7D12C358">
            <w:pPr>
              <w:keepNext w:val="0"/>
              <w:keepLines w:val="0"/>
              <w:suppressLineNumbers w:val="0"/>
              <w:spacing w:before="0" w:beforeAutospacing="0" w:after="0" w:afterAutospacing="0" w:line="240" w:lineRule="auto"/>
              <w:ind w:left="0" w:right="0" w:firstLine="0"/>
              <w:jc w:val="center"/>
              <w:rPr>
                <w:rFonts w:hint="eastAsia" w:eastAsia="宋体"/>
                <w:color w:val="auto"/>
                <w:sz w:val="21"/>
                <w:szCs w:val="21"/>
                <w:highlight w:val="none"/>
                <w:lang w:val="en-US" w:eastAsia="zh-CN"/>
              </w:rPr>
            </w:pPr>
            <w:r>
              <w:rPr>
                <w:rFonts w:hint="default"/>
                <w:color w:val="auto"/>
                <w:sz w:val="21"/>
                <w:szCs w:val="21"/>
                <w:highlight w:val="none"/>
              </w:rPr>
              <w:t>25.644</w:t>
            </w:r>
            <w:r>
              <w:rPr>
                <w:rFonts w:hint="eastAsia"/>
                <w:color w:val="auto"/>
                <w:sz w:val="21"/>
                <w:szCs w:val="21"/>
                <w:highlight w:val="none"/>
                <w:lang w:val="en-US" w:eastAsia="zh-CN"/>
              </w:rPr>
              <w:t>0</w:t>
            </w:r>
          </w:p>
        </w:tc>
        <w:tc>
          <w:tcPr>
            <w:tcW w:w="2096" w:type="pct"/>
            <w:vAlign w:val="center"/>
          </w:tcPr>
          <w:p w14:paraId="78ADB00B">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w:t>
            </w:r>
          </w:p>
        </w:tc>
      </w:tr>
      <w:tr w14:paraId="1C87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4" w:type="pct"/>
            <w:gridSpan w:val="3"/>
            <w:vAlign w:val="center"/>
          </w:tcPr>
          <w:p w14:paraId="787844BB">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合计</w:t>
            </w:r>
          </w:p>
        </w:tc>
        <w:tc>
          <w:tcPr>
            <w:tcW w:w="890" w:type="pct"/>
            <w:vAlign w:val="center"/>
          </w:tcPr>
          <w:p w14:paraId="76BDE315">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eastAsia"/>
                <w:color w:val="auto"/>
                <w:sz w:val="21"/>
                <w:szCs w:val="21"/>
                <w:highlight w:val="none"/>
              </w:rPr>
              <w:t>65.2804</w:t>
            </w:r>
          </w:p>
        </w:tc>
        <w:tc>
          <w:tcPr>
            <w:tcW w:w="2096" w:type="pct"/>
            <w:vAlign w:val="center"/>
          </w:tcPr>
          <w:p w14:paraId="7D0076D2">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w:t>
            </w:r>
          </w:p>
        </w:tc>
      </w:tr>
    </w:tbl>
    <w:p w14:paraId="0428BCC7">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对野生动、植物的影响</w:t>
      </w:r>
    </w:p>
    <w:p w14:paraId="7F2BE709">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项目建设区</w:t>
      </w:r>
      <w:r>
        <w:rPr>
          <w:rFonts w:hint="eastAsia" w:cs="Times New Roman"/>
          <w:color w:val="auto"/>
          <w:szCs w:val="21"/>
          <w:highlight w:val="none"/>
          <w:lang w:val="en-US" w:eastAsia="zh-CN"/>
        </w:rPr>
        <w:t>为农田生态系统，占地区域主要为</w:t>
      </w:r>
      <w:r>
        <w:rPr>
          <w:rFonts w:hint="eastAsia" w:ascii="Times New Roman" w:hAnsi="Times New Roman" w:eastAsia="宋体" w:cs="Times New Roman"/>
          <w:color w:val="auto"/>
          <w:szCs w:val="21"/>
          <w:highlight w:val="none"/>
          <w:lang w:val="en-US" w:eastAsia="zh-CN"/>
        </w:rPr>
        <w:t>人工植被</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自然</w:t>
      </w:r>
      <w:r>
        <w:rPr>
          <w:rFonts w:hint="eastAsia" w:ascii="Times New Roman" w:hAnsi="Times New Roman" w:eastAsia="宋体" w:cs="Times New Roman"/>
          <w:color w:val="auto"/>
          <w:szCs w:val="21"/>
          <w:highlight w:val="none"/>
        </w:rPr>
        <w:t>植被</w:t>
      </w:r>
      <w:r>
        <w:rPr>
          <w:rFonts w:hint="eastAsia" w:cs="Times New Roman"/>
          <w:color w:val="auto"/>
          <w:szCs w:val="21"/>
          <w:highlight w:val="none"/>
          <w:lang w:val="en-US" w:eastAsia="zh-CN"/>
        </w:rPr>
        <w:t>占比较小</w:t>
      </w:r>
      <w:r>
        <w:rPr>
          <w:rFonts w:ascii="Times New Roman" w:hAnsi="Times New Roman" w:eastAsia="宋体" w:cs="Times New Roman"/>
          <w:color w:val="auto"/>
          <w:szCs w:val="21"/>
          <w:highlight w:val="none"/>
        </w:rPr>
        <w:t>，受影响的</w:t>
      </w:r>
      <w:r>
        <w:rPr>
          <w:rFonts w:hint="eastAsia" w:cs="Times New Roman"/>
          <w:color w:val="auto"/>
          <w:szCs w:val="21"/>
          <w:highlight w:val="none"/>
          <w:lang w:val="en-US" w:eastAsia="zh-CN"/>
        </w:rPr>
        <w:t>自然</w:t>
      </w:r>
      <w:r>
        <w:rPr>
          <w:rFonts w:ascii="Times New Roman" w:hAnsi="Times New Roman" w:eastAsia="宋体" w:cs="Times New Roman"/>
          <w:color w:val="auto"/>
          <w:szCs w:val="21"/>
          <w:highlight w:val="none"/>
        </w:rPr>
        <w:t>植被在评价区周边</w:t>
      </w:r>
      <w:r>
        <w:rPr>
          <w:rFonts w:hint="eastAsia" w:ascii="Times New Roman" w:hAnsi="Times New Roman" w:eastAsia="宋体" w:cs="Times New Roman"/>
          <w:color w:val="auto"/>
          <w:szCs w:val="21"/>
          <w:highlight w:val="none"/>
        </w:rPr>
        <w:t>广泛</w:t>
      </w:r>
      <w:r>
        <w:rPr>
          <w:rFonts w:hint="eastAsia" w:cs="Times New Roman"/>
          <w:color w:val="auto"/>
          <w:szCs w:val="21"/>
          <w:highlight w:val="none"/>
          <w:lang w:val="en-US" w:eastAsia="zh-CN"/>
        </w:rPr>
        <w:t>较广</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项目</w:t>
      </w:r>
      <w:r>
        <w:rPr>
          <w:rFonts w:ascii="Times New Roman" w:hAnsi="Times New Roman" w:eastAsia="宋体" w:cs="Times New Roman"/>
          <w:color w:val="auto"/>
          <w:szCs w:val="21"/>
          <w:highlight w:val="none"/>
        </w:rPr>
        <w:t>建设不会导致</w:t>
      </w:r>
      <w:r>
        <w:rPr>
          <w:rFonts w:hint="eastAsia" w:cs="Times New Roman"/>
          <w:color w:val="auto"/>
          <w:szCs w:val="21"/>
          <w:highlight w:val="none"/>
          <w:lang w:val="en-US" w:eastAsia="zh-CN"/>
        </w:rPr>
        <w:t>自然</w:t>
      </w:r>
      <w:r>
        <w:rPr>
          <w:rFonts w:ascii="Times New Roman" w:hAnsi="Times New Roman" w:eastAsia="宋体" w:cs="Times New Roman"/>
          <w:color w:val="auto"/>
          <w:szCs w:val="21"/>
          <w:highlight w:val="none"/>
        </w:rPr>
        <w:t>植被类型</w:t>
      </w:r>
      <w:r>
        <w:rPr>
          <w:rFonts w:hint="eastAsia" w:cs="Times New Roman"/>
          <w:color w:val="auto"/>
          <w:szCs w:val="21"/>
          <w:highlight w:val="none"/>
          <w:lang w:val="en-US" w:eastAsia="zh-CN"/>
        </w:rPr>
        <w:t>减少</w:t>
      </w:r>
      <w:r>
        <w:rPr>
          <w:rFonts w:ascii="Times New Roman" w:hAnsi="Times New Roman" w:eastAsia="宋体" w:cs="Times New Roman"/>
          <w:color w:val="auto"/>
          <w:szCs w:val="21"/>
          <w:highlight w:val="none"/>
        </w:rPr>
        <w:t>。机场建设使评价区内鸟类的觅食、停歇</w:t>
      </w:r>
      <w:r>
        <w:rPr>
          <w:rFonts w:hint="eastAsia" w:ascii="Times New Roman" w:hAnsi="Times New Roman" w:eastAsia="宋体" w:cs="Times New Roman"/>
          <w:color w:val="auto"/>
          <w:szCs w:val="21"/>
          <w:highlight w:val="none"/>
        </w:rPr>
        <w:t>等受到干扰</w:t>
      </w:r>
      <w:r>
        <w:rPr>
          <w:rFonts w:ascii="Times New Roman" w:hAnsi="Times New Roman" w:eastAsia="宋体" w:cs="Times New Roman"/>
          <w:color w:val="auto"/>
          <w:szCs w:val="21"/>
          <w:highlight w:val="none"/>
        </w:rPr>
        <w:t>，大多数动物会通过短距离迁移来避免项目施工对其造成的伤害，故项目施工对动植物影响不大。</w:t>
      </w:r>
    </w:p>
    <w:p w14:paraId="7B57E6E3">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3</w:t>
      </w:r>
      <w:r>
        <w:rPr>
          <w:rFonts w:hint="eastAsia" w:ascii="Times New Roman" w:hAnsi="Times New Roman" w:eastAsia="宋体" w:cs="Times New Roman"/>
          <w:color w:val="auto"/>
          <w:szCs w:val="21"/>
          <w:highlight w:val="none"/>
        </w:rPr>
        <w:t>）水土流失影响</w:t>
      </w:r>
    </w:p>
    <w:p w14:paraId="3287E6C9">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项目开挖回填破坏了原覆盖的植被保护层，改变了地表组成物质的结构、质地，一方面部分地面被硬化，使地面渗透性大大降低，地表径流增大，将增大对流经地表的冲刷，另一方面使部分地表变得裸露而松散，降低了其抗冲性和抗蚀性。工程施工还改变了原有地貌的坡长、坡度等因素，使坡面在水力、重力的综合作用下更容易发生侵蚀。</w:t>
      </w:r>
    </w:p>
    <w:p w14:paraId="12F144CA">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运营期工程分析</w:t>
      </w:r>
    </w:p>
    <w:p w14:paraId="32A9F287">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运营期噪声</w:t>
      </w:r>
    </w:p>
    <w:p w14:paraId="00C31670">
      <w:pPr>
        <w:adjustRightInd w:val="0"/>
        <w:ind w:firstLine="506" w:firstLineChars="200"/>
        <w:textAlignment w:val="baseline"/>
        <w:rPr>
          <w:snapToGrid w:val="0"/>
          <w:color w:val="auto"/>
          <w:spacing w:val="6"/>
          <w:kern w:val="0"/>
          <w:szCs w:val="20"/>
          <w:highlight w:val="none"/>
        </w:rPr>
      </w:pPr>
      <w:r>
        <w:rPr>
          <w:rFonts w:hint="eastAsia"/>
          <w:b/>
          <w:bCs/>
          <w:snapToGrid w:val="0"/>
          <w:color w:val="auto"/>
          <w:spacing w:val="6"/>
          <w:kern w:val="0"/>
          <w:szCs w:val="20"/>
          <w:highlight w:val="none"/>
        </w:rPr>
        <w:t>（1）航空器特性</w:t>
      </w:r>
    </w:p>
    <w:p w14:paraId="1C6B7C8F">
      <w:pPr>
        <w:adjustRightInd w:val="0"/>
        <w:ind w:firstLine="504" w:firstLineChars="200"/>
        <w:textAlignment w:val="baseline"/>
        <w:rPr>
          <w:snapToGrid w:val="0"/>
          <w:color w:val="auto"/>
          <w:spacing w:val="6"/>
          <w:kern w:val="0"/>
          <w:szCs w:val="20"/>
          <w:highlight w:val="none"/>
        </w:rPr>
      </w:pPr>
      <w:r>
        <w:rPr>
          <w:rFonts w:hint="eastAsia"/>
          <w:snapToGrid w:val="0"/>
          <w:color w:val="auto"/>
          <w:spacing w:val="6"/>
          <w:kern w:val="0"/>
          <w:szCs w:val="20"/>
          <w:highlight w:val="none"/>
        </w:rPr>
        <w:t>本项目通航业务类型主要包括空中游览观光、短途运输、农林作业、应急救援、包机飞行等通用航空业务。</w:t>
      </w:r>
      <w:r>
        <w:rPr>
          <w:rFonts w:hint="eastAsia"/>
          <w:snapToGrid w:val="0"/>
          <w:color w:val="auto"/>
          <w:spacing w:val="6"/>
          <w:kern w:val="0"/>
          <w:szCs w:val="20"/>
          <w:highlight w:val="none"/>
          <w:lang w:val="en-US" w:eastAsia="zh-CN"/>
        </w:rPr>
        <w:t>本期、</w:t>
      </w:r>
      <w:r>
        <w:rPr>
          <w:rFonts w:hint="eastAsia"/>
          <w:snapToGrid w:val="0"/>
          <w:color w:val="auto"/>
          <w:spacing w:val="6"/>
          <w:kern w:val="0"/>
          <w:szCs w:val="20"/>
          <w:highlight w:val="none"/>
        </w:rPr>
        <w:t>远期各类通航飞行活动拟用机型</w:t>
      </w:r>
      <w:r>
        <w:rPr>
          <w:rFonts w:hint="eastAsia"/>
          <w:snapToGrid w:val="0"/>
          <w:color w:val="auto"/>
          <w:spacing w:val="6"/>
          <w:kern w:val="0"/>
          <w:szCs w:val="20"/>
          <w:highlight w:val="none"/>
          <w:lang w:val="en-US" w:eastAsia="zh-CN"/>
        </w:rPr>
        <w:t>及</w:t>
      </w:r>
      <w:r>
        <w:rPr>
          <w:rFonts w:hint="eastAsia"/>
          <w:snapToGrid w:val="0"/>
          <w:color w:val="auto"/>
          <w:spacing w:val="6"/>
          <w:kern w:val="0"/>
          <w:szCs w:val="20"/>
          <w:highlight w:val="none"/>
        </w:rPr>
        <w:t>项目近、远期主要机型的参数性能详见</w:t>
      </w:r>
      <w:r>
        <w:rPr>
          <w:rFonts w:hint="eastAsia"/>
          <w:snapToGrid w:val="0"/>
          <w:color w:val="auto"/>
          <w:spacing w:val="6"/>
          <w:kern w:val="0"/>
          <w:szCs w:val="20"/>
          <w:highlight w:val="none"/>
          <w:lang w:val="en-US" w:eastAsia="zh-CN"/>
        </w:rPr>
        <w:t>下</w:t>
      </w:r>
      <w:r>
        <w:rPr>
          <w:rFonts w:hint="eastAsia"/>
          <w:snapToGrid w:val="0"/>
          <w:color w:val="auto"/>
          <w:spacing w:val="6"/>
          <w:kern w:val="0"/>
          <w:szCs w:val="20"/>
          <w:highlight w:val="none"/>
        </w:rPr>
        <w:t>表</w:t>
      </w:r>
      <w:r>
        <w:rPr>
          <w:rFonts w:hint="eastAsia"/>
          <w:snapToGrid w:val="0"/>
          <w:color w:val="auto"/>
          <w:spacing w:val="6"/>
          <w:kern w:val="0"/>
          <w:szCs w:val="20"/>
          <w:highlight w:val="none"/>
          <w:lang w:eastAsia="zh-CN"/>
        </w:rPr>
        <w:t>：</w:t>
      </w:r>
    </w:p>
    <w:p w14:paraId="3ABE2E12">
      <w:pPr>
        <w:spacing w:line="240" w:lineRule="auto"/>
        <w:ind w:hanging="10"/>
        <w:jc w:val="center"/>
        <w:rPr>
          <w:rFonts w:hint="eastAsia" w:ascii="黑体" w:hAnsi="黑体" w:eastAsia="黑体" w:cs="黑体"/>
          <w:color w:val="auto"/>
          <w:sz w:val="21"/>
          <w:szCs w:val="22"/>
          <w:highlight w:val="none"/>
        </w:rPr>
      </w:pPr>
      <w:r>
        <w:rPr>
          <w:rFonts w:hint="eastAsia" w:ascii="黑体" w:hAnsi="黑体" w:eastAsia="黑体" w:cs="黑体"/>
          <w:color w:val="auto"/>
          <w:sz w:val="21"/>
          <w:szCs w:val="22"/>
          <w:highlight w:val="none"/>
        </w:rPr>
        <w:t>表</w:t>
      </w:r>
      <w:r>
        <w:rPr>
          <w:rFonts w:hint="eastAsia" w:ascii="黑体" w:hAnsi="黑体" w:eastAsia="黑体" w:cs="黑体"/>
          <w:color w:val="auto"/>
          <w:sz w:val="21"/>
          <w:szCs w:val="22"/>
          <w:highlight w:val="none"/>
          <w:lang w:eastAsia="zh-CN"/>
        </w:rPr>
        <w:t>3.5</w:t>
      </w:r>
      <w:r>
        <w:rPr>
          <w:rFonts w:hint="eastAsia" w:ascii="黑体" w:hAnsi="黑体" w:eastAsia="黑体" w:cs="黑体"/>
          <w:color w:val="auto"/>
          <w:sz w:val="21"/>
          <w:szCs w:val="22"/>
          <w:highlight w:val="none"/>
          <w:lang w:val="en-US" w:eastAsia="zh-CN"/>
        </w:rPr>
        <w:t>-4</w:t>
      </w:r>
      <w:r>
        <w:rPr>
          <w:rFonts w:hint="eastAsia" w:ascii="黑体" w:hAnsi="黑体" w:eastAsia="黑体" w:cs="黑体"/>
          <w:color w:val="auto"/>
          <w:sz w:val="21"/>
          <w:szCs w:val="22"/>
          <w:highlight w:val="none"/>
        </w:rPr>
        <w:t xml:space="preserve">  项目主要代表机型一览表</w:t>
      </w:r>
    </w:p>
    <w:tbl>
      <w:tblPr>
        <w:tblStyle w:val="88"/>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88"/>
        <w:gridCol w:w="1260"/>
        <w:gridCol w:w="3421"/>
        <w:gridCol w:w="3565"/>
      </w:tblGrid>
      <w:tr w14:paraId="4D59D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33" w:type="pct"/>
            <w:vMerge w:val="restart"/>
            <w:tcBorders>
              <w:top w:val="single" w:color="auto" w:sz="4" w:space="0"/>
              <w:left w:val="single" w:color="auto" w:sz="4" w:space="0"/>
              <w:right w:val="single" w:color="auto" w:sz="4" w:space="0"/>
            </w:tcBorders>
            <w:vAlign w:val="center"/>
          </w:tcPr>
          <w:p w14:paraId="1AF3F7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default"/>
                <w:color w:val="auto"/>
                <w:kern w:val="0"/>
                <w:sz w:val="21"/>
                <w:szCs w:val="18"/>
                <w:highlight w:val="none"/>
              </w:rPr>
              <w:t>序号</w:t>
            </w:r>
          </w:p>
        </w:tc>
        <w:tc>
          <w:tcPr>
            <w:tcW w:w="713" w:type="pct"/>
            <w:vMerge w:val="restart"/>
            <w:tcBorders>
              <w:top w:val="single" w:color="auto" w:sz="4" w:space="0"/>
              <w:left w:val="single" w:color="auto" w:sz="4" w:space="0"/>
              <w:right w:val="single" w:color="auto" w:sz="4" w:space="0"/>
            </w:tcBorders>
            <w:vAlign w:val="center"/>
          </w:tcPr>
          <w:p w14:paraId="5A4E85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default"/>
                <w:color w:val="auto"/>
                <w:kern w:val="0"/>
                <w:sz w:val="21"/>
                <w:szCs w:val="18"/>
                <w:highlight w:val="none"/>
              </w:rPr>
              <w:t>业务类型</w:t>
            </w:r>
          </w:p>
        </w:tc>
        <w:tc>
          <w:tcPr>
            <w:tcW w:w="3953" w:type="pct"/>
            <w:gridSpan w:val="2"/>
            <w:tcBorders>
              <w:top w:val="single" w:color="auto" w:sz="4" w:space="0"/>
              <w:left w:val="single" w:color="auto" w:sz="4" w:space="0"/>
              <w:bottom w:val="single" w:color="auto" w:sz="4" w:space="0"/>
              <w:right w:val="single" w:color="auto" w:sz="4" w:space="0"/>
            </w:tcBorders>
            <w:vAlign w:val="center"/>
          </w:tcPr>
          <w:p w14:paraId="24E696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eastAsia"/>
                <w:color w:val="auto"/>
                <w:kern w:val="0"/>
                <w:sz w:val="21"/>
                <w:szCs w:val="18"/>
                <w:highlight w:val="none"/>
              </w:rPr>
              <w:t>拟用机型</w:t>
            </w:r>
          </w:p>
        </w:tc>
      </w:tr>
      <w:tr w14:paraId="74022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33" w:type="pct"/>
            <w:vMerge w:val="continue"/>
            <w:tcBorders>
              <w:top w:val="single" w:color="auto" w:sz="4" w:space="0"/>
              <w:left w:val="single" w:color="auto" w:sz="4" w:space="0"/>
              <w:right w:val="single" w:color="auto" w:sz="4" w:space="0"/>
            </w:tcBorders>
            <w:vAlign w:val="center"/>
          </w:tcPr>
          <w:p w14:paraId="2F3866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p>
        </w:tc>
        <w:tc>
          <w:tcPr>
            <w:tcW w:w="713" w:type="pct"/>
            <w:vMerge w:val="continue"/>
            <w:tcBorders>
              <w:top w:val="single" w:color="auto" w:sz="4" w:space="0"/>
              <w:left w:val="single" w:color="auto" w:sz="4" w:space="0"/>
              <w:right w:val="single" w:color="auto" w:sz="4" w:space="0"/>
            </w:tcBorders>
            <w:vAlign w:val="center"/>
          </w:tcPr>
          <w:p w14:paraId="259E28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p>
        </w:tc>
        <w:tc>
          <w:tcPr>
            <w:tcW w:w="1936" w:type="pct"/>
            <w:tcBorders>
              <w:top w:val="single" w:color="auto" w:sz="4" w:space="0"/>
              <w:left w:val="single" w:color="auto" w:sz="4" w:space="0"/>
              <w:bottom w:val="single" w:color="auto" w:sz="4" w:space="0"/>
              <w:right w:val="single" w:color="auto" w:sz="4" w:space="0"/>
            </w:tcBorders>
            <w:vAlign w:val="center"/>
          </w:tcPr>
          <w:p w14:paraId="3C0184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eastAsia"/>
                <w:color w:val="auto"/>
                <w:kern w:val="0"/>
                <w:sz w:val="21"/>
                <w:szCs w:val="18"/>
                <w:highlight w:val="none"/>
                <w:lang w:eastAsia="zh-CN"/>
              </w:rPr>
              <w:t>2030</w:t>
            </w:r>
            <w:r>
              <w:rPr>
                <w:rFonts w:hint="default"/>
                <w:color w:val="auto"/>
                <w:kern w:val="0"/>
                <w:sz w:val="21"/>
                <w:szCs w:val="18"/>
                <w:highlight w:val="none"/>
              </w:rPr>
              <w:t>年</w:t>
            </w:r>
          </w:p>
        </w:tc>
        <w:tc>
          <w:tcPr>
            <w:tcW w:w="2017" w:type="pct"/>
            <w:tcBorders>
              <w:top w:val="single" w:color="auto" w:sz="4" w:space="0"/>
              <w:left w:val="single" w:color="auto" w:sz="4" w:space="0"/>
              <w:bottom w:val="single" w:color="auto" w:sz="4" w:space="0"/>
              <w:right w:val="single" w:color="auto" w:sz="4" w:space="0"/>
            </w:tcBorders>
            <w:vAlign w:val="center"/>
          </w:tcPr>
          <w:p w14:paraId="12D798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default"/>
                <w:color w:val="auto"/>
                <w:kern w:val="0"/>
                <w:sz w:val="21"/>
                <w:szCs w:val="18"/>
                <w:highlight w:val="none"/>
              </w:rPr>
              <w:t>2050年</w:t>
            </w:r>
          </w:p>
        </w:tc>
      </w:tr>
      <w:tr w14:paraId="6B781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33" w:type="pct"/>
            <w:tcBorders>
              <w:top w:val="single" w:color="auto" w:sz="4" w:space="0"/>
              <w:left w:val="single" w:color="auto" w:sz="4" w:space="0"/>
              <w:bottom w:val="single" w:color="auto" w:sz="4" w:space="0"/>
              <w:right w:val="single" w:color="auto" w:sz="4" w:space="0"/>
            </w:tcBorders>
            <w:vAlign w:val="center"/>
          </w:tcPr>
          <w:p w14:paraId="30443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default"/>
                <w:color w:val="auto"/>
                <w:kern w:val="0"/>
                <w:sz w:val="21"/>
                <w:szCs w:val="18"/>
                <w:highlight w:val="none"/>
              </w:rPr>
              <w:t>1</w:t>
            </w:r>
          </w:p>
        </w:tc>
        <w:tc>
          <w:tcPr>
            <w:tcW w:w="713" w:type="pct"/>
            <w:tcBorders>
              <w:top w:val="single" w:color="auto" w:sz="4" w:space="0"/>
              <w:left w:val="single" w:color="auto" w:sz="4" w:space="0"/>
              <w:bottom w:val="single" w:color="auto" w:sz="4" w:space="0"/>
              <w:right w:val="single" w:color="auto" w:sz="4" w:space="0"/>
            </w:tcBorders>
            <w:vAlign w:val="center"/>
          </w:tcPr>
          <w:p w14:paraId="1D8BD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eastAsia"/>
                <w:color w:val="auto"/>
                <w:kern w:val="0"/>
                <w:sz w:val="21"/>
                <w:szCs w:val="18"/>
                <w:highlight w:val="none"/>
              </w:rPr>
              <w:t>空中游览</w:t>
            </w:r>
          </w:p>
        </w:tc>
        <w:tc>
          <w:tcPr>
            <w:tcW w:w="1936" w:type="pct"/>
            <w:tcBorders>
              <w:top w:val="single" w:color="auto" w:sz="4" w:space="0"/>
              <w:left w:val="single" w:color="auto" w:sz="4" w:space="0"/>
              <w:bottom w:val="single" w:color="auto" w:sz="4" w:space="0"/>
              <w:right w:val="single" w:color="auto" w:sz="4" w:space="0"/>
            </w:tcBorders>
            <w:vAlign w:val="center"/>
          </w:tcPr>
          <w:p w14:paraId="170714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default"/>
                <w:color w:val="auto"/>
                <w:kern w:val="0"/>
                <w:sz w:val="21"/>
                <w:szCs w:val="18"/>
                <w:highlight w:val="none"/>
              </w:rPr>
              <w:t>Y-12E</w:t>
            </w:r>
            <w:r>
              <w:rPr>
                <w:rFonts w:hint="eastAsia"/>
                <w:color w:val="auto"/>
                <w:kern w:val="0"/>
                <w:sz w:val="21"/>
                <w:szCs w:val="18"/>
                <w:highlight w:val="none"/>
              </w:rPr>
              <w:t>、R44（直升机）</w:t>
            </w:r>
          </w:p>
        </w:tc>
        <w:tc>
          <w:tcPr>
            <w:tcW w:w="2017" w:type="pct"/>
            <w:tcBorders>
              <w:top w:val="single" w:color="auto" w:sz="4" w:space="0"/>
              <w:left w:val="single" w:color="auto" w:sz="4" w:space="0"/>
              <w:bottom w:val="single" w:color="auto" w:sz="4" w:space="0"/>
              <w:right w:val="single" w:color="auto" w:sz="4" w:space="0"/>
            </w:tcBorders>
            <w:vAlign w:val="center"/>
          </w:tcPr>
          <w:p w14:paraId="3BBE92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default"/>
                <w:color w:val="auto"/>
                <w:kern w:val="0"/>
                <w:sz w:val="21"/>
                <w:szCs w:val="18"/>
                <w:highlight w:val="none"/>
              </w:rPr>
              <w:t>Y-12E</w:t>
            </w:r>
            <w:r>
              <w:rPr>
                <w:rFonts w:hint="eastAsia"/>
                <w:color w:val="auto"/>
                <w:kern w:val="0"/>
                <w:sz w:val="21"/>
                <w:szCs w:val="18"/>
                <w:highlight w:val="none"/>
              </w:rPr>
              <w:t>、R44（直升机）</w:t>
            </w:r>
          </w:p>
        </w:tc>
      </w:tr>
      <w:tr w14:paraId="715F1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33" w:type="pct"/>
            <w:tcBorders>
              <w:top w:val="single" w:color="auto" w:sz="4" w:space="0"/>
              <w:left w:val="single" w:color="auto" w:sz="4" w:space="0"/>
              <w:bottom w:val="single" w:color="auto" w:sz="4" w:space="0"/>
              <w:right w:val="single" w:color="auto" w:sz="4" w:space="0"/>
            </w:tcBorders>
            <w:vAlign w:val="center"/>
          </w:tcPr>
          <w:p w14:paraId="6BD302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default"/>
                <w:color w:val="auto"/>
                <w:kern w:val="0"/>
                <w:sz w:val="21"/>
                <w:szCs w:val="18"/>
                <w:highlight w:val="none"/>
              </w:rPr>
              <w:t>2</w:t>
            </w:r>
          </w:p>
        </w:tc>
        <w:tc>
          <w:tcPr>
            <w:tcW w:w="713" w:type="pct"/>
            <w:tcBorders>
              <w:top w:val="single" w:color="auto" w:sz="4" w:space="0"/>
              <w:left w:val="single" w:color="auto" w:sz="4" w:space="0"/>
              <w:bottom w:val="single" w:color="auto" w:sz="4" w:space="0"/>
              <w:right w:val="single" w:color="auto" w:sz="4" w:space="0"/>
            </w:tcBorders>
            <w:vAlign w:val="center"/>
          </w:tcPr>
          <w:p w14:paraId="18DFB7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eastAsia"/>
                <w:color w:val="auto"/>
                <w:kern w:val="0"/>
                <w:sz w:val="21"/>
                <w:szCs w:val="18"/>
                <w:highlight w:val="none"/>
              </w:rPr>
              <w:t>短途运输</w:t>
            </w:r>
          </w:p>
        </w:tc>
        <w:tc>
          <w:tcPr>
            <w:tcW w:w="1936" w:type="pct"/>
            <w:tcBorders>
              <w:top w:val="single" w:color="auto" w:sz="4" w:space="0"/>
              <w:left w:val="single" w:color="auto" w:sz="4" w:space="0"/>
              <w:bottom w:val="single" w:color="auto" w:sz="4" w:space="0"/>
              <w:right w:val="single" w:color="auto" w:sz="4" w:space="0"/>
            </w:tcBorders>
            <w:vAlign w:val="center"/>
          </w:tcPr>
          <w:p w14:paraId="623253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default"/>
                <w:color w:val="auto"/>
                <w:kern w:val="0"/>
                <w:sz w:val="21"/>
                <w:szCs w:val="18"/>
                <w:highlight w:val="none"/>
              </w:rPr>
              <w:t>Y-12E</w:t>
            </w:r>
            <w:r>
              <w:rPr>
                <w:rFonts w:hint="eastAsia"/>
                <w:color w:val="auto"/>
                <w:kern w:val="0"/>
                <w:sz w:val="21"/>
                <w:szCs w:val="18"/>
                <w:highlight w:val="none"/>
              </w:rPr>
              <w:t>、国王350ER</w:t>
            </w:r>
          </w:p>
        </w:tc>
        <w:tc>
          <w:tcPr>
            <w:tcW w:w="2017" w:type="pct"/>
            <w:tcBorders>
              <w:top w:val="single" w:color="auto" w:sz="4" w:space="0"/>
              <w:left w:val="single" w:color="auto" w:sz="4" w:space="0"/>
              <w:bottom w:val="single" w:color="auto" w:sz="4" w:space="0"/>
              <w:right w:val="single" w:color="auto" w:sz="4" w:space="0"/>
            </w:tcBorders>
            <w:vAlign w:val="center"/>
          </w:tcPr>
          <w:p w14:paraId="2AE188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default"/>
                <w:color w:val="auto"/>
                <w:kern w:val="0"/>
                <w:sz w:val="21"/>
                <w:szCs w:val="18"/>
                <w:highlight w:val="none"/>
              </w:rPr>
              <w:t>Y-12E</w:t>
            </w:r>
            <w:r>
              <w:rPr>
                <w:rFonts w:hint="eastAsia"/>
                <w:color w:val="auto"/>
                <w:kern w:val="0"/>
                <w:sz w:val="21"/>
                <w:szCs w:val="18"/>
                <w:highlight w:val="none"/>
              </w:rPr>
              <w:t>、国王350ER</w:t>
            </w:r>
          </w:p>
        </w:tc>
      </w:tr>
      <w:tr w14:paraId="042E7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33" w:type="pct"/>
            <w:tcBorders>
              <w:top w:val="single" w:color="auto" w:sz="4" w:space="0"/>
              <w:left w:val="single" w:color="auto" w:sz="4" w:space="0"/>
              <w:bottom w:val="single" w:color="auto" w:sz="4" w:space="0"/>
              <w:right w:val="single" w:color="auto" w:sz="4" w:space="0"/>
            </w:tcBorders>
            <w:vAlign w:val="center"/>
          </w:tcPr>
          <w:p w14:paraId="06AFF4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default"/>
                <w:color w:val="auto"/>
                <w:kern w:val="0"/>
                <w:sz w:val="21"/>
                <w:szCs w:val="18"/>
                <w:highlight w:val="none"/>
              </w:rPr>
              <w:t>3</w:t>
            </w:r>
          </w:p>
        </w:tc>
        <w:tc>
          <w:tcPr>
            <w:tcW w:w="713" w:type="pct"/>
            <w:tcBorders>
              <w:top w:val="single" w:color="auto" w:sz="4" w:space="0"/>
              <w:left w:val="single" w:color="auto" w:sz="4" w:space="0"/>
              <w:bottom w:val="single" w:color="auto" w:sz="4" w:space="0"/>
              <w:right w:val="single" w:color="auto" w:sz="4" w:space="0"/>
            </w:tcBorders>
            <w:vAlign w:val="center"/>
          </w:tcPr>
          <w:p w14:paraId="35F2BB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eastAsia"/>
                <w:color w:val="auto"/>
                <w:kern w:val="0"/>
                <w:sz w:val="21"/>
                <w:szCs w:val="18"/>
                <w:highlight w:val="none"/>
              </w:rPr>
              <w:t>农林作业</w:t>
            </w:r>
          </w:p>
        </w:tc>
        <w:tc>
          <w:tcPr>
            <w:tcW w:w="1936" w:type="pct"/>
            <w:tcBorders>
              <w:top w:val="single" w:color="auto" w:sz="4" w:space="0"/>
              <w:left w:val="single" w:color="auto" w:sz="4" w:space="0"/>
              <w:bottom w:val="single" w:color="auto" w:sz="4" w:space="0"/>
              <w:right w:val="single" w:color="auto" w:sz="4" w:space="0"/>
            </w:tcBorders>
            <w:vAlign w:val="center"/>
          </w:tcPr>
          <w:p w14:paraId="09AC18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eastAsia"/>
                <w:color w:val="auto"/>
                <w:kern w:val="0"/>
                <w:sz w:val="21"/>
                <w:szCs w:val="18"/>
                <w:highlight w:val="none"/>
              </w:rPr>
              <w:t>Y5-B</w:t>
            </w:r>
          </w:p>
        </w:tc>
        <w:tc>
          <w:tcPr>
            <w:tcW w:w="2017" w:type="pct"/>
            <w:tcBorders>
              <w:top w:val="single" w:color="auto" w:sz="4" w:space="0"/>
              <w:left w:val="single" w:color="auto" w:sz="4" w:space="0"/>
              <w:bottom w:val="single" w:color="auto" w:sz="4" w:space="0"/>
              <w:right w:val="single" w:color="auto" w:sz="4" w:space="0"/>
            </w:tcBorders>
            <w:vAlign w:val="center"/>
          </w:tcPr>
          <w:p w14:paraId="47CD6A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eastAsia"/>
                <w:color w:val="auto"/>
                <w:kern w:val="0"/>
                <w:sz w:val="21"/>
                <w:szCs w:val="18"/>
                <w:highlight w:val="none"/>
              </w:rPr>
              <w:t>Y5-B</w:t>
            </w:r>
          </w:p>
        </w:tc>
      </w:tr>
      <w:tr w14:paraId="391D3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33" w:type="pct"/>
            <w:tcBorders>
              <w:top w:val="single" w:color="auto" w:sz="4" w:space="0"/>
              <w:left w:val="single" w:color="auto" w:sz="4" w:space="0"/>
              <w:bottom w:val="single" w:color="auto" w:sz="4" w:space="0"/>
              <w:right w:val="single" w:color="auto" w:sz="4" w:space="0"/>
            </w:tcBorders>
            <w:vAlign w:val="center"/>
          </w:tcPr>
          <w:p w14:paraId="7168DC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default"/>
                <w:color w:val="auto"/>
                <w:kern w:val="0"/>
                <w:sz w:val="21"/>
                <w:szCs w:val="18"/>
                <w:highlight w:val="none"/>
              </w:rPr>
              <w:t>4</w:t>
            </w:r>
          </w:p>
        </w:tc>
        <w:tc>
          <w:tcPr>
            <w:tcW w:w="713" w:type="pct"/>
            <w:tcBorders>
              <w:top w:val="single" w:color="auto" w:sz="4" w:space="0"/>
              <w:left w:val="single" w:color="auto" w:sz="4" w:space="0"/>
              <w:bottom w:val="single" w:color="auto" w:sz="4" w:space="0"/>
              <w:right w:val="single" w:color="auto" w:sz="4" w:space="0"/>
            </w:tcBorders>
            <w:vAlign w:val="center"/>
          </w:tcPr>
          <w:p w14:paraId="762F4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eastAsia"/>
                <w:color w:val="auto"/>
                <w:kern w:val="0"/>
                <w:sz w:val="21"/>
                <w:szCs w:val="18"/>
                <w:highlight w:val="none"/>
              </w:rPr>
              <w:t>应急救援</w:t>
            </w:r>
          </w:p>
        </w:tc>
        <w:tc>
          <w:tcPr>
            <w:tcW w:w="1936" w:type="pct"/>
            <w:tcBorders>
              <w:top w:val="single" w:color="auto" w:sz="4" w:space="0"/>
              <w:left w:val="single" w:color="auto" w:sz="4" w:space="0"/>
              <w:bottom w:val="single" w:color="auto" w:sz="4" w:space="0"/>
              <w:right w:val="single" w:color="auto" w:sz="4" w:space="0"/>
            </w:tcBorders>
            <w:vAlign w:val="center"/>
          </w:tcPr>
          <w:p w14:paraId="37C761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eastAsia"/>
                <w:color w:val="auto"/>
                <w:kern w:val="0"/>
                <w:sz w:val="21"/>
                <w:szCs w:val="18"/>
                <w:highlight w:val="none"/>
              </w:rPr>
              <w:t>M171（直升机）</w:t>
            </w:r>
          </w:p>
        </w:tc>
        <w:tc>
          <w:tcPr>
            <w:tcW w:w="2017" w:type="pct"/>
            <w:tcBorders>
              <w:top w:val="single" w:color="auto" w:sz="4" w:space="0"/>
              <w:left w:val="single" w:color="auto" w:sz="4" w:space="0"/>
              <w:bottom w:val="single" w:color="auto" w:sz="4" w:space="0"/>
              <w:right w:val="single" w:color="auto" w:sz="4" w:space="0"/>
            </w:tcBorders>
            <w:vAlign w:val="center"/>
          </w:tcPr>
          <w:p w14:paraId="339EF0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eastAsia"/>
                <w:color w:val="auto"/>
                <w:kern w:val="0"/>
                <w:sz w:val="21"/>
                <w:szCs w:val="18"/>
                <w:highlight w:val="none"/>
              </w:rPr>
              <w:t>M171（直升机）</w:t>
            </w:r>
          </w:p>
        </w:tc>
      </w:tr>
      <w:tr w14:paraId="2CDE7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333" w:type="pct"/>
            <w:tcBorders>
              <w:top w:val="single" w:color="auto" w:sz="4" w:space="0"/>
              <w:left w:val="single" w:color="auto" w:sz="4" w:space="0"/>
              <w:bottom w:val="single" w:color="auto" w:sz="4" w:space="0"/>
              <w:right w:val="single" w:color="auto" w:sz="4" w:space="0"/>
            </w:tcBorders>
            <w:vAlign w:val="center"/>
          </w:tcPr>
          <w:p w14:paraId="6C2289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default"/>
                <w:color w:val="auto"/>
                <w:kern w:val="0"/>
                <w:sz w:val="21"/>
                <w:szCs w:val="18"/>
                <w:highlight w:val="none"/>
              </w:rPr>
              <w:t>5</w:t>
            </w:r>
          </w:p>
        </w:tc>
        <w:tc>
          <w:tcPr>
            <w:tcW w:w="713" w:type="pct"/>
            <w:tcBorders>
              <w:top w:val="single" w:color="auto" w:sz="4" w:space="0"/>
              <w:left w:val="single" w:color="auto" w:sz="4" w:space="0"/>
              <w:bottom w:val="single" w:color="auto" w:sz="4" w:space="0"/>
              <w:right w:val="single" w:color="auto" w:sz="4" w:space="0"/>
            </w:tcBorders>
            <w:vAlign w:val="center"/>
          </w:tcPr>
          <w:p w14:paraId="14E25A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eastAsia"/>
                <w:color w:val="auto"/>
                <w:kern w:val="0"/>
                <w:sz w:val="21"/>
                <w:szCs w:val="18"/>
                <w:highlight w:val="none"/>
              </w:rPr>
              <w:t>包机飞行</w:t>
            </w:r>
          </w:p>
        </w:tc>
        <w:tc>
          <w:tcPr>
            <w:tcW w:w="1936" w:type="pct"/>
            <w:tcBorders>
              <w:top w:val="single" w:color="auto" w:sz="4" w:space="0"/>
              <w:left w:val="single" w:color="auto" w:sz="4" w:space="0"/>
              <w:bottom w:val="single" w:color="auto" w:sz="4" w:space="0"/>
              <w:right w:val="single" w:color="auto" w:sz="4" w:space="0"/>
            </w:tcBorders>
            <w:vAlign w:val="center"/>
          </w:tcPr>
          <w:p w14:paraId="747534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default"/>
                <w:color w:val="auto"/>
                <w:kern w:val="0"/>
                <w:sz w:val="21"/>
                <w:szCs w:val="18"/>
                <w:highlight w:val="none"/>
              </w:rPr>
              <w:t>国王350</w:t>
            </w:r>
            <w:r>
              <w:rPr>
                <w:rFonts w:hint="eastAsia"/>
                <w:color w:val="auto"/>
                <w:kern w:val="0"/>
                <w:sz w:val="21"/>
                <w:szCs w:val="18"/>
                <w:highlight w:val="none"/>
              </w:rPr>
              <w:t>ER</w:t>
            </w:r>
          </w:p>
        </w:tc>
        <w:tc>
          <w:tcPr>
            <w:tcW w:w="2017" w:type="pct"/>
            <w:tcBorders>
              <w:top w:val="single" w:color="auto" w:sz="4" w:space="0"/>
              <w:left w:val="single" w:color="auto" w:sz="4" w:space="0"/>
              <w:bottom w:val="single" w:color="auto" w:sz="4" w:space="0"/>
              <w:right w:val="single" w:color="auto" w:sz="4" w:space="0"/>
            </w:tcBorders>
            <w:vAlign w:val="center"/>
          </w:tcPr>
          <w:p w14:paraId="727A0C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kern w:val="0"/>
                <w:sz w:val="21"/>
                <w:szCs w:val="18"/>
                <w:highlight w:val="none"/>
              </w:rPr>
            </w:pPr>
            <w:r>
              <w:rPr>
                <w:rFonts w:hint="default"/>
                <w:color w:val="auto"/>
                <w:kern w:val="0"/>
                <w:sz w:val="21"/>
                <w:szCs w:val="18"/>
                <w:highlight w:val="none"/>
              </w:rPr>
              <w:t>国王350</w:t>
            </w:r>
            <w:r>
              <w:rPr>
                <w:rFonts w:hint="eastAsia"/>
                <w:color w:val="auto"/>
                <w:kern w:val="0"/>
                <w:sz w:val="21"/>
                <w:szCs w:val="18"/>
                <w:highlight w:val="none"/>
              </w:rPr>
              <w:t>ER</w:t>
            </w:r>
          </w:p>
        </w:tc>
      </w:tr>
    </w:tbl>
    <w:p w14:paraId="4593CF4D">
      <w:pPr>
        <w:spacing w:before="120" w:beforeLines="50" w:after="120" w:line="240" w:lineRule="auto"/>
        <w:ind w:firstLine="0"/>
        <w:jc w:val="center"/>
        <w:rPr>
          <w:rFonts w:ascii="黑体" w:hAnsi="黑体" w:eastAsia="黑体"/>
          <w:bCs/>
          <w:color w:val="auto"/>
          <w:spacing w:val="6"/>
          <w:position w:val="10"/>
          <w:sz w:val="21"/>
          <w:szCs w:val="20"/>
          <w:highlight w:val="none"/>
        </w:rPr>
      </w:pPr>
      <w:bookmarkStart w:id="219" w:name="_Ref533371859"/>
      <w:r>
        <w:rPr>
          <w:rFonts w:ascii="黑体" w:hAnsi="黑体" w:eastAsia="黑体"/>
          <w:bCs/>
          <w:color w:val="auto"/>
          <w:spacing w:val="6"/>
          <w:position w:val="10"/>
          <w:sz w:val="21"/>
          <w:szCs w:val="20"/>
          <w:highlight w:val="none"/>
        </w:rPr>
        <w:t>表</w:t>
      </w:r>
      <w:bookmarkEnd w:id="219"/>
      <w:r>
        <w:rPr>
          <w:rFonts w:hint="eastAsia" w:ascii="黑体" w:hAnsi="黑体" w:eastAsia="黑体"/>
          <w:bCs/>
          <w:color w:val="auto"/>
          <w:spacing w:val="6"/>
          <w:position w:val="10"/>
          <w:sz w:val="21"/>
          <w:szCs w:val="20"/>
          <w:highlight w:val="none"/>
          <w:lang w:eastAsia="zh-CN"/>
        </w:rPr>
        <w:t>3.5</w:t>
      </w:r>
      <w:r>
        <w:rPr>
          <w:rFonts w:hint="eastAsia" w:ascii="黑体" w:hAnsi="黑体" w:eastAsia="黑体"/>
          <w:bCs/>
          <w:color w:val="auto"/>
          <w:spacing w:val="6"/>
          <w:position w:val="10"/>
          <w:sz w:val="21"/>
          <w:szCs w:val="20"/>
          <w:highlight w:val="none"/>
          <w:lang w:val="en-US" w:eastAsia="zh-CN"/>
        </w:rPr>
        <w:t>-5</w:t>
      </w:r>
      <w:r>
        <w:rPr>
          <w:rFonts w:ascii="黑体" w:hAnsi="黑体" w:eastAsia="黑体"/>
          <w:bCs/>
          <w:color w:val="auto"/>
          <w:spacing w:val="6"/>
          <w:position w:val="10"/>
          <w:sz w:val="21"/>
          <w:szCs w:val="20"/>
          <w:highlight w:val="none"/>
        </w:rPr>
        <w:t xml:space="preserve">  项目主要代表机性能一览表</w:t>
      </w:r>
    </w:p>
    <w:tbl>
      <w:tblPr>
        <w:tblStyle w:val="160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2776"/>
        <w:gridCol w:w="1686"/>
        <w:gridCol w:w="990"/>
        <w:gridCol w:w="2152"/>
      </w:tblGrid>
      <w:tr w14:paraId="5AE9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96" w:type="pct"/>
            <w:vMerge w:val="restart"/>
            <w:vAlign w:val="center"/>
          </w:tcPr>
          <w:p w14:paraId="037E992C">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b/>
                <w:color w:val="auto"/>
                <w:kern w:val="0"/>
                <w:sz w:val="21"/>
                <w:szCs w:val="18"/>
                <w:highlight w:val="none"/>
              </w:rPr>
            </w:pPr>
            <w:r>
              <w:rPr>
                <w:rFonts w:hint="default" w:ascii="Times New Roman" w:hAnsi="Times New Roman" w:eastAsiaTheme="minorEastAsia"/>
                <w:b/>
                <w:color w:val="auto"/>
                <w:kern w:val="0"/>
                <w:sz w:val="21"/>
                <w:szCs w:val="18"/>
                <w:highlight w:val="none"/>
              </w:rPr>
              <w:t>分类</w:t>
            </w:r>
          </w:p>
        </w:tc>
        <w:tc>
          <w:tcPr>
            <w:tcW w:w="1571" w:type="pct"/>
            <w:vMerge w:val="restart"/>
            <w:vAlign w:val="center"/>
          </w:tcPr>
          <w:p w14:paraId="1E68C7F4">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b/>
                <w:color w:val="auto"/>
                <w:kern w:val="0"/>
                <w:sz w:val="21"/>
                <w:szCs w:val="18"/>
                <w:highlight w:val="none"/>
              </w:rPr>
            </w:pPr>
            <w:r>
              <w:rPr>
                <w:rFonts w:hint="default" w:ascii="Times New Roman" w:hAnsi="Times New Roman" w:eastAsiaTheme="minorEastAsia"/>
                <w:b/>
                <w:color w:val="auto"/>
                <w:kern w:val="0"/>
                <w:sz w:val="21"/>
                <w:szCs w:val="18"/>
                <w:highlight w:val="none"/>
              </w:rPr>
              <w:t>飞机型号</w:t>
            </w:r>
          </w:p>
        </w:tc>
        <w:tc>
          <w:tcPr>
            <w:tcW w:w="1514" w:type="pct"/>
            <w:gridSpan w:val="2"/>
            <w:vAlign w:val="center"/>
          </w:tcPr>
          <w:p w14:paraId="3EB0AC52">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b/>
                <w:color w:val="auto"/>
                <w:kern w:val="0"/>
                <w:sz w:val="21"/>
                <w:szCs w:val="18"/>
                <w:highlight w:val="none"/>
              </w:rPr>
            </w:pPr>
            <w:r>
              <w:rPr>
                <w:rFonts w:hint="default" w:ascii="Times New Roman" w:hAnsi="Times New Roman" w:eastAsiaTheme="minorEastAsia"/>
                <w:b/>
                <w:color w:val="auto"/>
                <w:kern w:val="0"/>
                <w:sz w:val="21"/>
                <w:szCs w:val="18"/>
                <w:highlight w:val="none"/>
              </w:rPr>
              <w:t>发动机</w:t>
            </w:r>
          </w:p>
        </w:tc>
        <w:tc>
          <w:tcPr>
            <w:tcW w:w="1218" w:type="pct"/>
            <w:vMerge w:val="restart"/>
            <w:vAlign w:val="center"/>
          </w:tcPr>
          <w:p w14:paraId="5ABDF540">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b/>
                <w:color w:val="auto"/>
                <w:kern w:val="0"/>
                <w:sz w:val="21"/>
                <w:szCs w:val="18"/>
                <w:highlight w:val="none"/>
              </w:rPr>
            </w:pPr>
            <w:r>
              <w:rPr>
                <w:rFonts w:hint="default" w:ascii="Times New Roman" w:hAnsi="Times New Roman" w:eastAsiaTheme="minorEastAsia"/>
                <w:b/>
                <w:color w:val="auto"/>
                <w:kern w:val="0"/>
                <w:sz w:val="21"/>
                <w:szCs w:val="18"/>
                <w:highlight w:val="none"/>
              </w:rPr>
              <w:t>起飞全重（kg）</w:t>
            </w:r>
          </w:p>
        </w:tc>
      </w:tr>
      <w:tr w14:paraId="428D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96" w:type="pct"/>
            <w:vMerge w:val="continue"/>
            <w:vAlign w:val="center"/>
          </w:tcPr>
          <w:p w14:paraId="5C1CA334">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p>
        </w:tc>
        <w:tc>
          <w:tcPr>
            <w:tcW w:w="1571" w:type="pct"/>
            <w:vMerge w:val="continue"/>
            <w:vAlign w:val="center"/>
          </w:tcPr>
          <w:p w14:paraId="793FDE70">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p>
        </w:tc>
        <w:tc>
          <w:tcPr>
            <w:tcW w:w="954" w:type="pct"/>
            <w:vAlign w:val="center"/>
          </w:tcPr>
          <w:p w14:paraId="174224D6">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b/>
                <w:color w:val="auto"/>
                <w:kern w:val="0"/>
                <w:sz w:val="21"/>
                <w:szCs w:val="18"/>
                <w:highlight w:val="none"/>
              </w:rPr>
            </w:pPr>
            <w:r>
              <w:rPr>
                <w:rFonts w:hint="default" w:ascii="Times New Roman" w:hAnsi="Times New Roman" w:eastAsiaTheme="minorEastAsia"/>
                <w:b/>
                <w:color w:val="auto"/>
                <w:kern w:val="0"/>
                <w:sz w:val="21"/>
                <w:szCs w:val="18"/>
                <w:highlight w:val="none"/>
              </w:rPr>
              <w:t>型号</w:t>
            </w:r>
          </w:p>
        </w:tc>
        <w:tc>
          <w:tcPr>
            <w:tcW w:w="559" w:type="pct"/>
            <w:vAlign w:val="center"/>
          </w:tcPr>
          <w:p w14:paraId="05FE77D2">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b/>
                <w:color w:val="auto"/>
                <w:kern w:val="0"/>
                <w:sz w:val="21"/>
                <w:szCs w:val="18"/>
                <w:highlight w:val="none"/>
              </w:rPr>
            </w:pPr>
            <w:r>
              <w:rPr>
                <w:rFonts w:hint="default" w:ascii="Times New Roman" w:hAnsi="Times New Roman" w:eastAsiaTheme="minorEastAsia"/>
                <w:b/>
                <w:color w:val="auto"/>
                <w:kern w:val="0"/>
                <w:sz w:val="21"/>
                <w:szCs w:val="18"/>
                <w:highlight w:val="none"/>
              </w:rPr>
              <w:t>数量</w:t>
            </w:r>
          </w:p>
        </w:tc>
        <w:tc>
          <w:tcPr>
            <w:tcW w:w="1218" w:type="pct"/>
            <w:vMerge w:val="continue"/>
            <w:vAlign w:val="center"/>
          </w:tcPr>
          <w:p w14:paraId="42A1C832">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p>
        </w:tc>
      </w:tr>
      <w:tr w14:paraId="10DD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pct"/>
            <w:vMerge w:val="restart"/>
            <w:vAlign w:val="center"/>
          </w:tcPr>
          <w:p w14:paraId="07272D58">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kern w:val="0"/>
                <w:sz w:val="21"/>
                <w:szCs w:val="18"/>
                <w:highlight w:val="none"/>
              </w:rPr>
              <w:t>固定翼</w:t>
            </w:r>
          </w:p>
        </w:tc>
        <w:tc>
          <w:tcPr>
            <w:tcW w:w="1571" w:type="pct"/>
            <w:vAlign w:val="center"/>
          </w:tcPr>
          <w:p w14:paraId="19D21681">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kern w:val="0"/>
                <w:sz w:val="21"/>
                <w:szCs w:val="18"/>
                <w:highlight w:val="none"/>
              </w:rPr>
              <w:t>国王350ER</w:t>
            </w:r>
          </w:p>
        </w:tc>
        <w:tc>
          <w:tcPr>
            <w:tcW w:w="954" w:type="pct"/>
            <w:vAlign w:val="center"/>
          </w:tcPr>
          <w:p w14:paraId="2D157137">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sz w:val="21"/>
                <w:szCs w:val="18"/>
                <w:highlight w:val="none"/>
                <w:shd w:val="clear" w:color="auto" w:fill="FFFFFF"/>
              </w:rPr>
              <w:t>PT6A-60A</w:t>
            </w:r>
          </w:p>
        </w:tc>
        <w:tc>
          <w:tcPr>
            <w:tcW w:w="559" w:type="pct"/>
            <w:vAlign w:val="center"/>
          </w:tcPr>
          <w:p w14:paraId="59CD7EAB">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kern w:val="0"/>
                <w:sz w:val="21"/>
                <w:szCs w:val="18"/>
                <w:highlight w:val="none"/>
              </w:rPr>
              <w:t>2</w:t>
            </w:r>
          </w:p>
        </w:tc>
        <w:tc>
          <w:tcPr>
            <w:tcW w:w="1218" w:type="pct"/>
            <w:vAlign w:val="center"/>
          </w:tcPr>
          <w:p w14:paraId="78A4FDA9">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kern w:val="0"/>
                <w:sz w:val="21"/>
                <w:szCs w:val="18"/>
                <w:highlight w:val="none"/>
              </w:rPr>
              <w:t>6800</w:t>
            </w:r>
          </w:p>
        </w:tc>
      </w:tr>
      <w:tr w14:paraId="0724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pct"/>
            <w:vMerge w:val="continue"/>
            <w:vAlign w:val="center"/>
          </w:tcPr>
          <w:p w14:paraId="29178C96">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bookmarkStart w:id="220" w:name="_Hlk46955100"/>
          </w:p>
        </w:tc>
        <w:tc>
          <w:tcPr>
            <w:tcW w:w="1571" w:type="pct"/>
            <w:vAlign w:val="center"/>
          </w:tcPr>
          <w:p w14:paraId="553E2303">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kern w:val="0"/>
                <w:sz w:val="21"/>
                <w:szCs w:val="18"/>
                <w:highlight w:val="none"/>
              </w:rPr>
              <w:t>Y-5B</w:t>
            </w:r>
          </w:p>
        </w:tc>
        <w:tc>
          <w:tcPr>
            <w:tcW w:w="954" w:type="pct"/>
            <w:vAlign w:val="center"/>
          </w:tcPr>
          <w:p w14:paraId="04C27841">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sz w:val="21"/>
                <w:szCs w:val="18"/>
                <w:highlight w:val="none"/>
                <w:shd w:val="clear" w:color="auto" w:fill="FFFFFF"/>
              </w:rPr>
              <w:t>ASz-62IR</w:t>
            </w:r>
          </w:p>
        </w:tc>
        <w:tc>
          <w:tcPr>
            <w:tcW w:w="559" w:type="pct"/>
            <w:vAlign w:val="center"/>
          </w:tcPr>
          <w:p w14:paraId="17DBF09D">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kern w:val="0"/>
                <w:sz w:val="21"/>
                <w:szCs w:val="18"/>
                <w:highlight w:val="none"/>
              </w:rPr>
              <w:t>1</w:t>
            </w:r>
          </w:p>
        </w:tc>
        <w:tc>
          <w:tcPr>
            <w:tcW w:w="1218" w:type="pct"/>
            <w:vAlign w:val="center"/>
          </w:tcPr>
          <w:p w14:paraId="087BC525">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kern w:val="0"/>
                <w:sz w:val="21"/>
                <w:szCs w:val="18"/>
                <w:highlight w:val="none"/>
              </w:rPr>
              <w:t>5250</w:t>
            </w:r>
          </w:p>
        </w:tc>
      </w:tr>
      <w:bookmarkEnd w:id="220"/>
      <w:tr w14:paraId="61D7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pct"/>
            <w:vMerge w:val="continue"/>
            <w:vAlign w:val="center"/>
          </w:tcPr>
          <w:p w14:paraId="62C05FB6">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p>
        </w:tc>
        <w:tc>
          <w:tcPr>
            <w:tcW w:w="1571" w:type="pct"/>
            <w:vAlign w:val="center"/>
          </w:tcPr>
          <w:p w14:paraId="48A9EF76">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kern w:val="0"/>
                <w:sz w:val="21"/>
                <w:szCs w:val="18"/>
                <w:highlight w:val="none"/>
              </w:rPr>
              <w:t>Y-12E</w:t>
            </w:r>
          </w:p>
        </w:tc>
        <w:tc>
          <w:tcPr>
            <w:tcW w:w="954" w:type="pct"/>
            <w:vAlign w:val="center"/>
          </w:tcPr>
          <w:p w14:paraId="3AFFA21F">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kern w:val="0"/>
                <w:sz w:val="21"/>
                <w:szCs w:val="18"/>
                <w:highlight w:val="none"/>
              </w:rPr>
              <w:t>PT6A-135A</w:t>
            </w:r>
          </w:p>
        </w:tc>
        <w:tc>
          <w:tcPr>
            <w:tcW w:w="559" w:type="pct"/>
            <w:vAlign w:val="center"/>
          </w:tcPr>
          <w:p w14:paraId="5464D359">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kern w:val="0"/>
                <w:sz w:val="21"/>
                <w:szCs w:val="18"/>
                <w:highlight w:val="none"/>
              </w:rPr>
              <w:t>2</w:t>
            </w:r>
          </w:p>
        </w:tc>
        <w:tc>
          <w:tcPr>
            <w:tcW w:w="1218" w:type="pct"/>
            <w:vAlign w:val="center"/>
          </w:tcPr>
          <w:p w14:paraId="1479085B">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sz w:val="21"/>
                <w:szCs w:val="18"/>
                <w:highlight w:val="none"/>
                <w:shd w:val="clear" w:color="auto" w:fill="F7F8F9"/>
              </w:rPr>
            </w:pPr>
            <w:r>
              <w:rPr>
                <w:rFonts w:hint="default" w:ascii="Times New Roman" w:hAnsi="Times New Roman" w:eastAsiaTheme="minorEastAsia"/>
                <w:color w:val="auto"/>
                <w:kern w:val="0"/>
                <w:sz w:val="21"/>
                <w:szCs w:val="18"/>
                <w:highlight w:val="none"/>
              </w:rPr>
              <w:t>5670</w:t>
            </w:r>
          </w:p>
        </w:tc>
      </w:tr>
      <w:tr w14:paraId="5071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pct"/>
            <w:vMerge w:val="restart"/>
            <w:vAlign w:val="center"/>
          </w:tcPr>
          <w:p w14:paraId="035C6973">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kern w:val="0"/>
                <w:sz w:val="21"/>
                <w:szCs w:val="18"/>
                <w:highlight w:val="none"/>
              </w:rPr>
              <w:t>直升机</w:t>
            </w:r>
          </w:p>
        </w:tc>
        <w:tc>
          <w:tcPr>
            <w:tcW w:w="1571" w:type="pct"/>
            <w:vAlign w:val="center"/>
          </w:tcPr>
          <w:p w14:paraId="4AC94874">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kern w:val="0"/>
                <w:sz w:val="21"/>
                <w:szCs w:val="18"/>
                <w:highlight w:val="none"/>
              </w:rPr>
              <w:t>R44</w:t>
            </w:r>
          </w:p>
        </w:tc>
        <w:tc>
          <w:tcPr>
            <w:tcW w:w="954" w:type="pct"/>
            <w:vAlign w:val="center"/>
          </w:tcPr>
          <w:p w14:paraId="22740383">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kern w:val="0"/>
                <w:sz w:val="21"/>
                <w:szCs w:val="18"/>
                <w:highlight w:val="none"/>
              </w:rPr>
              <w:t>莱康明Q-540</w:t>
            </w:r>
          </w:p>
        </w:tc>
        <w:tc>
          <w:tcPr>
            <w:tcW w:w="559" w:type="pct"/>
            <w:vAlign w:val="center"/>
          </w:tcPr>
          <w:p w14:paraId="6FA9790B">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kern w:val="0"/>
                <w:sz w:val="21"/>
                <w:szCs w:val="18"/>
                <w:highlight w:val="none"/>
              </w:rPr>
              <w:t>1</w:t>
            </w:r>
          </w:p>
        </w:tc>
        <w:tc>
          <w:tcPr>
            <w:tcW w:w="1218" w:type="pct"/>
            <w:vAlign w:val="center"/>
          </w:tcPr>
          <w:p w14:paraId="3A742BBA">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kern w:val="0"/>
                <w:sz w:val="21"/>
                <w:szCs w:val="18"/>
                <w:highlight w:val="none"/>
              </w:rPr>
              <w:t>1090</w:t>
            </w:r>
          </w:p>
        </w:tc>
      </w:tr>
      <w:tr w14:paraId="53E2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pct"/>
            <w:vMerge w:val="continue"/>
            <w:vAlign w:val="center"/>
          </w:tcPr>
          <w:p w14:paraId="2CB7D415">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p>
        </w:tc>
        <w:tc>
          <w:tcPr>
            <w:tcW w:w="1571" w:type="pct"/>
            <w:vAlign w:val="center"/>
          </w:tcPr>
          <w:p w14:paraId="2794FD6B">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kern w:val="0"/>
                <w:sz w:val="21"/>
                <w:szCs w:val="18"/>
                <w:highlight w:val="none"/>
              </w:rPr>
              <w:t>M171</w:t>
            </w:r>
          </w:p>
        </w:tc>
        <w:tc>
          <w:tcPr>
            <w:tcW w:w="954" w:type="pct"/>
            <w:vAlign w:val="center"/>
          </w:tcPr>
          <w:p w14:paraId="29742B89">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kern w:val="0"/>
                <w:sz w:val="21"/>
                <w:szCs w:val="18"/>
                <w:highlight w:val="none"/>
              </w:rPr>
              <w:t>TV3-117VM</w:t>
            </w:r>
          </w:p>
        </w:tc>
        <w:tc>
          <w:tcPr>
            <w:tcW w:w="559" w:type="pct"/>
            <w:vAlign w:val="center"/>
          </w:tcPr>
          <w:p w14:paraId="5A4880BE">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kern w:val="0"/>
                <w:sz w:val="21"/>
                <w:szCs w:val="18"/>
                <w:highlight w:val="none"/>
              </w:rPr>
              <w:t>2</w:t>
            </w:r>
          </w:p>
        </w:tc>
        <w:tc>
          <w:tcPr>
            <w:tcW w:w="1218" w:type="pct"/>
            <w:vAlign w:val="center"/>
          </w:tcPr>
          <w:p w14:paraId="3A0337BD">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Theme="minorEastAsia"/>
                <w:color w:val="auto"/>
                <w:kern w:val="0"/>
                <w:sz w:val="21"/>
                <w:szCs w:val="18"/>
                <w:highlight w:val="none"/>
              </w:rPr>
            </w:pPr>
            <w:r>
              <w:rPr>
                <w:rFonts w:hint="default" w:ascii="Times New Roman" w:hAnsi="Times New Roman" w:eastAsiaTheme="minorEastAsia"/>
                <w:color w:val="auto"/>
                <w:kern w:val="0"/>
                <w:sz w:val="21"/>
                <w:szCs w:val="18"/>
                <w:highlight w:val="none"/>
              </w:rPr>
              <w:t>13011</w:t>
            </w:r>
          </w:p>
        </w:tc>
      </w:tr>
    </w:tbl>
    <w:p w14:paraId="7B845C8F">
      <w:pPr>
        <w:ind w:firstLine="482" w:firstLineChars="200"/>
        <w:rPr>
          <w:b/>
          <w:bCs/>
          <w:color w:val="auto"/>
          <w:highlight w:val="none"/>
        </w:rPr>
      </w:pPr>
      <w:r>
        <w:rPr>
          <w:rFonts w:hint="eastAsia"/>
          <w:b/>
          <w:bCs/>
          <w:color w:val="auto"/>
          <w:highlight w:val="none"/>
          <w:lang w:eastAsia="zh-CN"/>
        </w:rPr>
        <w:t>（</w:t>
      </w:r>
      <w:r>
        <w:rPr>
          <w:b/>
          <w:bCs/>
          <w:color w:val="auto"/>
          <w:highlight w:val="none"/>
        </w:rPr>
        <w:t>2）飞机噪声源强的确定</w:t>
      </w:r>
    </w:p>
    <w:p w14:paraId="3F17231F">
      <w:pPr>
        <w:ind w:firstLine="480" w:firstLineChars="200"/>
        <w:rPr>
          <w:color w:val="auto"/>
          <w:highlight w:val="none"/>
        </w:rPr>
      </w:pPr>
      <w:r>
        <w:rPr>
          <w:rFonts w:hint="eastAsia" w:ascii="宋体" w:hAnsi="宋体" w:cs="宋体"/>
          <w:color w:val="auto"/>
          <w:highlight w:val="none"/>
        </w:rPr>
        <w:t>①</w:t>
      </w:r>
      <w:r>
        <w:rPr>
          <w:color w:val="auto"/>
          <w:highlight w:val="none"/>
        </w:rPr>
        <w:t>确定源强的依据</w:t>
      </w:r>
    </w:p>
    <w:p w14:paraId="60AA6C9B">
      <w:pPr>
        <w:ind w:firstLine="480" w:firstLineChars="200"/>
        <w:rPr>
          <w:color w:val="auto"/>
          <w:highlight w:val="none"/>
        </w:rPr>
      </w:pPr>
      <w:r>
        <w:rPr>
          <w:color w:val="auto"/>
          <w:highlight w:val="none"/>
        </w:rPr>
        <w:t>本次评价从两个方面得到拟用机型的噪声源强数据，一是依靠《航空器型号和适航合格审定噪声规定（2002年3月20日发布，2018年1月12日第二次修订）》，将该种飞机应达到的适航噪声标准确定为本次评价的飞机噪声源强；二是通过具有同类型发动机、相近的发动机功率和最大起飞重量的国外机型进行类比，然后依靠类比机型进行估算。</w:t>
      </w:r>
    </w:p>
    <w:p w14:paraId="605CF860">
      <w:pPr>
        <w:ind w:firstLine="480" w:firstLineChars="200"/>
        <w:rPr>
          <w:color w:val="auto"/>
          <w:highlight w:val="none"/>
        </w:rPr>
      </w:pPr>
      <w:r>
        <w:rPr>
          <w:rFonts w:hint="eastAsia" w:ascii="宋体" w:hAnsi="宋体" w:cs="宋体"/>
          <w:color w:val="auto"/>
          <w:highlight w:val="none"/>
        </w:rPr>
        <w:t>②</w:t>
      </w:r>
      <w:r>
        <w:rPr>
          <w:color w:val="auto"/>
          <w:highlight w:val="none"/>
        </w:rPr>
        <w:t>飞机噪声适航限值</w:t>
      </w:r>
    </w:p>
    <w:p w14:paraId="4290BBAE">
      <w:pPr>
        <w:ind w:firstLine="480" w:firstLineChars="200"/>
        <w:rPr>
          <w:color w:val="auto"/>
          <w:highlight w:val="none"/>
        </w:rPr>
      </w:pPr>
      <w:r>
        <w:rPr>
          <w:color w:val="auto"/>
          <w:highlight w:val="none"/>
        </w:rPr>
        <w:t>i）固定翼飞机适航限值</w:t>
      </w:r>
    </w:p>
    <w:p w14:paraId="748601B0">
      <w:pPr>
        <w:ind w:firstLine="480" w:firstLineChars="200"/>
        <w:rPr>
          <w:color w:val="auto"/>
          <w:highlight w:val="none"/>
        </w:rPr>
      </w:pPr>
      <w:r>
        <w:rPr>
          <w:color w:val="auto"/>
          <w:highlight w:val="none"/>
        </w:rPr>
        <w:t>机场近期采用的固定翼飞机均为螺旋桨小飞机，根据《航空器型号和适航合格审定噪声规定（2002年3月20日发布，2018年1月12日第二次修订）》，“螺旋桨小飞机及螺旋桨通勤类飞机”是指最大起飞重量为8618公斤（19000磅）及其以下的螺旋桨驱动的飞机，其噪声限值应符合下条：</w:t>
      </w:r>
    </w:p>
    <w:p w14:paraId="0FA20CAA">
      <w:pPr>
        <w:ind w:firstLine="480" w:firstLineChars="200"/>
        <w:rPr>
          <w:color w:val="auto"/>
          <w:highlight w:val="none"/>
        </w:rPr>
      </w:pPr>
      <w:r>
        <w:rPr>
          <w:color w:val="auto"/>
          <w:highlight w:val="none"/>
        </w:rPr>
        <w:t>附件G：对在1988年11月17日或之后进行合格审定螺旋桨小飞机和螺旋桨通勤类飞机噪声适航限值如下：</w:t>
      </w:r>
    </w:p>
    <w:p w14:paraId="72FFC0E8">
      <w:pPr>
        <w:ind w:firstLine="480" w:firstLineChars="200"/>
        <w:rPr>
          <w:color w:val="auto"/>
          <w:highlight w:val="none"/>
        </w:rPr>
      </w:pPr>
      <w:r>
        <w:rPr>
          <w:color w:val="auto"/>
          <w:highlight w:val="none"/>
        </w:rPr>
        <w:t>a）第G36.301条（b）：对于2007年4月15日以前收到最初型号合格审定申请的单发飞机和多发飞机，当重量等于或者低于600公斤（1320磅）时，噪声级不得超过76dB（A）。若重量大于600公斤（1320磅），噪声限制随飞机重量的对数线性地增加，重量每增大一倍，噪声增加9.83dB（A），直至达到88dB（A）。之后保持不变，直至达到8618公斤（19000磅）（含）。</w:t>
      </w:r>
    </w:p>
    <w:p w14:paraId="09D3B81C">
      <w:pPr>
        <w:ind w:firstLine="480" w:firstLineChars="200"/>
        <w:rPr>
          <w:color w:val="auto"/>
          <w:highlight w:val="none"/>
        </w:rPr>
      </w:pPr>
      <w:r>
        <w:rPr>
          <w:color w:val="auto"/>
          <w:highlight w:val="none"/>
        </w:rPr>
        <w:t>b）第G36.301条（c）：对于2007年4月15日及以后收到最初型号合格审定申请的单发飞机，</w:t>
      </w:r>
      <w:r>
        <w:rPr>
          <w:rFonts w:hint="eastAsia"/>
          <w:color w:val="auto"/>
          <w:highlight w:val="none"/>
          <w:lang w:eastAsia="zh-CN"/>
        </w:rPr>
        <w:t>当</w:t>
      </w:r>
      <w:r>
        <w:rPr>
          <w:color w:val="auto"/>
          <w:highlight w:val="none"/>
        </w:rPr>
        <w:t>最大审定起飞重量等于或者低于570公斤（1257磅）时，噪声级不得超过70dB（A）。若重量大于570公斤（1257磅），噪声限制随飞机重量的对数线性地增加，重量每增大一倍，噪声增加10.75dB（A）。直至达到85dB（A）。之后保持不变，直至8618公斤（19000磅）（含）。</w:t>
      </w:r>
      <w:r>
        <w:rPr>
          <w:rFonts w:hint="eastAsia"/>
          <w:color w:val="auto"/>
          <w:highlight w:val="none"/>
          <w:lang w:val="en-US" w:eastAsia="zh-CN"/>
        </w:rPr>
        <w:t>下</w:t>
      </w:r>
      <w:r>
        <w:rPr>
          <w:color w:val="auto"/>
          <w:highlight w:val="none"/>
        </w:rPr>
        <w:t>图给出了噪声级限制与飞机重量的曲线。</w:t>
      </w:r>
    </w:p>
    <w:p w14:paraId="30873C70">
      <w:pPr>
        <w:ind w:firstLine="480" w:firstLineChars="200"/>
        <w:rPr>
          <w:color w:val="auto"/>
          <w:highlight w:val="none"/>
        </w:rPr>
      </w:pPr>
      <w:r>
        <w:rPr>
          <w:rFonts w:hint="eastAsia" w:ascii="Times New Roman" w:eastAsia="宋体"/>
          <w:color w:val="auto"/>
          <w:highlight w:val="none"/>
          <w:lang w:val="en-US" w:eastAsia="zh-CN"/>
        </w:rPr>
        <w:t>本</w:t>
      </w:r>
      <w:r>
        <w:rPr>
          <w:color w:val="auto"/>
          <w:highlight w:val="none"/>
        </w:rPr>
        <w:t>项目拟选用的固定翼飞机（Y5B、Y-12、国王350</w:t>
      </w:r>
      <w:r>
        <w:rPr>
          <w:rFonts w:hint="eastAsia"/>
          <w:color w:val="auto"/>
          <w:highlight w:val="none"/>
        </w:rPr>
        <w:t>ER</w:t>
      </w:r>
      <w:r>
        <w:rPr>
          <w:color w:val="auto"/>
          <w:highlight w:val="none"/>
        </w:rPr>
        <w:t>等）重量均在8618kg以下，根据AC-21-AA-2010-11R5《民用航空器及航空发动机型号书写指南》中，获得CAAC的型号合格证，均在2007年4月15日以前，因此噪声适航限值应能满足附录G中第G36.301条（b）的规定。</w:t>
      </w:r>
    </w:p>
    <w:p w14:paraId="332AAE87">
      <w:pPr>
        <w:ind w:firstLine="480" w:firstLineChars="200"/>
        <w:rPr>
          <w:color w:val="auto"/>
          <w:highlight w:val="none"/>
        </w:rPr>
      </w:pPr>
      <w:r>
        <w:rPr>
          <w:color w:val="auto"/>
          <w:highlight w:val="none"/>
        </w:rPr>
        <w:t>测量点位置：噪声</w:t>
      </w:r>
      <w:r>
        <w:rPr>
          <w:rFonts w:hint="eastAsia"/>
          <w:color w:val="auto"/>
          <w:highlight w:val="none"/>
          <w:lang w:eastAsia="zh-CN"/>
        </w:rPr>
        <w:t>测量点</w:t>
      </w:r>
      <w:r>
        <w:rPr>
          <w:color w:val="auto"/>
          <w:highlight w:val="none"/>
        </w:rPr>
        <w:t>位于跑道中心线的延长线上距起飞滑跑点2500米（8200英尺）处。飞机必须在垂直于测量点方向±10°和在基准高度±20%范围之内飞越测量点。飞行试验程序应以批准的最大起飞重量开始并且在每飞行一小时之后必须把重量调整到最大重量。每次飞行试验必须以最佳爬升率的指示空速Vy±9</w:t>
      </w:r>
      <w:r>
        <w:rPr>
          <w:rFonts w:hint="eastAsia"/>
          <w:color w:val="auto"/>
          <w:highlight w:val="none"/>
        </w:rPr>
        <w:t>km</w:t>
      </w:r>
      <w:r>
        <w:rPr>
          <w:color w:val="auto"/>
          <w:highlight w:val="none"/>
        </w:rPr>
        <w:t>/</w:t>
      </w:r>
      <w:r>
        <w:rPr>
          <w:rFonts w:hint="eastAsia"/>
          <w:color w:val="auto"/>
          <w:highlight w:val="none"/>
        </w:rPr>
        <w:t>h</w:t>
      </w:r>
      <w:r>
        <w:rPr>
          <w:color w:val="auto"/>
          <w:highlight w:val="none"/>
        </w:rPr>
        <w:t>（5</w:t>
      </w:r>
      <w:r>
        <w:rPr>
          <w:rFonts w:hint="eastAsia"/>
          <w:color w:val="auto"/>
          <w:highlight w:val="none"/>
        </w:rPr>
        <w:t>kn</w:t>
      </w:r>
      <w:r>
        <w:rPr>
          <w:color w:val="auto"/>
          <w:highlight w:val="none"/>
        </w:rPr>
        <w:t>）进行。</w:t>
      </w:r>
    </w:p>
    <w:p w14:paraId="66041977">
      <w:pPr>
        <w:ind w:firstLine="480" w:firstLineChars="200"/>
        <w:rPr>
          <w:color w:val="auto"/>
          <w:highlight w:val="none"/>
        </w:rPr>
      </w:pPr>
      <w:r>
        <w:rPr>
          <w:rFonts w:hint="eastAsia"/>
          <w:color w:val="auto"/>
          <w:highlight w:val="none"/>
          <w:lang w:eastAsia="zh-CN"/>
        </w:rPr>
        <w:t>ⅱ</w:t>
      </w:r>
      <w:r>
        <w:rPr>
          <w:color w:val="auto"/>
          <w:highlight w:val="none"/>
        </w:rPr>
        <w:t>）直升机噪声适航限值</w:t>
      </w:r>
    </w:p>
    <w:p w14:paraId="2282EF12">
      <w:pPr>
        <w:ind w:firstLine="480" w:firstLineChars="200"/>
        <w:rPr>
          <w:color w:val="auto"/>
          <w:highlight w:val="none"/>
        </w:rPr>
      </w:pPr>
      <w:r>
        <w:rPr>
          <w:color w:val="auto"/>
          <w:highlight w:val="none"/>
        </w:rPr>
        <w:t>根据《航空器型号和适航合格审定噪声规定（2002年3月20日发布，2018年1月12日第二次修订）》，在2018年1月12日之前申请颁发直升机的初级类、正常类、运输类或者限制类型号合格证的，其噪声水平不大于本规定附件H的第H36.305条或者附件J的第J36.305条规定的第二阶段噪声</w:t>
      </w:r>
      <w:r>
        <w:rPr>
          <w:rFonts w:hint="eastAsia"/>
          <w:color w:val="auto"/>
          <w:highlight w:val="none"/>
          <w:lang w:eastAsia="zh-CN"/>
        </w:rPr>
        <w:t>限值</w:t>
      </w:r>
      <w:r>
        <w:rPr>
          <w:color w:val="auto"/>
          <w:highlight w:val="none"/>
        </w:rPr>
        <w:t>。</w:t>
      </w:r>
    </w:p>
    <w:p w14:paraId="7DB510D7">
      <w:pPr>
        <w:ind w:firstLine="480" w:firstLineChars="200"/>
        <w:rPr>
          <w:color w:val="auto"/>
          <w:highlight w:val="none"/>
        </w:rPr>
      </w:pPr>
      <w:r>
        <w:rPr>
          <w:color w:val="auto"/>
          <w:highlight w:val="none"/>
        </w:rPr>
        <w:t>附件H第H36.305条：经计算得到的直升机在本附件规定的测量点上的噪声级不超过以下值，不同重量之间适当内插。</w:t>
      </w:r>
    </w:p>
    <w:p w14:paraId="24B2C81B">
      <w:pPr>
        <w:autoSpaceDE w:val="0"/>
        <w:autoSpaceDN w:val="0"/>
        <w:adjustRightInd w:val="0"/>
        <w:ind w:firstLine="480" w:firstLineChars="200"/>
        <w:rPr>
          <w:color w:val="auto"/>
          <w:highlight w:val="none"/>
        </w:rPr>
      </w:pPr>
      <w:r>
        <w:rPr>
          <w:color w:val="auto"/>
          <w:highlight w:val="none"/>
        </w:rPr>
        <w:t>对起飞最大起飞重量大于或等于80000公斤（176370磅）时为109EPNdB。重量每减半噪声级降低3.0EPNdB，直至89EPNdB，并在之后</w:t>
      </w:r>
      <w:r>
        <w:rPr>
          <w:rFonts w:hint="eastAsia"/>
          <w:color w:val="auto"/>
          <w:highlight w:val="none"/>
          <w:lang w:eastAsia="zh-CN"/>
        </w:rPr>
        <w:t>限值</w:t>
      </w:r>
      <w:r>
        <w:rPr>
          <w:color w:val="auto"/>
          <w:highlight w:val="none"/>
        </w:rPr>
        <w:t>恒定不变。</w:t>
      </w:r>
    </w:p>
    <w:p w14:paraId="335CC2D2">
      <w:pPr>
        <w:autoSpaceDE w:val="0"/>
        <w:autoSpaceDN w:val="0"/>
        <w:adjustRightInd w:val="0"/>
        <w:ind w:firstLine="0"/>
        <w:rPr>
          <w:color w:val="auto"/>
          <w:highlight w:val="none"/>
        </w:rPr>
      </w:pPr>
      <w:r>
        <w:rPr>
          <w:color w:val="auto"/>
          <w:highlight w:val="none"/>
        </w:rPr>
        <w:t>对飞越最大起飞重量大于或等于80000公斤（176370磅）时，为108EPNdB。重量每减半噪声级降低3.0EPNdB，直至88EPNdB，并在之后</w:t>
      </w:r>
      <w:r>
        <w:rPr>
          <w:rFonts w:hint="eastAsia"/>
          <w:color w:val="auto"/>
          <w:highlight w:val="none"/>
          <w:lang w:eastAsia="zh-CN"/>
        </w:rPr>
        <w:t>限值</w:t>
      </w:r>
      <w:r>
        <w:rPr>
          <w:color w:val="auto"/>
          <w:highlight w:val="none"/>
        </w:rPr>
        <w:t>恒定不变。</w:t>
      </w:r>
    </w:p>
    <w:p w14:paraId="1E43630F">
      <w:pPr>
        <w:autoSpaceDE w:val="0"/>
        <w:autoSpaceDN w:val="0"/>
        <w:adjustRightInd w:val="0"/>
        <w:ind w:firstLine="480" w:firstLineChars="200"/>
        <w:rPr>
          <w:color w:val="auto"/>
          <w:highlight w:val="none"/>
        </w:rPr>
      </w:pPr>
      <w:r>
        <w:rPr>
          <w:color w:val="auto"/>
          <w:highlight w:val="none"/>
        </w:rPr>
        <w:t>对进近最大起飞重量大于或等于80000公斤（176370磅）时，为110EPNdB。重量每减半噪声级降低3.0EPNdB，直至90EPNdB，并在之后</w:t>
      </w:r>
      <w:r>
        <w:rPr>
          <w:rFonts w:hint="eastAsia"/>
          <w:color w:val="auto"/>
          <w:highlight w:val="none"/>
          <w:lang w:eastAsia="zh-CN"/>
        </w:rPr>
        <w:t>限值</w:t>
      </w:r>
      <w:r>
        <w:rPr>
          <w:color w:val="auto"/>
          <w:highlight w:val="none"/>
        </w:rPr>
        <w:t>恒定不变。</w:t>
      </w:r>
    </w:p>
    <w:p w14:paraId="7F83B288">
      <w:pPr>
        <w:ind w:firstLine="480" w:firstLineChars="200"/>
        <w:rPr>
          <w:color w:val="auto"/>
          <w:highlight w:val="none"/>
        </w:rPr>
      </w:pPr>
      <w:r>
        <w:rPr>
          <w:color w:val="auto"/>
          <w:highlight w:val="none"/>
        </w:rPr>
        <w:t>附件J第J36.305条：对于按本附件进行噪声试验的、最大审定起飞重量不超过3175 公斤（7000 磅）的初级类、正常类、运输类和限用类直升机，第二阶段噪声限制的规定如下：</w:t>
      </w:r>
    </w:p>
    <w:p w14:paraId="6D2B83CA">
      <w:pPr>
        <w:autoSpaceDE w:val="0"/>
        <w:autoSpaceDN w:val="0"/>
        <w:adjustRightInd w:val="0"/>
        <w:ind w:firstLine="480" w:firstLineChars="200"/>
        <w:rPr>
          <w:color w:val="auto"/>
          <w:highlight w:val="none"/>
        </w:rPr>
      </w:pPr>
      <w:r>
        <w:rPr>
          <w:color w:val="auto"/>
          <w:highlight w:val="none"/>
        </w:rPr>
        <w:t>噪声合格审定申请的最大审定起飞质量（重量）在788公斤（1737磅）以下是82dB（SEL），之后重量每增加一倍，限制值增加3.0dB。该限制值可由下面的方程计算：</w:t>
      </w:r>
    </w:p>
    <w:p w14:paraId="5D78266A">
      <w:pPr>
        <w:ind w:left="634" w:leftChars="264" w:firstLine="840" w:firstLineChars="350"/>
        <w:rPr>
          <w:i/>
          <w:iCs/>
          <w:color w:val="auto"/>
          <w:highlight w:val="none"/>
        </w:rPr>
      </w:pPr>
      <w:r>
        <w:rPr>
          <w:i/>
          <w:iCs/>
          <w:color w:val="auto"/>
          <w:highlight w:val="none"/>
        </w:rPr>
        <w:t>L</w:t>
      </w:r>
      <w:r>
        <w:rPr>
          <w:i/>
          <w:iCs/>
          <w:color w:val="auto"/>
          <w:highlight w:val="none"/>
          <w:vertAlign w:val="subscript"/>
        </w:rPr>
        <w:t>AE</w:t>
      </w:r>
      <w:r>
        <w:rPr>
          <w:i/>
          <w:iCs/>
          <w:color w:val="auto"/>
          <w:highlight w:val="none"/>
        </w:rPr>
        <w:t>（limit</w:t>
      </w:r>
      <w:r>
        <w:rPr>
          <w:rFonts w:hint="eastAsia"/>
          <w:i/>
          <w:iCs/>
          <w:color w:val="auto"/>
          <w:highlight w:val="none"/>
          <w:lang w:eastAsia="zh-CN"/>
        </w:rPr>
        <w:t>)</w:t>
      </w:r>
      <w:r>
        <w:rPr>
          <w:i/>
          <w:iCs/>
          <w:color w:val="auto"/>
          <w:highlight w:val="none"/>
        </w:rPr>
        <w:t>=</w:t>
      </w:r>
      <w:r>
        <w:rPr>
          <w:i w:val="0"/>
          <w:iCs w:val="0"/>
          <w:color w:val="auto"/>
          <w:highlight w:val="none"/>
        </w:rPr>
        <w:t>82</w:t>
      </w:r>
      <w:r>
        <w:rPr>
          <w:i/>
          <w:iCs/>
          <w:color w:val="auto"/>
          <w:highlight w:val="none"/>
        </w:rPr>
        <w:t>+</w:t>
      </w:r>
      <w:r>
        <w:rPr>
          <w:i w:val="0"/>
          <w:iCs w:val="0"/>
          <w:color w:val="auto"/>
          <w:highlight w:val="none"/>
        </w:rPr>
        <w:t>3.0</w:t>
      </w:r>
      <w:r>
        <w:rPr>
          <w:i/>
          <w:iCs/>
          <w:color w:val="auto"/>
          <w:highlight w:val="none"/>
        </w:rPr>
        <w:t>[log</w:t>
      </w:r>
      <w:r>
        <w:rPr>
          <w:i/>
          <w:iCs/>
          <w:color w:val="auto"/>
          <w:highlight w:val="none"/>
          <w:vertAlign w:val="subscript"/>
        </w:rPr>
        <w:t>10</w:t>
      </w:r>
      <w:r>
        <w:rPr>
          <w:i/>
          <w:iCs/>
          <w:color w:val="auto"/>
          <w:highlight w:val="none"/>
        </w:rPr>
        <w:t>（MTOW/</w:t>
      </w:r>
      <w:r>
        <w:rPr>
          <w:i w:val="0"/>
          <w:iCs w:val="0"/>
          <w:color w:val="auto"/>
          <w:highlight w:val="none"/>
        </w:rPr>
        <w:t>788</w:t>
      </w:r>
      <w:r>
        <w:rPr>
          <w:rFonts w:hint="eastAsia"/>
          <w:i/>
          <w:iCs/>
          <w:color w:val="auto"/>
          <w:highlight w:val="none"/>
          <w:lang w:eastAsia="zh-CN"/>
        </w:rPr>
        <w:t>)</w:t>
      </w:r>
      <w:r>
        <w:rPr>
          <w:i/>
          <w:iCs/>
          <w:color w:val="auto"/>
          <w:highlight w:val="none"/>
        </w:rPr>
        <w:t>/log</w:t>
      </w:r>
      <w:r>
        <w:rPr>
          <w:i w:val="0"/>
          <w:iCs w:val="0"/>
          <w:color w:val="auto"/>
          <w:highlight w:val="none"/>
          <w:vertAlign w:val="subscript"/>
        </w:rPr>
        <w:t>10</w:t>
      </w:r>
      <w:r>
        <w:rPr>
          <w:i w:val="0"/>
          <w:iCs w:val="0"/>
          <w:color w:val="auto"/>
          <w:highlight w:val="none"/>
        </w:rPr>
        <w:t>（2</w:t>
      </w:r>
      <w:r>
        <w:rPr>
          <w:rFonts w:hint="eastAsia"/>
          <w:i w:val="0"/>
          <w:iCs w:val="0"/>
          <w:color w:val="auto"/>
          <w:highlight w:val="none"/>
          <w:lang w:eastAsia="zh-CN"/>
        </w:rPr>
        <w:t>）</w:t>
      </w:r>
      <w:r>
        <w:rPr>
          <w:i/>
          <w:iCs/>
          <w:color w:val="auto"/>
          <w:highlight w:val="none"/>
        </w:rPr>
        <w:t>]dB</w:t>
      </w:r>
      <w:r>
        <w:rPr>
          <w:rFonts w:hint="eastAsia"/>
          <w:i/>
          <w:iCs/>
          <w:color w:val="auto"/>
          <w:highlight w:val="none"/>
          <w:lang w:eastAsia="zh-CN"/>
        </w:rPr>
        <w:t>;</w:t>
      </w:r>
    </w:p>
    <w:p w14:paraId="0EC54808">
      <w:pPr>
        <w:ind w:firstLine="480" w:firstLineChars="200"/>
        <w:rPr>
          <w:color w:val="auto"/>
          <w:highlight w:val="none"/>
        </w:rPr>
      </w:pPr>
      <w:r>
        <w:rPr>
          <w:color w:val="auto"/>
          <w:highlight w:val="none"/>
        </w:rPr>
        <w:t>式中：</w:t>
      </w:r>
      <w:r>
        <w:rPr>
          <w:i/>
          <w:iCs/>
          <w:color w:val="auto"/>
          <w:highlight w:val="none"/>
        </w:rPr>
        <w:t>L</w:t>
      </w:r>
      <w:r>
        <w:rPr>
          <w:i/>
          <w:iCs/>
          <w:color w:val="auto"/>
          <w:highlight w:val="none"/>
          <w:vertAlign w:val="subscript"/>
        </w:rPr>
        <w:t>AE</w:t>
      </w:r>
      <w:r>
        <w:rPr>
          <w:color w:val="auto"/>
          <w:highlight w:val="none"/>
        </w:rPr>
        <w:t>——声暴露级</w:t>
      </w:r>
      <w:r>
        <w:rPr>
          <w:i/>
          <w:iCs/>
          <w:color w:val="auto"/>
          <w:highlight w:val="none"/>
        </w:rPr>
        <w:t>SEL</w:t>
      </w:r>
      <w:r>
        <w:rPr>
          <w:color w:val="auto"/>
          <w:highlight w:val="none"/>
        </w:rPr>
        <w:t>，单位dB；</w:t>
      </w:r>
    </w:p>
    <w:p w14:paraId="68F8549C">
      <w:pPr>
        <w:ind w:firstLine="1200" w:firstLineChars="500"/>
        <w:rPr>
          <w:color w:val="auto"/>
          <w:highlight w:val="none"/>
        </w:rPr>
      </w:pPr>
      <w:r>
        <w:rPr>
          <w:i/>
          <w:iCs/>
          <w:color w:val="auto"/>
          <w:highlight w:val="none"/>
        </w:rPr>
        <w:t>MTOW</w:t>
      </w:r>
      <w:r>
        <w:rPr>
          <w:color w:val="auto"/>
          <w:highlight w:val="none"/>
        </w:rPr>
        <w:t>——最大起飞重量，单位kg。</w:t>
      </w:r>
    </w:p>
    <w:p w14:paraId="41B12246">
      <w:pPr>
        <w:ind w:firstLine="480" w:firstLineChars="200"/>
        <w:rPr>
          <w:color w:val="auto"/>
          <w:highlight w:val="none"/>
        </w:rPr>
      </w:pPr>
      <w:r>
        <w:rPr>
          <w:color w:val="auto"/>
          <w:highlight w:val="none"/>
        </w:rPr>
        <w:t>项目所用直升机机型中M171为13000kg，</w:t>
      </w:r>
      <w:bookmarkStart w:id="221" w:name="OLE_LINK6"/>
      <w:r>
        <w:rPr>
          <w:color w:val="auto"/>
          <w:highlight w:val="none"/>
        </w:rPr>
        <w:t>大于3175kg</w:t>
      </w:r>
      <w:bookmarkEnd w:id="221"/>
      <w:r>
        <w:rPr>
          <w:color w:val="auto"/>
          <w:highlight w:val="none"/>
        </w:rPr>
        <w:t>，适航噪声限值应执行第H36.305条中的规定；R44为小型直升机，最大起飞重量1100kg，均小于3175kg适航噪声限值应执行第J36.305条中的规定。</w:t>
      </w:r>
    </w:p>
    <w:p w14:paraId="5748EE6A">
      <w:pPr>
        <w:keepNext w:val="0"/>
        <w:keepLines w:val="0"/>
        <w:pageBreakBefore w:val="0"/>
        <w:widowControl w:val="0"/>
        <w:kinsoku/>
        <w:wordWrap/>
        <w:overflowPunct/>
        <w:topLinePunct w:val="0"/>
        <w:bidi w:val="0"/>
        <w:adjustRightInd/>
        <w:snapToGrid/>
        <w:ind w:firstLine="480" w:firstLineChars="200"/>
        <w:textAlignment w:val="auto"/>
        <w:rPr>
          <w:rFonts w:hint="eastAsia" w:eastAsia="宋体"/>
          <w:color w:val="auto"/>
          <w:highlight w:val="none"/>
          <w:lang w:val="en-US" w:eastAsia="zh-CN"/>
        </w:rPr>
      </w:pPr>
      <w:r>
        <w:rPr>
          <w:color w:val="auto"/>
          <w:highlight w:val="none"/>
        </w:rPr>
        <w:t>噪声适航限值的测点位置</w:t>
      </w:r>
      <w:r>
        <w:rPr>
          <w:rFonts w:hint="eastAsia"/>
          <w:color w:val="auto"/>
          <w:highlight w:val="none"/>
          <w:lang w:val="en-US" w:eastAsia="zh-CN"/>
        </w:rPr>
        <w:t>如下：</w:t>
      </w:r>
    </w:p>
    <w:p w14:paraId="0829F71C">
      <w:pPr>
        <w:keepNext w:val="0"/>
        <w:keepLines w:val="0"/>
        <w:pageBreakBefore w:val="0"/>
        <w:widowControl w:val="0"/>
        <w:numPr>
          <w:ilvl w:val="0"/>
          <w:numId w:val="0"/>
        </w:numPr>
        <w:kinsoku/>
        <w:wordWrap/>
        <w:overflowPunct/>
        <w:topLinePunct w:val="0"/>
        <w:autoSpaceDE w:val="0"/>
        <w:autoSpaceDN w:val="0"/>
        <w:bidi w:val="0"/>
        <w:adjustRightInd/>
        <w:snapToGrid/>
        <w:ind w:left="0" w:leftChars="0" w:right="0" w:rightChars="0" w:firstLine="480" w:firstLineChars="200"/>
        <w:jc w:val="both"/>
        <w:textAlignment w:val="auto"/>
        <w:rPr>
          <w:color w:val="auto"/>
          <w:highlight w:val="none"/>
        </w:rPr>
      </w:pPr>
      <w:r>
        <w:rPr>
          <w:color w:val="auto"/>
          <w:highlight w:val="none"/>
        </w:rPr>
        <w:t>起飞基准剖面：</w:t>
      </w:r>
    </w:p>
    <w:p w14:paraId="5A36114E">
      <w:pPr>
        <w:keepNext w:val="0"/>
        <w:keepLines w:val="0"/>
        <w:pageBreakBefore w:val="0"/>
        <w:widowControl w:val="0"/>
        <w:kinsoku/>
        <w:wordWrap/>
        <w:overflowPunct/>
        <w:topLinePunct w:val="0"/>
        <w:bidi w:val="0"/>
        <w:adjustRightInd/>
        <w:snapToGrid/>
        <w:ind w:left="0" w:leftChars="0" w:right="0" w:rightChars="0" w:firstLine="480" w:firstLineChars="200"/>
        <w:jc w:val="both"/>
        <w:textAlignment w:val="auto"/>
        <w:rPr>
          <w:color w:val="auto"/>
          <w:highlight w:val="none"/>
        </w:rPr>
      </w:pPr>
      <w:r>
        <w:rPr>
          <w:color w:val="auto"/>
          <w:highlight w:val="none"/>
        </w:rPr>
        <w:t>图</w:t>
      </w:r>
      <w:r>
        <w:rPr>
          <w:rFonts w:hint="eastAsia"/>
          <w:color w:val="auto"/>
          <w:highlight w:val="none"/>
          <w:lang w:eastAsia="zh-CN"/>
        </w:rPr>
        <w:t>3.6</w:t>
      </w:r>
      <w:r>
        <w:rPr>
          <w:color w:val="auto"/>
          <w:highlight w:val="none"/>
        </w:rPr>
        <w:t>-2给出了一个典型的起飞剖面，其中包括基准条件。</w:t>
      </w:r>
    </w:p>
    <w:p w14:paraId="5E2301AF">
      <w:pPr>
        <w:ind w:firstLine="480" w:firstLineChars="200"/>
        <w:rPr>
          <w:color w:val="auto"/>
          <w:highlight w:val="none"/>
        </w:rPr>
      </w:pPr>
      <w:r>
        <w:rPr>
          <w:color w:val="auto"/>
          <w:highlight w:val="none"/>
        </w:rPr>
        <w:t>基准航迹定义为一条由起始点（距地面20米</w:t>
      </w:r>
      <w:r>
        <w:rPr>
          <w:rFonts w:hint="eastAsia"/>
          <w:color w:val="auto"/>
          <w:highlight w:val="none"/>
        </w:rPr>
        <w:t>&lt;</w:t>
      </w:r>
      <w:r>
        <w:rPr>
          <w:color w:val="auto"/>
          <w:highlight w:val="none"/>
        </w:rPr>
        <w:t>65英尺</w:t>
      </w:r>
      <w:r>
        <w:rPr>
          <w:rFonts w:hint="eastAsia"/>
          <w:color w:val="auto"/>
          <w:highlight w:val="none"/>
          <w:lang w:eastAsia="zh-CN"/>
        </w:rPr>
        <w:t>&gt;</w:t>
      </w:r>
      <w:r>
        <w:rPr>
          <w:color w:val="auto"/>
          <w:highlight w:val="none"/>
        </w:rPr>
        <w:t>高且在中心传声器位置前500米</w:t>
      </w:r>
      <w:r>
        <w:rPr>
          <w:rFonts w:hint="eastAsia"/>
          <w:color w:val="auto"/>
          <w:highlight w:val="none"/>
        </w:rPr>
        <w:t>&lt;</w:t>
      </w:r>
      <w:r>
        <w:rPr>
          <w:color w:val="auto"/>
          <w:highlight w:val="none"/>
        </w:rPr>
        <w:t>1640英尺</w:t>
      </w:r>
      <w:r>
        <w:rPr>
          <w:rFonts w:hint="eastAsia"/>
          <w:color w:val="auto"/>
          <w:highlight w:val="none"/>
          <w:lang w:eastAsia="zh-CN"/>
        </w:rPr>
        <w:t>&gt;</w:t>
      </w:r>
      <w:r>
        <w:rPr>
          <w:color w:val="auto"/>
          <w:highlight w:val="none"/>
        </w:rPr>
        <w:t>的点上）开始以β角向上倾斜的直线，此β角是由最低发动机性能合格审定的最佳爬升率和Vy定义的。恒定的爬升角β值是由制造商的数据（经中国民用航空总局批准的）导出的，用以确定基准条件的飞行剖面。恒定爬升角β由Cr开始，接着越过A站直到对应型号合格审定起飞航迹的终点（以Ir代表）。</w:t>
      </w:r>
    </w:p>
    <w:p w14:paraId="00C7B918">
      <w:pPr>
        <w:keepNext w:val="0"/>
        <w:keepLines w:val="0"/>
        <w:pageBreakBefore w:val="0"/>
        <w:widowControl w:val="0"/>
        <w:numPr>
          <w:ilvl w:val="0"/>
          <w:numId w:val="0"/>
        </w:numPr>
        <w:kinsoku/>
        <w:wordWrap/>
        <w:overflowPunct/>
        <w:topLinePunct w:val="0"/>
        <w:autoSpaceDE w:val="0"/>
        <w:autoSpaceDN w:val="0"/>
        <w:bidi w:val="0"/>
        <w:adjustRightInd/>
        <w:snapToGrid/>
        <w:ind w:left="0" w:leftChars="0" w:right="0" w:rightChars="0" w:firstLine="480" w:firstLineChars="200"/>
        <w:jc w:val="both"/>
        <w:textAlignment w:val="auto"/>
        <w:rPr>
          <w:color w:val="auto"/>
          <w:highlight w:val="none"/>
        </w:rPr>
      </w:pPr>
      <w:r>
        <w:rPr>
          <w:color w:val="auto"/>
          <w:highlight w:val="none"/>
        </w:rPr>
        <w:t>水平飞越基准剖面：</w:t>
      </w:r>
    </w:p>
    <w:p w14:paraId="13FD56AC">
      <w:pPr>
        <w:ind w:firstLine="480" w:firstLineChars="200"/>
        <w:rPr>
          <w:color w:val="auto"/>
          <w:highlight w:val="none"/>
        </w:rPr>
      </w:pPr>
      <w:r>
        <w:rPr>
          <w:color w:val="auto"/>
          <w:highlight w:val="none"/>
        </w:rPr>
        <w:t>图</w:t>
      </w:r>
      <w:r>
        <w:rPr>
          <w:rFonts w:hint="eastAsia"/>
          <w:color w:val="auto"/>
          <w:highlight w:val="none"/>
          <w:lang w:eastAsia="zh-CN"/>
        </w:rPr>
        <w:t>3.6</w:t>
      </w:r>
      <w:r>
        <w:rPr>
          <w:color w:val="auto"/>
          <w:highlight w:val="none"/>
        </w:rPr>
        <w:t>-3给出了一个飞越的基准剖面，其中包括基准条件。</w:t>
      </w:r>
    </w:p>
    <w:p w14:paraId="354E4642">
      <w:pPr>
        <w:ind w:firstLine="480" w:firstLineChars="200"/>
        <w:rPr>
          <w:color w:val="auto"/>
          <w:highlight w:val="none"/>
        </w:rPr>
      </w:pPr>
      <w:r>
        <w:rPr>
          <w:color w:val="auto"/>
          <w:highlight w:val="none"/>
        </w:rPr>
        <w:t>Dr点代表水平飞越基准剖面的开始（见</w:t>
      </w:r>
      <w:r>
        <w:rPr>
          <w:color w:val="auto"/>
          <w:highlight w:val="none"/>
        </w:rPr>
        <w:fldChar w:fldCharType="begin"/>
      </w:r>
      <w:r>
        <w:rPr>
          <w:color w:val="auto"/>
          <w:highlight w:val="none"/>
        </w:rPr>
        <w:instrText xml:space="preserve"> REF _Ref13153718 \h  \* MERGEFORMAT </w:instrText>
      </w:r>
      <w:r>
        <w:rPr>
          <w:color w:val="auto"/>
          <w:highlight w:val="none"/>
        </w:rPr>
        <w:fldChar w:fldCharType="separate"/>
      </w:r>
      <w:r>
        <w:rPr>
          <w:color w:val="auto"/>
          <w:highlight w:val="none"/>
        </w:rPr>
        <w:t>图</w:t>
      </w:r>
      <w:r>
        <w:rPr>
          <w:color w:val="auto"/>
          <w:highlight w:val="none"/>
        </w:rPr>
        <w:fldChar w:fldCharType="end"/>
      </w:r>
      <w:r>
        <w:rPr>
          <w:color w:val="auto"/>
          <w:highlight w:val="none"/>
        </w:rPr>
        <w:t>），直升机以水平飞行从位置Dr接近，当在A点测量时直升机距地面150米（492英尺）。空速稳定在0.9VH；0.9VNE；0.45VH＋120</w:t>
      </w:r>
      <w:r>
        <w:rPr>
          <w:rFonts w:hint="eastAsia"/>
          <w:color w:val="auto"/>
          <w:highlight w:val="none"/>
        </w:rPr>
        <w:t>km</w:t>
      </w:r>
      <w:r>
        <w:rPr>
          <w:color w:val="auto"/>
          <w:highlight w:val="none"/>
        </w:rPr>
        <w:t>/</w:t>
      </w:r>
      <w:r>
        <w:rPr>
          <w:rFonts w:hint="eastAsia"/>
          <w:color w:val="auto"/>
          <w:highlight w:val="none"/>
        </w:rPr>
        <w:t>h</w:t>
      </w:r>
      <w:r>
        <w:rPr>
          <w:color w:val="auto"/>
          <w:highlight w:val="none"/>
        </w:rPr>
        <w:t>（0.45VH＋65</w:t>
      </w:r>
      <w:r>
        <w:rPr>
          <w:rFonts w:hint="eastAsia"/>
          <w:color w:val="auto"/>
          <w:highlight w:val="none"/>
        </w:rPr>
        <w:t>kn</w:t>
      </w:r>
      <w:r>
        <w:rPr>
          <w:color w:val="auto"/>
          <w:highlight w:val="none"/>
        </w:rPr>
        <w:t>）；0.45VNE＋120 km/h（0.45VNE＋65 n mile/</w:t>
      </w:r>
      <w:r>
        <w:rPr>
          <w:rFonts w:hint="eastAsia"/>
          <w:color w:val="auto"/>
          <w:highlight w:val="none"/>
        </w:rPr>
        <w:t>h</w:t>
      </w:r>
      <w:r>
        <w:rPr>
          <w:color w:val="auto"/>
          <w:highlight w:val="none"/>
        </w:rPr>
        <w:t>），四者取小者。在整个10dB降的时间内旋翼稳定在最大连续RPM上。直升机水平越过A点，继续到达位置Jr。</w:t>
      </w:r>
    </w:p>
    <w:p w14:paraId="476DA1DD">
      <w:pPr>
        <w:ind w:firstLine="480" w:firstLineChars="200"/>
        <w:rPr>
          <w:color w:val="auto"/>
          <w:highlight w:val="none"/>
        </w:rPr>
      </w:pPr>
      <w:r>
        <w:rPr>
          <w:color w:val="auto"/>
          <w:highlight w:val="none"/>
        </w:rPr>
        <w:t>为噪声合格审定，VH被定义为在有关最大合格审定重量、在海平面压力1013.25 hPa（2116 lb/sq.ft.），25℃（77℉）环境条件下可获得的最大连续功率相对应的最小发动机扭矩所得到的平飞状态的空速。VNE的值被称为不可超越的空速。噪声合格审定使用的VH和VNE值必须列在旋翼机飞行手册上。</w:t>
      </w:r>
    </w:p>
    <w:p w14:paraId="37FF323C">
      <w:pPr>
        <w:keepNext w:val="0"/>
        <w:keepLines w:val="0"/>
        <w:pageBreakBefore w:val="0"/>
        <w:widowControl w:val="0"/>
        <w:numPr>
          <w:ilvl w:val="0"/>
          <w:numId w:val="0"/>
        </w:numPr>
        <w:kinsoku/>
        <w:wordWrap/>
        <w:overflowPunct/>
        <w:topLinePunct w:val="0"/>
        <w:autoSpaceDE w:val="0"/>
        <w:autoSpaceDN w:val="0"/>
        <w:bidi w:val="0"/>
        <w:adjustRightInd/>
        <w:snapToGrid/>
        <w:ind w:left="0" w:leftChars="0" w:right="0" w:rightChars="0" w:firstLine="480" w:firstLineChars="200"/>
        <w:jc w:val="both"/>
        <w:textAlignment w:val="auto"/>
        <w:rPr>
          <w:color w:val="auto"/>
          <w:highlight w:val="none"/>
        </w:rPr>
      </w:pPr>
      <w:r>
        <w:rPr>
          <w:color w:val="auto"/>
          <w:highlight w:val="none"/>
        </w:rPr>
        <w:t>进场基准剖面：</w:t>
      </w:r>
    </w:p>
    <w:p w14:paraId="64020A38">
      <w:pPr>
        <w:ind w:firstLine="480" w:firstLineChars="200"/>
        <w:rPr>
          <w:color w:val="auto"/>
          <w:highlight w:val="none"/>
        </w:rPr>
      </w:pPr>
      <w:r>
        <w:rPr>
          <w:color w:val="auto"/>
          <w:highlight w:val="none"/>
        </w:rPr>
        <w:t>图</w:t>
      </w:r>
      <w:r>
        <w:rPr>
          <w:rFonts w:hint="eastAsia"/>
          <w:color w:val="auto"/>
          <w:highlight w:val="none"/>
          <w:lang w:eastAsia="zh-CN"/>
        </w:rPr>
        <w:t>3.6</w:t>
      </w:r>
      <w:r>
        <w:rPr>
          <w:color w:val="auto"/>
          <w:highlight w:val="none"/>
        </w:rPr>
        <w:t>-4给出了进场剖面，包括基准条件。</w:t>
      </w:r>
    </w:p>
    <w:p w14:paraId="12DE8D47">
      <w:pPr>
        <w:ind w:firstLine="480" w:firstLineChars="200"/>
        <w:rPr>
          <w:color w:val="auto"/>
          <w:highlight w:val="none"/>
        </w:rPr>
      </w:pPr>
      <w:r>
        <w:rPr>
          <w:color w:val="auto"/>
          <w:highlight w:val="none"/>
        </w:rPr>
        <w:t>直升机的位置E代表进场剖面的开始。应在足够的距离（EK）内记录直升机的位置以确保按要求记录下直升机噪声较最大纯音修正感觉噪声级（PNLTM）10dB降的时间段。基准飞行航迹，Er、Kr表明是在稳定的飞行条件运行，即扭矩，rpm，指示空速和6°进场角的下降率。</w:t>
      </w:r>
    </w:p>
    <w:p w14:paraId="5CC32D35">
      <w:pPr>
        <w:ind w:firstLine="480" w:firstLineChars="200"/>
        <w:rPr>
          <w:color w:val="auto"/>
          <w:highlight w:val="none"/>
        </w:rPr>
      </w:pPr>
      <w:r>
        <w:rPr>
          <w:color w:val="auto"/>
          <w:highlight w:val="none"/>
        </w:rPr>
        <w:t>试验进场剖面由进场角β以高度AH飞越A点正上方到达K点来确定，K点为进场噪声合格审定剖面的结束点。试验进场角β必须在5.5°和6.5°之间。</w:t>
      </w:r>
    </w:p>
    <w:p w14:paraId="1AEBDB62">
      <w:pPr>
        <w:ind w:firstLine="480" w:firstLineChars="200"/>
        <w:rPr>
          <w:rFonts w:ascii="宋体" w:hAnsi="宋体"/>
          <w:color w:val="auto"/>
          <w:highlight w:val="none"/>
        </w:rPr>
      </w:pPr>
      <w:r>
        <w:rPr>
          <w:color w:val="auto"/>
          <w:highlight w:val="none"/>
        </w:rPr>
        <w:t>直升机到达H点是沿着稳定的6°进场斜率并在整个10dB降的时间内都保持这一斜率。直升机通过位置E并继续沿着进场斜率，直至到达K点。</w:t>
      </w:r>
    </w:p>
    <w:p w14:paraId="68E42546">
      <w:pPr>
        <w:ind w:firstLine="480" w:firstLineChars="200"/>
        <w:rPr>
          <w:color w:val="auto"/>
          <w:highlight w:val="none"/>
        </w:rPr>
      </w:pPr>
      <w:r>
        <w:rPr>
          <w:rFonts w:hint="eastAsia" w:ascii="宋体" w:hAnsi="宋体" w:cs="宋体"/>
          <w:color w:val="auto"/>
          <w:highlight w:val="none"/>
        </w:rPr>
        <w:t>③</w:t>
      </w:r>
      <w:r>
        <w:rPr>
          <w:color w:val="auto"/>
          <w:highlight w:val="none"/>
        </w:rPr>
        <w:t>主要机型的适航限值</w:t>
      </w:r>
    </w:p>
    <w:p w14:paraId="682FA178">
      <w:pPr>
        <w:ind w:firstLine="480" w:firstLineChars="200"/>
        <w:rPr>
          <w:color w:val="auto"/>
          <w:highlight w:val="none"/>
        </w:rPr>
      </w:pPr>
      <w:r>
        <w:rPr>
          <w:color w:val="auto"/>
          <w:highlight w:val="none"/>
        </w:rPr>
        <w:t>根据《航空器型号和适航合格审定噪声规定（2002年3月20日发布，2018年1月12日第二次修订）》，机场近期选用的主要机型（以最大控制机型为代表机型）的适航限值见</w:t>
      </w:r>
      <w:r>
        <w:rPr>
          <w:rFonts w:hint="eastAsia"/>
          <w:color w:val="auto"/>
          <w:highlight w:val="none"/>
          <w:lang w:val="en-US" w:eastAsia="zh-CN"/>
        </w:rPr>
        <w:t>下</w:t>
      </w:r>
      <w:r>
        <w:rPr>
          <w:color w:val="auto"/>
          <w:highlight w:val="none"/>
        </w:rPr>
        <w:t>表。</w:t>
      </w:r>
    </w:p>
    <w:p w14:paraId="74DA6E37">
      <w:pPr>
        <w:spacing w:before="120" w:beforeLines="50" w:after="120" w:line="240" w:lineRule="auto"/>
        <w:ind w:firstLine="0"/>
        <w:jc w:val="center"/>
        <w:rPr>
          <w:rFonts w:ascii="黑体" w:hAnsi="黑体" w:eastAsia="黑体"/>
          <w:bCs/>
          <w:color w:val="auto"/>
          <w:spacing w:val="6"/>
          <w:position w:val="10"/>
          <w:sz w:val="21"/>
          <w:szCs w:val="20"/>
          <w:highlight w:val="none"/>
        </w:rPr>
      </w:pPr>
      <w:bookmarkStart w:id="222" w:name="_Ref11210453"/>
      <w:r>
        <w:rPr>
          <w:rFonts w:hint="eastAsia" w:ascii="黑体" w:hAnsi="黑体" w:eastAsia="黑体"/>
          <w:bCs/>
          <w:color w:val="auto"/>
          <w:spacing w:val="6"/>
          <w:position w:val="10"/>
          <w:sz w:val="21"/>
          <w:szCs w:val="20"/>
          <w:highlight w:val="none"/>
        </w:rPr>
        <w:t>表</w:t>
      </w:r>
      <w:bookmarkEnd w:id="222"/>
      <w:r>
        <w:rPr>
          <w:rFonts w:hint="eastAsia" w:ascii="黑体" w:hAnsi="黑体" w:eastAsia="黑体"/>
          <w:bCs/>
          <w:color w:val="auto"/>
          <w:spacing w:val="6"/>
          <w:position w:val="10"/>
          <w:sz w:val="21"/>
          <w:szCs w:val="20"/>
          <w:highlight w:val="none"/>
          <w:lang w:eastAsia="zh-CN"/>
        </w:rPr>
        <w:t>3.5</w:t>
      </w:r>
      <w:r>
        <w:rPr>
          <w:rFonts w:hint="eastAsia" w:ascii="黑体" w:hAnsi="黑体" w:eastAsia="黑体"/>
          <w:bCs/>
          <w:color w:val="auto"/>
          <w:spacing w:val="6"/>
          <w:position w:val="10"/>
          <w:sz w:val="21"/>
          <w:szCs w:val="20"/>
          <w:highlight w:val="none"/>
          <w:lang w:val="en-US" w:eastAsia="zh-CN"/>
        </w:rPr>
        <w:t>-6</w:t>
      </w:r>
      <w:r>
        <w:rPr>
          <w:rFonts w:hint="eastAsia" w:ascii="黑体" w:hAnsi="黑体" w:eastAsia="黑体"/>
          <w:bCs/>
          <w:color w:val="auto"/>
          <w:spacing w:val="6"/>
          <w:position w:val="10"/>
          <w:sz w:val="21"/>
          <w:szCs w:val="20"/>
          <w:highlight w:val="none"/>
        </w:rPr>
        <w:t xml:space="preserve">  机场使用飞机的适航限值</w:t>
      </w:r>
    </w:p>
    <w:tbl>
      <w:tblPr>
        <w:tblStyle w:val="160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59"/>
        <w:gridCol w:w="2263"/>
        <w:gridCol w:w="4159"/>
      </w:tblGrid>
      <w:tr w14:paraId="79C0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7" w:type="pct"/>
            <w:vMerge w:val="restart"/>
            <w:vAlign w:val="center"/>
          </w:tcPr>
          <w:p w14:paraId="7DAEADA0">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分类</w:t>
            </w:r>
          </w:p>
        </w:tc>
        <w:tc>
          <w:tcPr>
            <w:tcW w:w="826" w:type="pct"/>
            <w:vMerge w:val="restart"/>
            <w:vAlign w:val="center"/>
          </w:tcPr>
          <w:p w14:paraId="399327FF">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飞机型号</w:t>
            </w:r>
          </w:p>
        </w:tc>
        <w:tc>
          <w:tcPr>
            <w:tcW w:w="1281" w:type="pct"/>
            <w:vMerge w:val="restart"/>
            <w:vAlign w:val="center"/>
          </w:tcPr>
          <w:p w14:paraId="45A14674">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最大起飞重量（kg）</w:t>
            </w:r>
          </w:p>
        </w:tc>
        <w:tc>
          <w:tcPr>
            <w:tcW w:w="2354" w:type="pct"/>
            <w:vAlign w:val="center"/>
          </w:tcPr>
          <w:p w14:paraId="648FE213">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应达到的噪声限值SEL</w:t>
            </w:r>
            <w:r>
              <w:rPr>
                <w:rFonts w:hint="eastAsia"/>
                <w:color w:val="auto"/>
                <w:kern w:val="0"/>
                <w:sz w:val="21"/>
                <w:szCs w:val="18"/>
                <w:highlight w:val="none"/>
                <w:lang w:val="en-US" w:eastAsia="zh-CN"/>
              </w:rPr>
              <w:t>/</w:t>
            </w:r>
            <w:r>
              <w:rPr>
                <w:rFonts w:hint="default" w:ascii="Times New Roman" w:hAnsi="Times New Roman" w:eastAsia="宋体"/>
                <w:color w:val="auto"/>
                <w:kern w:val="0"/>
                <w:sz w:val="21"/>
                <w:szCs w:val="18"/>
                <w:highlight w:val="none"/>
              </w:rPr>
              <w:t>dB（A）</w:t>
            </w:r>
          </w:p>
        </w:tc>
      </w:tr>
      <w:tr w14:paraId="51E6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7" w:type="pct"/>
            <w:vMerge w:val="continue"/>
            <w:vAlign w:val="center"/>
          </w:tcPr>
          <w:p w14:paraId="2D8C976B">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p>
        </w:tc>
        <w:tc>
          <w:tcPr>
            <w:tcW w:w="826" w:type="pct"/>
            <w:vMerge w:val="continue"/>
            <w:vAlign w:val="center"/>
          </w:tcPr>
          <w:p w14:paraId="39C29311">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p>
        </w:tc>
        <w:tc>
          <w:tcPr>
            <w:tcW w:w="1281" w:type="pct"/>
            <w:vMerge w:val="continue"/>
            <w:vAlign w:val="center"/>
          </w:tcPr>
          <w:p w14:paraId="0325C8FC">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p>
        </w:tc>
        <w:tc>
          <w:tcPr>
            <w:tcW w:w="2354" w:type="pct"/>
            <w:vAlign w:val="center"/>
          </w:tcPr>
          <w:p w14:paraId="38982152">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飞越</w:t>
            </w:r>
          </w:p>
        </w:tc>
      </w:tr>
      <w:tr w14:paraId="1B55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7" w:type="pct"/>
            <w:vMerge w:val="restart"/>
            <w:vAlign w:val="center"/>
          </w:tcPr>
          <w:p w14:paraId="5979B203">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固定翼</w:t>
            </w:r>
          </w:p>
        </w:tc>
        <w:tc>
          <w:tcPr>
            <w:tcW w:w="826" w:type="pct"/>
            <w:vAlign w:val="center"/>
          </w:tcPr>
          <w:p w14:paraId="665B3326">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Y-12E</w:t>
            </w:r>
          </w:p>
        </w:tc>
        <w:tc>
          <w:tcPr>
            <w:tcW w:w="1281" w:type="pct"/>
            <w:vAlign w:val="center"/>
          </w:tcPr>
          <w:p w14:paraId="5D8683B0">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5670</w:t>
            </w:r>
          </w:p>
        </w:tc>
        <w:tc>
          <w:tcPr>
            <w:tcW w:w="2354" w:type="pct"/>
            <w:vAlign w:val="center"/>
          </w:tcPr>
          <w:p w14:paraId="66AB8501">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88.0</w:t>
            </w:r>
          </w:p>
        </w:tc>
      </w:tr>
      <w:tr w14:paraId="6F365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7" w:type="pct"/>
            <w:vMerge w:val="continue"/>
            <w:vAlign w:val="center"/>
          </w:tcPr>
          <w:p w14:paraId="161C22FE">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p>
        </w:tc>
        <w:tc>
          <w:tcPr>
            <w:tcW w:w="826" w:type="pct"/>
            <w:vAlign w:val="center"/>
          </w:tcPr>
          <w:p w14:paraId="13125856">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国王350ER</w:t>
            </w:r>
          </w:p>
        </w:tc>
        <w:tc>
          <w:tcPr>
            <w:tcW w:w="1281" w:type="pct"/>
            <w:vAlign w:val="center"/>
          </w:tcPr>
          <w:p w14:paraId="275664D1">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6800</w:t>
            </w:r>
          </w:p>
        </w:tc>
        <w:tc>
          <w:tcPr>
            <w:tcW w:w="2354" w:type="pct"/>
            <w:vAlign w:val="center"/>
          </w:tcPr>
          <w:p w14:paraId="309FCA3F">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88.0</w:t>
            </w:r>
          </w:p>
        </w:tc>
      </w:tr>
      <w:tr w14:paraId="4A93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7" w:type="pct"/>
            <w:vMerge w:val="continue"/>
            <w:vAlign w:val="center"/>
          </w:tcPr>
          <w:p w14:paraId="52AC7778">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p>
        </w:tc>
        <w:tc>
          <w:tcPr>
            <w:tcW w:w="826" w:type="pct"/>
            <w:vAlign w:val="center"/>
          </w:tcPr>
          <w:p w14:paraId="687F81EC">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Y5-B</w:t>
            </w:r>
          </w:p>
        </w:tc>
        <w:tc>
          <w:tcPr>
            <w:tcW w:w="1281" w:type="pct"/>
            <w:vAlign w:val="center"/>
          </w:tcPr>
          <w:p w14:paraId="1E47CEE6">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5250</w:t>
            </w:r>
          </w:p>
        </w:tc>
        <w:tc>
          <w:tcPr>
            <w:tcW w:w="2354" w:type="pct"/>
            <w:vAlign w:val="center"/>
          </w:tcPr>
          <w:p w14:paraId="5781D6D7">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88.0</w:t>
            </w:r>
          </w:p>
        </w:tc>
      </w:tr>
      <w:tr w14:paraId="7D26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7" w:type="pct"/>
            <w:vMerge w:val="restart"/>
            <w:vAlign w:val="center"/>
          </w:tcPr>
          <w:p w14:paraId="28C792D1">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直升机</w:t>
            </w:r>
          </w:p>
        </w:tc>
        <w:tc>
          <w:tcPr>
            <w:tcW w:w="826" w:type="pct"/>
            <w:vAlign w:val="center"/>
          </w:tcPr>
          <w:p w14:paraId="6D1013FF">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M171</w:t>
            </w:r>
          </w:p>
        </w:tc>
        <w:tc>
          <w:tcPr>
            <w:tcW w:w="1281" w:type="pct"/>
            <w:vAlign w:val="center"/>
          </w:tcPr>
          <w:p w14:paraId="3D628801">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13000</w:t>
            </w:r>
          </w:p>
        </w:tc>
        <w:tc>
          <w:tcPr>
            <w:tcW w:w="2354" w:type="pct"/>
            <w:vAlign w:val="center"/>
          </w:tcPr>
          <w:p w14:paraId="7CDFCB83">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sz w:val="21"/>
                <w:szCs w:val="18"/>
                <w:highlight w:val="none"/>
              </w:rPr>
              <w:t>100.1</w:t>
            </w:r>
          </w:p>
        </w:tc>
      </w:tr>
      <w:tr w14:paraId="288E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7" w:type="pct"/>
            <w:vMerge w:val="continue"/>
            <w:vAlign w:val="center"/>
          </w:tcPr>
          <w:p w14:paraId="1741C9A4">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p>
        </w:tc>
        <w:tc>
          <w:tcPr>
            <w:tcW w:w="826" w:type="pct"/>
            <w:vAlign w:val="center"/>
          </w:tcPr>
          <w:p w14:paraId="1F7B4FFE">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sz w:val="21"/>
                <w:szCs w:val="18"/>
                <w:highlight w:val="none"/>
              </w:rPr>
            </w:pPr>
            <w:r>
              <w:rPr>
                <w:rFonts w:hint="default" w:ascii="Times New Roman" w:hAnsi="Times New Roman" w:eastAsia="宋体"/>
                <w:color w:val="auto"/>
                <w:sz w:val="21"/>
                <w:szCs w:val="18"/>
                <w:highlight w:val="none"/>
              </w:rPr>
              <w:t>R44</w:t>
            </w:r>
          </w:p>
        </w:tc>
        <w:tc>
          <w:tcPr>
            <w:tcW w:w="1281" w:type="pct"/>
            <w:vAlign w:val="center"/>
          </w:tcPr>
          <w:p w14:paraId="2936E1A6">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1100</w:t>
            </w:r>
          </w:p>
        </w:tc>
        <w:tc>
          <w:tcPr>
            <w:tcW w:w="2354" w:type="pct"/>
            <w:vAlign w:val="center"/>
          </w:tcPr>
          <w:p w14:paraId="255ABA1E">
            <w:pPr>
              <w:keepNext w:val="0"/>
              <w:keepLines w:val="0"/>
              <w:suppressLineNumbers w:val="0"/>
              <w:adjustRightInd w:val="0"/>
              <w:snapToGrid w:val="0"/>
              <w:spacing w:before="12" w:beforeAutospacing="0" w:after="12" w:afterAutospacing="0" w:line="240" w:lineRule="auto"/>
              <w:ind w:left="0" w:right="0" w:firstLine="0"/>
              <w:jc w:val="center"/>
              <w:textAlignment w:val="center"/>
              <w:rPr>
                <w:rFonts w:hint="default" w:ascii="Times New Roman" w:hAnsi="Times New Roman" w:eastAsia="宋体"/>
                <w:color w:val="auto"/>
                <w:kern w:val="0"/>
                <w:sz w:val="21"/>
                <w:szCs w:val="18"/>
                <w:highlight w:val="none"/>
              </w:rPr>
            </w:pPr>
            <w:r>
              <w:rPr>
                <w:rFonts w:hint="default" w:ascii="Times New Roman" w:hAnsi="Times New Roman" w:eastAsia="宋体"/>
                <w:color w:val="auto"/>
                <w:kern w:val="0"/>
                <w:sz w:val="21"/>
                <w:szCs w:val="18"/>
                <w:highlight w:val="none"/>
              </w:rPr>
              <w:t>84.0</w:t>
            </w:r>
          </w:p>
        </w:tc>
      </w:tr>
    </w:tbl>
    <w:p w14:paraId="7C9B7362">
      <w:pPr>
        <w:ind w:firstLine="360" w:firstLineChars="200"/>
        <w:rPr>
          <w:rFonts w:ascii="宋体" w:hAnsi="宋体"/>
          <w:color w:val="auto"/>
          <w:sz w:val="18"/>
          <w:szCs w:val="18"/>
          <w:highlight w:val="none"/>
        </w:rPr>
      </w:pPr>
    </w:p>
    <w:p w14:paraId="1B92C792">
      <w:pPr>
        <w:ind w:firstLine="482" w:firstLineChars="200"/>
        <w:rPr>
          <w:b/>
          <w:bCs/>
          <w:color w:val="auto"/>
          <w:highlight w:val="none"/>
        </w:rPr>
      </w:pPr>
      <w:r>
        <w:rPr>
          <w:b/>
          <w:bCs/>
          <w:color w:val="auto"/>
          <w:highlight w:val="none"/>
        </w:rPr>
        <w:t>（3）替代机型</w:t>
      </w:r>
    </w:p>
    <w:p w14:paraId="3C79BFCC">
      <w:pPr>
        <w:ind w:firstLine="480" w:firstLineChars="200"/>
        <w:rPr>
          <w:color w:val="auto"/>
          <w:highlight w:val="none"/>
        </w:rPr>
      </w:pPr>
      <w:r>
        <w:rPr>
          <w:color w:val="auto"/>
          <w:highlight w:val="none"/>
        </w:rPr>
        <w:t>本项目拟执飞机型中Y-12、Y5B、M171不是INM7.0d中的标准机型，本次评价选取与拟选用机型的发动机类型相同、功率和最大起飞重量相近的机型，作为替代机型。不同机型的替代机型详见</w:t>
      </w:r>
      <w:r>
        <w:rPr>
          <w:rFonts w:hint="eastAsia"/>
          <w:color w:val="auto"/>
          <w:highlight w:val="none"/>
        </w:rPr>
        <w:t>表</w:t>
      </w:r>
      <w:r>
        <w:rPr>
          <w:rFonts w:hint="eastAsia"/>
          <w:color w:val="auto"/>
          <w:highlight w:val="none"/>
          <w:lang w:eastAsia="zh-CN"/>
        </w:rPr>
        <w:t>3.6</w:t>
      </w:r>
      <w:r>
        <w:rPr>
          <w:color w:val="auto"/>
          <w:highlight w:val="none"/>
        </w:rPr>
        <w:t>-6。塞斯纳208与Y5B机型经其他机场实测结果类比，源强基本接近，可以作为替代机型。根据分析INM7.0预测模型源强数据库，S65直升机是INM模型中与Mi171选用同类型发动机</w:t>
      </w:r>
      <w:r>
        <w:rPr>
          <w:rFonts w:hint="eastAsia"/>
          <w:color w:val="auto"/>
          <w:highlight w:val="none"/>
          <w:lang w:eastAsia="zh-CN"/>
        </w:rPr>
        <w:t>且</w:t>
      </w:r>
      <w:r>
        <w:rPr>
          <w:color w:val="auto"/>
          <w:highlight w:val="none"/>
        </w:rPr>
        <w:t>噪声大于Mi171的唯一机型。因此选用该机型作为Mi171预测替代机型。</w:t>
      </w:r>
    </w:p>
    <w:p w14:paraId="148DE65F">
      <w:pPr>
        <w:ind w:firstLine="480" w:firstLineChars="200"/>
        <w:rPr>
          <w:color w:val="auto"/>
          <w:highlight w:val="none"/>
        </w:rPr>
      </w:pPr>
      <w:r>
        <w:rPr>
          <w:color w:val="auto"/>
          <w:highlight w:val="none"/>
        </w:rPr>
        <w:t>替代机型与原机型对比情况详见下表。</w:t>
      </w:r>
    </w:p>
    <w:p w14:paraId="420B7DC6">
      <w:pPr>
        <w:spacing w:before="120" w:beforeLines="50" w:after="120" w:line="240" w:lineRule="auto"/>
        <w:ind w:firstLine="0"/>
        <w:jc w:val="center"/>
        <w:rPr>
          <w:rFonts w:ascii="黑体" w:hAnsi="黑体" w:eastAsia="黑体"/>
          <w:bCs/>
          <w:color w:val="auto"/>
          <w:spacing w:val="6"/>
          <w:position w:val="10"/>
          <w:sz w:val="21"/>
          <w:szCs w:val="20"/>
          <w:highlight w:val="none"/>
        </w:rPr>
      </w:pPr>
      <w:bookmarkStart w:id="223" w:name="_Ref533372961"/>
      <w:r>
        <w:rPr>
          <w:rFonts w:hint="eastAsia" w:ascii="黑体" w:hAnsi="黑体" w:eastAsia="黑体"/>
          <w:bCs/>
          <w:color w:val="auto"/>
          <w:spacing w:val="6"/>
          <w:position w:val="10"/>
          <w:sz w:val="21"/>
          <w:szCs w:val="20"/>
          <w:highlight w:val="none"/>
        </w:rPr>
        <w:t>表</w:t>
      </w:r>
      <w:bookmarkEnd w:id="223"/>
      <w:r>
        <w:rPr>
          <w:rFonts w:hint="eastAsia" w:ascii="黑体" w:hAnsi="黑体" w:eastAsia="黑体"/>
          <w:bCs/>
          <w:color w:val="auto"/>
          <w:spacing w:val="6"/>
          <w:position w:val="10"/>
          <w:sz w:val="21"/>
          <w:szCs w:val="20"/>
          <w:highlight w:val="none"/>
          <w:lang w:eastAsia="zh-CN"/>
        </w:rPr>
        <w:t>3.5</w:t>
      </w:r>
      <w:r>
        <w:rPr>
          <w:rFonts w:hint="eastAsia" w:ascii="黑体" w:hAnsi="黑体" w:eastAsia="黑体"/>
          <w:bCs/>
          <w:color w:val="auto"/>
          <w:spacing w:val="6"/>
          <w:position w:val="10"/>
          <w:sz w:val="21"/>
          <w:szCs w:val="20"/>
          <w:highlight w:val="none"/>
          <w:lang w:val="en-US" w:eastAsia="zh-CN"/>
        </w:rPr>
        <w:t>-7</w:t>
      </w:r>
      <w:r>
        <w:rPr>
          <w:rFonts w:hint="eastAsia" w:ascii="黑体" w:hAnsi="黑体" w:eastAsia="黑体"/>
          <w:bCs/>
          <w:color w:val="auto"/>
          <w:spacing w:val="6"/>
          <w:position w:val="10"/>
          <w:sz w:val="21"/>
          <w:szCs w:val="20"/>
          <w:highlight w:val="none"/>
        </w:rPr>
        <w:t xml:space="preserve">  本次评价拟选替代机型</w:t>
      </w:r>
    </w:p>
    <w:tbl>
      <w:tblPr>
        <w:tblStyle w:val="160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954"/>
        <w:gridCol w:w="1429"/>
        <w:gridCol w:w="1034"/>
        <w:gridCol w:w="883"/>
        <w:gridCol w:w="1929"/>
        <w:gridCol w:w="1450"/>
      </w:tblGrid>
      <w:tr w14:paraId="19225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7"/>
            <w:vAlign w:val="center"/>
          </w:tcPr>
          <w:p w14:paraId="02632F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本项目拟选用机型（非INM7.0d中标准机型）</w:t>
            </w:r>
          </w:p>
        </w:tc>
      </w:tr>
      <w:tr w14:paraId="7C935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4" w:type="pct"/>
            <w:gridSpan w:val="2"/>
            <w:vMerge w:val="restart"/>
            <w:vAlign w:val="center"/>
          </w:tcPr>
          <w:p w14:paraId="358699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机型名称</w:t>
            </w:r>
          </w:p>
        </w:tc>
        <w:tc>
          <w:tcPr>
            <w:tcW w:w="2986" w:type="pct"/>
            <w:gridSpan w:val="4"/>
            <w:vAlign w:val="center"/>
          </w:tcPr>
          <w:p w14:paraId="173533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发动机</w:t>
            </w:r>
          </w:p>
        </w:tc>
        <w:tc>
          <w:tcPr>
            <w:tcW w:w="819" w:type="pct"/>
            <w:vMerge w:val="restart"/>
            <w:vAlign w:val="center"/>
          </w:tcPr>
          <w:p w14:paraId="5FD411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最大起飞重量（吨）</w:t>
            </w:r>
          </w:p>
        </w:tc>
      </w:tr>
      <w:tr w14:paraId="43A7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4" w:type="pct"/>
            <w:gridSpan w:val="2"/>
            <w:vMerge w:val="continue"/>
            <w:vAlign w:val="center"/>
          </w:tcPr>
          <w:p w14:paraId="46F35B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p>
        </w:tc>
        <w:tc>
          <w:tcPr>
            <w:tcW w:w="809" w:type="pct"/>
            <w:vAlign w:val="center"/>
          </w:tcPr>
          <w:p w14:paraId="66F7CD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型号</w:t>
            </w:r>
          </w:p>
        </w:tc>
        <w:tc>
          <w:tcPr>
            <w:tcW w:w="585" w:type="pct"/>
            <w:vAlign w:val="center"/>
          </w:tcPr>
          <w:p w14:paraId="0AF685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类型</w:t>
            </w:r>
          </w:p>
        </w:tc>
        <w:tc>
          <w:tcPr>
            <w:tcW w:w="500" w:type="pct"/>
            <w:vAlign w:val="center"/>
          </w:tcPr>
          <w:p w14:paraId="6F894B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数量</w:t>
            </w:r>
          </w:p>
        </w:tc>
        <w:tc>
          <w:tcPr>
            <w:tcW w:w="1089" w:type="pct"/>
            <w:vAlign w:val="center"/>
          </w:tcPr>
          <w:p w14:paraId="7D0E72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单台功率（kw）</w:t>
            </w:r>
          </w:p>
        </w:tc>
        <w:tc>
          <w:tcPr>
            <w:tcW w:w="819" w:type="pct"/>
            <w:vMerge w:val="continue"/>
            <w:vAlign w:val="center"/>
          </w:tcPr>
          <w:p w14:paraId="74EC10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p>
        </w:tc>
      </w:tr>
      <w:tr w14:paraId="08AF9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4" w:type="pct"/>
            <w:vAlign w:val="center"/>
          </w:tcPr>
          <w:p w14:paraId="0A2FED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原机型</w:t>
            </w:r>
          </w:p>
        </w:tc>
        <w:tc>
          <w:tcPr>
            <w:tcW w:w="539" w:type="pct"/>
            <w:vAlign w:val="center"/>
          </w:tcPr>
          <w:p w14:paraId="35CF45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Y-12E</w:t>
            </w:r>
          </w:p>
        </w:tc>
        <w:tc>
          <w:tcPr>
            <w:tcW w:w="809" w:type="pct"/>
            <w:vAlign w:val="center"/>
          </w:tcPr>
          <w:p w14:paraId="038D2A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PT6A-135A</w:t>
            </w:r>
          </w:p>
        </w:tc>
        <w:tc>
          <w:tcPr>
            <w:tcW w:w="585" w:type="pct"/>
            <w:vAlign w:val="center"/>
          </w:tcPr>
          <w:p w14:paraId="288B46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涡桨</w:t>
            </w:r>
          </w:p>
        </w:tc>
        <w:tc>
          <w:tcPr>
            <w:tcW w:w="500" w:type="pct"/>
            <w:vAlign w:val="center"/>
          </w:tcPr>
          <w:p w14:paraId="124EFC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2</w:t>
            </w:r>
          </w:p>
        </w:tc>
        <w:tc>
          <w:tcPr>
            <w:tcW w:w="1089" w:type="pct"/>
            <w:vAlign w:val="center"/>
          </w:tcPr>
          <w:p w14:paraId="7F2064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559</w:t>
            </w:r>
          </w:p>
        </w:tc>
        <w:tc>
          <w:tcPr>
            <w:tcW w:w="819" w:type="pct"/>
            <w:vAlign w:val="center"/>
          </w:tcPr>
          <w:p w14:paraId="2A52F3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5.67</w:t>
            </w:r>
          </w:p>
        </w:tc>
      </w:tr>
      <w:tr w14:paraId="3F76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4" w:type="pct"/>
            <w:vAlign w:val="center"/>
          </w:tcPr>
          <w:p w14:paraId="28EF05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替代机型</w:t>
            </w:r>
          </w:p>
        </w:tc>
        <w:tc>
          <w:tcPr>
            <w:tcW w:w="539" w:type="pct"/>
            <w:vAlign w:val="center"/>
          </w:tcPr>
          <w:p w14:paraId="12BF15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PA42</w:t>
            </w:r>
          </w:p>
        </w:tc>
        <w:tc>
          <w:tcPr>
            <w:tcW w:w="809" w:type="pct"/>
            <w:vAlign w:val="center"/>
          </w:tcPr>
          <w:p w14:paraId="681C2A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PT6A41</w:t>
            </w:r>
          </w:p>
        </w:tc>
        <w:tc>
          <w:tcPr>
            <w:tcW w:w="585" w:type="pct"/>
            <w:vAlign w:val="center"/>
          </w:tcPr>
          <w:p w14:paraId="14AD9B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涡桨</w:t>
            </w:r>
          </w:p>
        </w:tc>
        <w:tc>
          <w:tcPr>
            <w:tcW w:w="500" w:type="pct"/>
            <w:vAlign w:val="center"/>
          </w:tcPr>
          <w:p w14:paraId="754388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2</w:t>
            </w:r>
          </w:p>
        </w:tc>
        <w:tc>
          <w:tcPr>
            <w:tcW w:w="1089" w:type="pct"/>
            <w:vAlign w:val="center"/>
          </w:tcPr>
          <w:p w14:paraId="4D3C62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537</w:t>
            </w:r>
          </w:p>
        </w:tc>
        <w:tc>
          <w:tcPr>
            <w:tcW w:w="819" w:type="pct"/>
            <w:vAlign w:val="center"/>
          </w:tcPr>
          <w:p w14:paraId="7F55FE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5.47</w:t>
            </w:r>
          </w:p>
        </w:tc>
      </w:tr>
      <w:tr w14:paraId="4217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4" w:type="pct"/>
            <w:vAlign w:val="center"/>
          </w:tcPr>
          <w:p w14:paraId="11E599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原机型</w:t>
            </w:r>
          </w:p>
        </w:tc>
        <w:tc>
          <w:tcPr>
            <w:tcW w:w="539" w:type="pct"/>
            <w:vAlign w:val="center"/>
          </w:tcPr>
          <w:p w14:paraId="3116E9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Y5B</w:t>
            </w:r>
          </w:p>
        </w:tc>
        <w:tc>
          <w:tcPr>
            <w:tcW w:w="809" w:type="pct"/>
            <w:vAlign w:val="center"/>
          </w:tcPr>
          <w:p w14:paraId="78281C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ASz-62IR</w:t>
            </w:r>
          </w:p>
        </w:tc>
        <w:tc>
          <w:tcPr>
            <w:tcW w:w="585" w:type="pct"/>
            <w:vAlign w:val="center"/>
          </w:tcPr>
          <w:p w14:paraId="0586A4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活塞</w:t>
            </w:r>
          </w:p>
        </w:tc>
        <w:tc>
          <w:tcPr>
            <w:tcW w:w="500" w:type="pct"/>
            <w:vAlign w:val="center"/>
          </w:tcPr>
          <w:p w14:paraId="2F7144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1</w:t>
            </w:r>
          </w:p>
        </w:tc>
        <w:tc>
          <w:tcPr>
            <w:tcW w:w="1089" w:type="pct"/>
            <w:vAlign w:val="center"/>
          </w:tcPr>
          <w:p w14:paraId="51BB94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w:t>
            </w:r>
          </w:p>
        </w:tc>
        <w:tc>
          <w:tcPr>
            <w:tcW w:w="819" w:type="pct"/>
            <w:vAlign w:val="center"/>
          </w:tcPr>
          <w:p w14:paraId="322456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5.25</w:t>
            </w:r>
          </w:p>
        </w:tc>
      </w:tr>
      <w:tr w14:paraId="6641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4" w:type="pct"/>
            <w:vAlign w:val="center"/>
          </w:tcPr>
          <w:p w14:paraId="3E3205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替代机型</w:t>
            </w:r>
          </w:p>
        </w:tc>
        <w:tc>
          <w:tcPr>
            <w:tcW w:w="539" w:type="pct"/>
            <w:vAlign w:val="center"/>
          </w:tcPr>
          <w:p w14:paraId="3D72EF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塞斯纳208</w:t>
            </w:r>
          </w:p>
        </w:tc>
        <w:tc>
          <w:tcPr>
            <w:tcW w:w="809" w:type="pct"/>
            <w:vAlign w:val="center"/>
          </w:tcPr>
          <w:p w14:paraId="486650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PT6A-114</w:t>
            </w:r>
          </w:p>
        </w:tc>
        <w:tc>
          <w:tcPr>
            <w:tcW w:w="585" w:type="pct"/>
            <w:vAlign w:val="center"/>
          </w:tcPr>
          <w:p w14:paraId="3D361D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涡轴</w:t>
            </w:r>
          </w:p>
        </w:tc>
        <w:tc>
          <w:tcPr>
            <w:tcW w:w="500" w:type="pct"/>
            <w:vAlign w:val="center"/>
          </w:tcPr>
          <w:p w14:paraId="5300B9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1</w:t>
            </w:r>
          </w:p>
        </w:tc>
        <w:tc>
          <w:tcPr>
            <w:tcW w:w="1089" w:type="pct"/>
            <w:vAlign w:val="center"/>
          </w:tcPr>
          <w:p w14:paraId="5561CF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w:t>
            </w:r>
          </w:p>
        </w:tc>
        <w:tc>
          <w:tcPr>
            <w:tcW w:w="819" w:type="pct"/>
            <w:vAlign w:val="center"/>
          </w:tcPr>
          <w:p w14:paraId="3B8FA2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3.97</w:t>
            </w:r>
          </w:p>
        </w:tc>
      </w:tr>
      <w:tr w14:paraId="71CB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4" w:type="pct"/>
            <w:vAlign w:val="center"/>
          </w:tcPr>
          <w:p w14:paraId="1B0008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原机型</w:t>
            </w:r>
          </w:p>
        </w:tc>
        <w:tc>
          <w:tcPr>
            <w:tcW w:w="539" w:type="pct"/>
            <w:vAlign w:val="center"/>
          </w:tcPr>
          <w:p w14:paraId="1E0032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Mi171</w:t>
            </w:r>
          </w:p>
        </w:tc>
        <w:tc>
          <w:tcPr>
            <w:tcW w:w="809" w:type="pct"/>
            <w:vAlign w:val="center"/>
          </w:tcPr>
          <w:p w14:paraId="689F30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TB3-117BM</w:t>
            </w:r>
          </w:p>
        </w:tc>
        <w:tc>
          <w:tcPr>
            <w:tcW w:w="585" w:type="pct"/>
            <w:vAlign w:val="center"/>
          </w:tcPr>
          <w:p w14:paraId="6D86E3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涡轴</w:t>
            </w:r>
          </w:p>
        </w:tc>
        <w:tc>
          <w:tcPr>
            <w:tcW w:w="500" w:type="pct"/>
            <w:vAlign w:val="center"/>
          </w:tcPr>
          <w:p w14:paraId="1E07B3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2</w:t>
            </w:r>
          </w:p>
        </w:tc>
        <w:tc>
          <w:tcPr>
            <w:tcW w:w="1089" w:type="pct"/>
            <w:vAlign w:val="center"/>
          </w:tcPr>
          <w:p w14:paraId="18D9A9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1397</w:t>
            </w:r>
          </w:p>
        </w:tc>
        <w:tc>
          <w:tcPr>
            <w:tcW w:w="819" w:type="pct"/>
            <w:vAlign w:val="center"/>
          </w:tcPr>
          <w:p w14:paraId="0D009F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13</w:t>
            </w:r>
          </w:p>
        </w:tc>
      </w:tr>
      <w:tr w14:paraId="7B65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4" w:type="pct"/>
            <w:vAlign w:val="center"/>
          </w:tcPr>
          <w:p w14:paraId="1BF420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替代机型</w:t>
            </w:r>
          </w:p>
        </w:tc>
        <w:tc>
          <w:tcPr>
            <w:tcW w:w="539" w:type="pct"/>
            <w:vAlign w:val="center"/>
          </w:tcPr>
          <w:p w14:paraId="045F2C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S65</w:t>
            </w:r>
          </w:p>
        </w:tc>
        <w:tc>
          <w:tcPr>
            <w:tcW w:w="809" w:type="pct"/>
            <w:vAlign w:val="center"/>
          </w:tcPr>
          <w:p w14:paraId="749AF4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T64-GE-413</w:t>
            </w:r>
          </w:p>
        </w:tc>
        <w:tc>
          <w:tcPr>
            <w:tcW w:w="585" w:type="pct"/>
            <w:vAlign w:val="center"/>
          </w:tcPr>
          <w:p w14:paraId="5EFABF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涡轴</w:t>
            </w:r>
          </w:p>
        </w:tc>
        <w:tc>
          <w:tcPr>
            <w:tcW w:w="500" w:type="pct"/>
            <w:vAlign w:val="center"/>
          </w:tcPr>
          <w:p w14:paraId="493E03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2</w:t>
            </w:r>
          </w:p>
        </w:tc>
        <w:tc>
          <w:tcPr>
            <w:tcW w:w="1089" w:type="pct"/>
            <w:vAlign w:val="center"/>
          </w:tcPr>
          <w:p w14:paraId="6C8F61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2927</w:t>
            </w:r>
          </w:p>
        </w:tc>
        <w:tc>
          <w:tcPr>
            <w:tcW w:w="819" w:type="pct"/>
            <w:vAlign w:val="center"/>
          </w:tcPr>
          <w:p w14:paraId="0C5F1B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default" w:ascii="Times New Roman" w:hAnsi="Times New Roman" w:eastAsiaTheme="minorEastAsia"/>
                <w:bCs/>
                <w:color w:val="auto"/>
                <w:kern w:val="0"/>
                <w:sz w:val="21"/>
                <w:szCs w:val="21"/>
                <w:highlight w:val="none"/>
              </w:rPr>
            </w:pPr>
            <w:r>
              <w:rPr>
                <w:rFonts w:hint="default" w:ascii="Times New Roman" w:hAnsi="Times New Roman" w:eastAsiaTheme="minorEastAsia"/>
                <w:bCs/>
                <w:color w:val="auto"/>
                <w:kern w:val="0"/>
                <w:sz w:val="21"/>
                <w:szCs w:val="21"/>
                <w:highlight w:val="none"/>
              </w:rPr>
              <w:t>16</w:t>
            </w:r>
            <w:r>
              <w:rPr>
                <w:rFonts w:hint="eastAsia" w:eastAsiaTheme="minorEastAsia"/>
                <w:bCs/>
                <w:color w:val="auto"/>
                <w:kern w:val="0"/>
                <w:sz w:val="21"/>
                <w:szCs w:val="21"/>
                <w:highlight w:val="none"/>
                <w:lang w:val="en-US" w:eastAsia="zh-CN"/>
              </w:rPr>
              <w:t>.</w:t>
            </w:r>
            <w:r>
              <w:rPr>
                <w:rFonts w:hint="default" w:ascii="Times New Roman" w:hAnsi="Times New Roman" w:eastAsiaTheme="minorEastAsia"/>
                <w:bCs/>
                <w:color w:val="auto"/>
                <w:kern w:val="0"/>
                <w:sz w:val="21"/>
                <w:szCs w:val="21"/>
                <w:highlight w:val="none"/>
              </w:rPr>
              <w:t>78</w:t>
            </w:r>
          </w:p>
        </w:tc>
      </w:tr>
    </w:tbl>
    <w:p w14:paraId="063B96F5">
      <w:pPr>
        <w:pageBreakBefore w:val="0"/>
        <w:widowControl/>
        <w:kinsoku/>
        <w:wordWrap/>
        <w:overflowPunct/>
        <w:autoSpaceDE w:val="0"/>
        <w:autoSpaceDN w:val="0"/>
        <w:bidi w:val="0"/>
        <w:ind w:firstLine="480" w:firstLineChars="200"/>
        <w:jc w:val="left"/>
        <w:rPr>
          <w:rFonts w:hint="eastAsia" w:ascii="Times New Roman" w:hAnsi="Times New Roman" w:eastAsia="宋体" w:cs="Times New Roman"/>
          <w:color w:val="auto"/>
          <w:szCs w:val="24"/>
          <w:highlight w:val="none"/>
          <w:lang w:eastAsia="zh-CN"/>
        </w:rPr>
      </w:pPr>
    </w:p>
    <w:p w14:paraId="415D3A0B">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运营期废气</w:t>
      </w:r>
    </w:p>
    <w:p w14:paraId="446D3360">
      <w:pPr>
        <w:ind w:firstLine="480" w:firstLineChars="200"/>
        <w:rPr>
          <w:color w:val="auto"/>
          <w:highlight w:val="none"/>
        </w:rPr>
      </w:pPr>
      <w:r>
        <w:rPr>
          <w:color w:val="auto"/>
          <w:highlight w:val="none"/>
        </w:rPr>
        <w:t>本项目运营期大气污染源主要来自飞机尾气、汽车尾气、</w:t>
      </w:r>
      <w:r>
        <w:rPr>
          <w:rFonts w:hint="eastAsia"/>
          <w:color w:val="auto"/>
          <w:highlight w:val="none"/>
          <w:lang w:val="en-US" w:eastAsia="zh-CN"/>
        </w:rPr>
        <w:t>油车棚无组织烃类</w:t>
      </w:r>
      <w:r>
        <w:rPr>
          <w:color w:val="auto"/>
          <w:highlight w:val="none"/>
        </w:rPr>
        <w:t>废气、食堂餐饮油烟以及污水处理站恶臭等，其中飞机尾气、汽车尾气为流动源，其余为固定源。</w:t>
      </w:r>
    </w:p>
    <w:p w14:paraId="11D547C6">
      <w:pPr>
        <w:widowControl/>
        <w:ind w:firstLine="482" w:firstLineChars="200"/>
        <w:outlineLvl w:val="4"/>
        <w:rPr>
          <w:b/>
          <w:bCs/>
          <w:color w:val="auto"/>
          <w:highlight w:val="none"/>
        </w:rPr>
      </w:pPr>
      <w:r>
        <w:rPr>
          <w:rFonts w:hint="eastAsia"/>
          <w:b/>
          <w:bCs/>
          <w:color w:val="auto"/>
          <w:highlight w:val="none"/>
        </w:rPr>
        <w:t>（1）</w:t>
      </w:r>
      <w:r>
        <w:rPr>
          <w:b/>
          <w:bCs/>
          <w:color w:val="auto"/>
          <w:highlight w:val="none"/>
        </w:rPr>
        <w:t>飞机尾气</w:t>
      </w:r>
    </w:p>
    <w:p w14:paraId="3E0AEEFB">
      <w:pPr>
        <w:ind w:firstLine="480" w:firstLineChars="200"/>
        <w:rPr>
          <w:color w:val="auto"/>
          <w:highlight w:val="none"/>
        </w:rPr>
      </w:pPr>
      <w:r>
        <w:rPr>
          <w:color w:val="auto"/>
          <w:highlight w:val="none"/>
        </w:rPr>
        <w:t>根据航空业务量预测，机场目标年</w:t>
      </w:r>
      <w:r>
        <w:rPr>
          <w:rFonts w:eastAsia="Times New Roman"/>
          <w:color w:val="auto"/>
          <w:highlight w:val="none"/>
        </w:rPr>
        <w:t>203</w:t>
      </w:r>
      <w:r>
        <w:rPr>
          <w:rFonts w:hint="eastAsia" w:eastAsia="宋体"/>
          <w:color w:val="auto"/>
          <w:highlight w:val="none"/>
          <w:lang w:val="en-US" w:eastAsia="zh-CN"/>
        </w:rPr>
        <w:t>0</w:t>
      </w:r>
      <w:r>
        <w:rPr>
          <w:color w:val="auto"/>
          <w:highlight w:val="none"/>
        </w:rPr>
        <w:t>年飞机起降为</w:t>
      </w:r>
      <w:r>
        <w:rPr>
          <w:rFonts w:eastAsia="Times New Roman"/>
          <w:color w:val="auto"/>
          <w:highlight w:val="none"/>
        </w:rPr>
        <w:t>99</w:t>
      </w:r>
      <w:r>
        <w:rPr>
          <w:rFonts w:hint="eastAsia" w:eastAsia="宋体"/>
          <w:color w:val="auto"/>
          <w:highlight w:val="none"/>
          <w:lang w:val="en-US" w:eastAsia="zh-CN"/>
        </w:rPr>
        <w:t>00</w:t>
      </w:r>
      <w:r>
        <w:rPr>
          <w:color w:val="auto"/>
          <w:highlight w:val="none"/>
        </w:rPr>
        <w:t>架次，均为B类飞机。飞机尾气中各类污染物排放情况核算见表</w:t>
      </w:r>
      <w:r>
        <w:rPr>
          <w:rFonts w:hint="eastAsia"/>
          <w:color w:val="auto"/>
          <w:highlight w:val="none"/>
          <w:lang w:eastAsia="zh-CN"/>
        </w:rPr>
        <w:t>3.5</w:t>
      </w:r>
      <w:r>
        <w:rPr>
          <w:rFonts w:hint="eastAsia"/>
          <w:color w:val="auto"/>
          <w:highlight w:val="none"/>
          <w:lang w:val="en-US" w:eastAsia="zh-CN"/>
        </w:rPr>
        <w:t>-8</w:t>
      </w:r>
      <w:r>
        <w:rPr>
          <w:color w:val="auto"/>
          <w:highlight w:val="none"/>
        </w:rPr>
        <w:t>和表</w:t>
      </w:r>
      <w:r>
        <w:rPr>
          <w:rFonts w:hint="eastAsia"/>
          <w:color w:val="auto"/>
          <w:highlight w:val="none"/>
          <w:lang w:eastAsia="zh-CN"/>
        </w:rPr>
        <w:t>3.5</w:t>
      </w:r>
      <w:r>
        <w:rPr>
          <w:rFonts w:hint="eastAsia"/>
          <w:color w:val="auto"/>
          <w:highlight w:val="none"/>
          <w:lang w:val="en-US" w:eastAsia="zh-CN"/>
        </w:rPr>
        <w:t>-9</w:t>
      </w:r>
      <w:r>
        <w:rPr>
          <w:color w:val="auto"/>
          <w:highlight w:val="none"/>
        </w:rPr>
        <w:t>。</w:t>
      </w:r>
    </w:p>
    <w:p w14:paraId="550BBBCE">
      <w:pPr>
        <w:tabs>
          <w:tab w:val="left" w:pos="7371"/>
        </w:tabs>
        <w:ind w:firstLine="0"/>
        <w:jc w:val="center"/>
        <w:rPr>
          <w:color w:val="auto"/>
          <w:highlight w:val="none"/>
        </w:rPr>
      </w:pPr>
      <w:r>
        <w:rPr>
          <w:rFonts w:eastAsia="黑体"/>
          <w:color w:val="auto"/>
          <w:highlight w:val="none"/>
        </w:rPr>
        <w:t>表</w:t>
      </w:r>
      <w:r>
        <w:rPr>
          <w:rFonts w:hint="eastAsia"/>
          <w:b/>
          <w:color w:val="auto"/>
          <w:highlight w:val="none"/>
          <w:lang w:eastAsia="zh-CN"/>
        </w:rPr>
        <w:t>3.5</w:t>
      </w:r>
      <w:r>
        <w:rPr>
          <w:rFonts w:hint="eastAsia"/>
          <w:b/>
          <w:color w:val="auto"/>
          <w:highlight w:val="none"/>
          <w:lang w:val="en-US" w:eastAsia="zh-CN"/>
        </w:rPr>
        <w:t>-8</w:t>
      </w:r>
      <w:r>
        <w:rPr>
          <w:color w:val="auto"/>
          <w:highlight w:val="none"/>
        </w:rPr>
        <w:t xml:space="preserve"> </w:t>
      </w:r>
      <w:r>
        <w:rPr>
          <w:rFonts w:eastAsia="黑体"/>
          <w:color w:val="auto"/>
          <w:highlight w:val="none"/>
        </w:rPr>
        <w:t>各类飞机起降的污染物排放系数</w:t>
      </w:r>
      <w:r>
        <w:rPr>
          <w:rFonts w:hint="eastAsia" w:eastAsia="黑体"/>
          <w:color w:val="auto"/>
          <w:highlight w:val="none"/>
        </w:rPr>
        <w:t xml:space="preserve"> </w:t>
      </w:r>
      <w:r>
        <w:rPr>
          <w:rFonts w:eastAsia="黑体"/>
          <w:color w:val="auto"/>
          <w:highlight w:val="none"/>
        </w:rPr>
        <w:t xml:space="preserve">  </w:t>
      </w:r>
      <w:r>
        <w:rPr>
          <w:rFonts w:eastAsia="黑体"/>
          <w:color w:val="auto"/>
          <w:sz w:val="21"/>
          <w:szCs w:val="21"/>
          <w:highlight w:val="none"/>
        </w:rPr>
        <w:t>单位：</w:t>
      </w:r>
      <w:r>
        <w:rPr>
          <w:rFonts w:eastAsia="Times New Roman"/>
          <w:b/>
          <w:color w:val="auto"/>
          <w:sz w:val="21"/>
          <w:szCs w:val="21"/>
          <w:highlight w:val="none"/>
        </w:rPr>
        <w:t>kg/</w:t>
      </w:r>
      <w:r>
        <w:rPr>
          <w:rFonts w:eastAsia="黑体"/>
          <w:color w:val="auto"/>
          <w:sz w:val="21"/>
          <w:szCs w:val="21"/>
          <w:highlight w:val="none"/>
        </w:rPr>
        <w:t>次</w:t>
      </w:r>
    </w:p>
    <w:tbl>
      <w:tblPr>
        <w:tblStyle w:val="5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1678"/>
        <w:gridCol w:w="1682"/>
        <w:gridCol w:w="1678"/>
        <w:gridCol w:w="2098"/>
      </w:tblGrid>
      <w:tr w14:paraId="684D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pct"/>
            <w:vAlign w:val="center"/>
          </w:tcPr>
          <w:p w14:paraId="724CA5A3">
            <w:pPr>
              <w:keepNext w:val="0"/>
              <w:keepLines w:val="0"/>
              <w:suppressLineNumbers w:val="0"/>
              <w:kinsoku w:val="0"/>
              <w:overflowPunct w:val="0"/>
              <w:autoSpaceDE w:val="0"/>
              <w:autoSpaceDN w:val="0"/>
              <w:adjustRightInd w:val="0"/>
              <w:spacing w:before="0" w:beforeAutospacing="0" w:after="0" w:afterAutospacing="0" w:line="241" w:lineRule="exact"/>
              <w:ind w:left="194" w:right="0" w:firstLine="0"/>
              <w:jc w:val="center"/>
              <w:rPr>
                <w:rFonts w:hint="default"/>
                <w:color w:val="auto"/>
                <w:kern w:val="0"/>
                <w:szCs w:val="20"/>
                <w:highlight w:val="none"/>
              </w:rPr>
            </w:pPr>
            <w:r>
              <w:rPr>
                <w:rFonts w:hint="default"/>
                <w:color w:val="auto"/>
                <w:kern w:val="0"/>
                <w:sz w:val="21"/>
                <w:szCs w:val="20"/>
                <w:highlight w:val="none"/>
              </w:rPr>
              <w:t>机型类别</w:t>
            </w:r>
          </w:p>
        </w:tc>
        <w:tc>
          <w:tcPr>
            <w:tcW w:w="950" w:type="pct"/>
            <w:vAlign w:val="center"/>
          </w:tcPr>
          <w:p w14:paraId="5018CDC6">
            <w:pPr>
              <w:keepNext w:val="0"/>
              <w:keepLines w:val="0"/>
              <w:suppressLineNumbers w:val="0"/>
              <w:kinsoku w:val="0"/>
              <w:overflowPunct w:val="0"/>
              <w:autoSpaceDE w:val="0"/>
              <w:autoSpaceDN w:val="0"/>
              <w:adjustRightInd w:val="0"/>
              <w:spacing w:before="14" w:beforeAutospacing="0" w:after="0" w:afterAutospacing="0" w:line="240" w:lineRule="auto"/>
              <w:ind w:left="0" w:right="492" w:firstLine="0"/>
              <w:jc w:val="right"/>
              <w:rPr>
                <w:rFonts w:hint="default"/>
                <w:color w:val="auto"/>
                <w:kern w:val="0"/>
                <w:szCs w:val="20"/>
                <w:highlight w:val="none"/>
              </w:rPr>
            </w:pPr>
            <w:r>
              <w:rPr>
                <w:rFonts w:hint="default" w:eastAsia="Times New Roman"/>
                <w:color w:val="auto"/>
                <w:kern w:val="0"/>
                <w:sz w:val="21"/>
                <w:szCs w:val="20"/>
                <w:highlight w:val="none"/>
              </w:rPr>
              <w:t>SO</w:t>
            </w:r>
            <w:r>
              <w:rPr>
                <w:rFonts w:hint="default" w:eastAsia="Times New Roman"/>
                <w:color w:val="auto"/>
                <w:kern w:val="0"/>
                <w:sz w:val="14"/>
                <w:szCs w:val="20"/>
                <w:highlight w:val="none"/>
              </w:rPr>
              <w:t>2</w:t>
            </w:r>
          </w:p>
        </w:tc>
        <w:tc>
          <w:tcPr>
            <w:tcW w:w="952" w:type="pct"/>
            <w:vAlign w:val="center"/>
          </w:tcPr>
          <w:p w14:paraId="106556CC">
            <w:pPr>
              <w:keepNext w:val="0"/>
              <w:keepLines w:val="0"/>
              <w:suppressLineNumbers w:val="0"/>
              <w:kinsoku w:val="0"/>
              <w:overflowPunct w:val="0"/>
              <w:autoSpaceDE w:val="0"/>
              <w:autoSpaceDN w:val="0"/>
              <w:adjustRightInd w:val="0"/>
              <w:spacing w:before="15" w:beforeAutospacing="0" w:after="0" w:afterAutospacing="0" w:line="240" w:lineRule="auto"/>
              <w:ind w:left="0" w:right="518" w:firstLine="0"/>
              <w:jc w:val="right"/>
              <w:rPr>
                <w:rFonts w:hint="default"/>
                <w:color w:val="auto"/>
                <w:kern w:val="0"/>
                <w:szCs w:val="20"/>
                <w:highlight w:val="none"/>
              </w:rPr>
            </w:pPr>
            <w:r>
              <w:rPr>
                <w:rFonts w:hint="default" w:eastAsia="Times New Roman"/>
                <w:color w:val="auto"/>
                <w:kern w:val="0"/>
                <w:sz w:val="21"/>
                <w:szCs w:val="20"/>
                <w:highlight w:val="none"/>
              </w:rPr>
              <w:t>CO</w:t>
            </w:r>
          </w:p>
        </w:tc>
        <w:tc>
          <w:tcPr>
            <w:tcW w:w="950" w:type="pct"/>
            <w:vAlign w:val="center"/>
          </w:tcPr>
          <w:p w14:paraId="0D7FE2CF">
            <w:pPr>
              <w:keepNext w:val="0"/>
              <w:keepLines w:val="0"/>
              <w:suppressLineNumbers w:val="0"/>
              <w:kinsoku w:val="0"/>
              <w:overflowPunct w:val="0"/>
              <w:autoSpaceDE w:val="0"/>
              <w:autoSpaceDN w:val="0"/>
              <w:adjustRightInd w:val="0"/>
              <w:spacing w:before="0" w:beforeAutospacing="0" w:after="0" w:afterAutospacing="0" w:line="241" w:lineRule="exact"/>
              <w:ind w:left="167" w:right="0" w:firstLine="0"/>
              <w:jc w:val="center"/>
              <w:rPr>
                <w:rFonts w:hint="default"/>
                <w:color w:val="auto"/>
                <w:kern w:val="0"/>
                <w:szCs w:val="20"/>
                <w:highlight w:val="none"/>
              </w:rPr>
            </w:pPr>
            <w:r>
              <w:rPr>
                <w:rFonts w:hint="eastAsia"/>
                <w:color w:val="auto"/>
                <w:kern w:val="0"/>
                <w:sz w:val="21"/>
                <w:szCs w:val="20"/>
                <w:highlight w:val="none"/>
              </w:rPr>
              <w:t>N</w:t>
            </w:r>
            <w:r>
              <w:rPr>
                <w:rFonts w:hint="default"/>
                <w:color w:val="auto"/>
                <w:kern w:val="0"/>
                <w:sz w:val="21"/>
                <w:szCs w:val="20"/>
                <w:highlight w:val="none"/>
              </w:rPr>
              <w:t>MHC</w:t>
            </w:r>
          </w:p>
        </w:tc>
        <w:tc>
          <w:tcPr>
            <w:tcW w:w="1188" w:type="pct"/>
            <w:vAlign w:val="center"/>
          </w:tcPr>
          <w:p w14:paraId="576ADC1D">
            <w:pPr>
              <w:keepNext w:val="0"/>
              <w:keepLines w:val="0"/>
              <w:suppressLineNumbers w:val="0"/>
              <w:kinsoku w:val="0"/>
              <w:overflowPunct w:val="0"/>
              <w:autoSpaceDE w:val="0"/>
              <w:autoSpaceDN w:val="0"/>
              <w:adjustRightInd w:val="0"/>
              <w:spacing w:before="14" w:beforeAutospacing="0" w:after="0" w:afterAutospacing="0" w:line="240" w:lineRule="auto"/>
              <w:ind w:left="0" w:right="695" w:firstLine="0"/>
              <w:jc w:val="right"/>
              <w:rPr>
                <w:rFonts w:hint="default"/>
                <w:color w:val="auto"/>
                <w:kern w:val="0"/>
                <w:szCs w:val="20"/>
                <w:highlight w:val="none"/>
              </w:rPr>
            </w:pPr>
            <w:r>
              <w:rPr>
                <w:rFonts w:hint="default" w:eastAsia="Times New Roman"/>
                <w:color w:val="auto"/>
                <w:kern w:val="0"/>
                <w:sz w:val="21"/>
                <w:szCs w:val="20"/>
                <w:highlight w:val="none"/>
              </w:rPr>
              <w:t>NO</w:t>
            </w:r>
            <w:r>
              <w:rPr>
                <w:rFonts w:hint="default" w:eastAsia="Times New Roman"/>
                <w:color w:val="auto"/>
                <w:kern w:val="0"/>
                <w:sz w:val="14"/>
                <w:szCs w:val="20"/>
                <w:highlight w:val="none"/>
              </w:rPr>
              <w:t>x</w:t>
            </w:r>
          </w:p>
        </w:tc>
      </w:tr>
      <w:tr w14:paraId="79FD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pct"/>
            <w:vAlign w:val="center"/>
          </w:tcPr>
          <w:p w14:paraId="4E47A481">
            <w:pPr>
              <w:keepNext w:val="0"/>
              <w:keepLines w:val="0"/>
              <w:suppressLineNumbers w:val="0"/>
              <w:kinsoku w:val="0"/>
              <w:overflowPunct w:val="0"/>
              <w:autoSpaceDE w:val="0"/>
              <w:autoSpaceDN w:val="0"/>
              <w:adjustRightInd w:val="0"/>
              <w:spacing w:before="0" w:beforeAutospacing="0" w:after="0" w:afterAutospacing="0" w:line="260" w:lineRule="exact"/>
              <w:ind w:left="194" w:right="0" w:firstLine="0"/>
              <w:jc w:val="center"/>
              <w:rPr>
                <w:rFonts w:hint="default"/>
                <w:color w:val="auto"/>
                <w:kern w:val="0"/>
                <w:szCs w:val="20"/>
                <w:highlight w:val="none"/>
              </w:rPr>
            </w:pPr>
            <w:r>
              <w:rPr>
                <w:rFonts w:hint="default"/>
                <w:color w:val="auto"/>
                <w:kern w:val="0"/>
                <w:sz w:val="21"/>
                <w:szCs w:val="20"/>
                <w:highlight w:val="none"/>
              </w:rPr>
              <w:t>A/B类</w:t>
            </w:r>
          </w:p>
        </w:tc>
        <w:tc>
          <w:tcPr>
            <w:tcW w:w="950" w:type="pct"/>
            <w:vAlign w:val="center"/>
          </w:tcPr>
          <w:p w14:paraId="49065578">
            <w:pPr>
              <w:keepNext w:val="0"/>
              <w:keepLines w:val="0"/>
              <w:suppressLineNumbers w:val="0"/>
              <w:kinsoku w:val="0"/>
              <w:overflowPunct w:val="0"/>
              <w:autoSpaceDE w:val="0"/>
              <w:autoSpaceDN w:val="0"/>
              <w:adjustRightInd w:val="0"/>
              <w:spacing w:before="18" w:beforeAutospacing="0" w:after="0" w:afterAutospacing="0" w:line="240" w:lineRule="auto"/>
              <w:ind w:left="0" w:right="479" w:firstLine="0"/>
              <w:jc w:val="right"/>
              <w:rPr>
                <w:rFonts w:hint="default"/>
                <w:color w:val="auto"/>
                <w:kern w:val="0"/>
                <w:szCs w:val="20"/>
                <w:highlight w:val="none"/>
              </w:rPr>
            </w:pPr>
            <w:r>
              <w:rPr>
                <w:rFonts w:hint="default"/>
                <w:color w:val="auto"/>
                <w:kern w:val="0"/>
                <w:sz w:val="21"/>
                <w:szCs w:val="20"/>
                <w:highlight w:val="none"/>
              </w:rPr>
              <w:t>/</w:t>
            </w:r>
          </w:p>
        </w:tc>
        <w:tc>
          <w:tcPr>
            <w:tcW w:w="952" w:type="pct"/>
            <w:vAlign w:val="center"/>
          </w:tcPr>
          <w:p w14:paraId="1E0E4D8E">
            <w:pPr>
              <w:keepNext w:val="0"/>
              <w:keepLines w:val="0"/>
              <w:suppressLineNumbers w:val="0"/>
              <w:kinsoku w:val="0"/>
              <w:overflowPunct w:val="0"/>
              <w:autoSpaceDE w:val="0"/>
              <w:autoSpaceDN w:val="0"/>
              <w:adjustRightInd w:val="0"/>
              <w:spacing w:before="18" w:beforeAutospacing="0" w:after="0" w:afterAutospacing="0" w:line="240" w:lineRule="auto"/>
              <w:ind w:left="0" w:right="480" w:firstLine="0"/>
              <w:jc w:val="right"/>
              <w:rPr>
                <w:rFonts w:hint="default"/>
                <w:color w:val="auto"/>
                <w:kern w:val="0"/>
                <w:szCs w:val="20"/>
                <w:highlight w:val="none"/>
              </w:rPr>
            </w:pPr>
            <w:r>
              <w:rPr>
                <w:rFonts w:hint="default"/>
                <w:color w:val="auto"/>
                <w:kern w:val="0"/>
                <w:sz w:val="21"/>
                <w:szCs w:val="20"/>
                <w:highlight w:val="none"/>
              </w:rPr>
              <w:t>4.08</w:t>
            </w:r>
          </w:p>
        </w:tc>
        <w:tc>
          <w:tcPr>
            <w:tcW w:w="950" w:type="pct"/>
            <w:vAlign w:val="center"/>
          </w:tcPr>
          <w:p w14:paraId="25A22734">
            <w:pPr>
              <w:keepNext w:val="0"/>
              <w:keepLines w:val="0"/>
              <w:suppressLineNumbers w:val="0"/>
              <w:kinsoku w:val="0"/>
              <w:overflowPunct w:val="0"/>
              <w:autoSpaceDE w:val="0"/>
              <w:autoSpaceDN w:val="0"/>
              <w:adjustRightInd w:val="0"/>
              <w:spacing w:before="18" w:beforeAutospacing="0" w:after="0" w:afterAutospacing="0" w:line="240" w:lineRule="auto"/>
              <w:ind w:left="647" w:right="0" w:firstLine="0"/>
              <w:jc w:val="left"/>
              <w:rPr>
                <w:rFonts w:hint="default"/>
                <w:color w:val="auto"/>
                <w:kern w:val="0"/>
                <w:szCs w:val="20"/>
                <w:highlight w:val="none"/>
              </w:rPr>
            </w:pPr>
            <w:r>
              <w:rPr>
                <w:rFonts w:hint="default"/>
                <w:color w:val="auto"/>
                <w:kern w:val="0"/>
                <w:sz w:val="21"/>
                <w:szCs w:val="20"/>
                <w:highlight w:val="none"/>
              </w:rPr>
              <w:t>1.04</w:t>
            </w:r>
          </w:p>
        </w:tc>
        <w:tc>
          <w:tcPr>
            <w:tcW w:w="1188" w:type="pct"/>
            <w:vAlign w:val="center"/>
          </w:tcPr>
          <w:p w14:paraId="2B491031">
            <w:pPr>
              <w:keepNext w:val="0"/>
              <w:keepLines w:val="0"/>
              <w:suppressLineNumbers w:val="0"/>
              <w:kinsoku w:val="0"/>
              <w:overflowPunct w:val="0"/>
              <w:autoSpaceDE w:val="0"/>
              <w:autoSpaceDN w:val="0"/>
              <w:adjustRightInd w:val="0"/>
              <w:spacing w:before="18" w:beforeAutospacing="0" w:after="0" w:afterAutospacing="0" w:line="240" w:lineRule="auto"/>
              <w:ind w:left="0" w:right="696" w:firstLine="0"/>
              <w:jc w:val="right"/>
              <w:rPr>
                <w:rFonts w:hint="default"/>
                <w:color w:val="auto"/>
                <w:kern w:val="0"/>
                <w:szCs w:val="20"/>
                <w:highlight w:val="none"/>
              </w:rPr>
            </w:pPr>
            <w:r>
              <w:rPr>
                <w:rFonts w:hint="default"/>
                <w:color w:val="auto"/>
                <w:kern w:val="0"/>
                <w:sz w:val="21"/>
                <w:szCs w:val="20"/>
                <w:highlight w:val="none"/>
              </w:rPr>
              <w:t>2.27</w:t>
            </w:r>
          </w:p>
        </w:tc>
      </w:tr>
    </w:tbl>
    <w:p w14:paraId="74740068">
      <w:pPr>
        <w:spacing w:after="31" w:line="269" w:lineRule="auto"/>
        <w:ind w:left="-5" w:hanging="10"/>
        <w:rPr>
          <w:rFonts w:hint="eastAsia" w:ascii="仿宋" w:hAnsi="仿宋" w:eastAsia="仿宋" w:cs="仿宋"/>
          <w:color w:val="auto"/>
          <w:highlight w:val="none"/>
        </w:rPr>
      </w:pPr>
      <w:r>
        <w:rPr>
          <w:rFonts w:hint="eastAsia" w:ascii="仿宋" w:hAnsi="仿宋" w:eastAsia="仿宋" w:cs="仿宋"/>
          <w:color w:val="auto"/>
          <w:sz w:val="21"/>
          <w:highlight w:val="none"/>
        </w:rPr>
        <w:t>注：数据来源于联合国卫生组织第62号出版物《空气、水、土地污染的快速评价》，表中kg/次为一起一降两飞行架次。</w:t>
      </w:r>
    </w:p>
    <w:p w14:paraId="6C4DF462">
      <w:pPr>
        <w:tabs>
          <w:tab w:val="left" w:pos="7513"/>
        </w:tabs>
        <w:spacing w:after="3"/>
        <w:ind w:right="241" w:firstLine="0"/>
        <w:jc w:val="center"/>
        <w:rPr>
          <w:color w:val="auto"/>
          <w:highlight w:val="none"/>
        </w:rPr>
      </w:pPr>
      <w:r>
        <w:rPr>
          <w:rFonts w:eastAsia="黑体"/>
          <w:color w:val="auto"/>
          <w:highlight w:val="none"/>
        </w:rPr>
        <w:t>表</w:t>
      </w:r>
      <w:r>
        <w:rPr>
          <w:rFonts w:hint="eastAsia"/>
          <w:b/>
          <w:color w:val="auto"/>
          <w:highlight w:val="none"/>
          <w:lang w:eastAsia="zh-CN"/>
        </w:rPr>
        <w:t>3.5</w:t>
      </w:r>
      <w:r>
        <w:rPr>
          <w:rFonts w:hint="eastAsia"/>
          <w:b/>
          <w:color w:val="auto"/>
          <w:highlight w:val="none"/>
          <w:lang w:val="en-US" w:eastAsia="zh-CN"/>
        </w:rPr>
        <w:t>-9</w:t>
      </w:r>
      <w:r>
        <w:rPr>
          <w:rFonts w:eastAsia="Times New Roman"/>
          <w:b/>
          <w:color w:val="auto"/>
          <w:highlight w:val="none"/>
        </w:rPr>
        <w:t xml:space="preserve">  203</w:t>
      </w:r>
      <w:r>
        <w:rPr>
          <w:rFonts w:hint="eastAsia" w:eastAsia="宋体"/>
          <w:b/>
          <w:color w:val="auto"/>
          <w:highlight w:val="none"/>
          <w:lang w:val="en-US" w:eastAsia="zh-CN"/>
        </w:rPr>
        <w:t>0</w:t>
      </w:r>
      <w:r>
        <w:rPr>
          <w:rFonts w:eastAsia="Times New Roman"/>
          <w:b/>
          <w:color w:val="auto"/>
          <w:highlight w:val="none"/>
        </w:rPr>
        <w:t xml:space="preserve"> </w:t>
      </w:r>
      <w:r>
        <w:rPr>
          <w:rFonts w:eastAsia="黑体"/>
          <w:color w:val="auto"/>
          <w:highlight w:val="none"/>
        </w:rPr>
        <w:t>年飞机尾气的污染物排放量</w:t>
      </w:r>
      <w:r>
        <w:rPr>
          <w:rFonts w:hint="eastAsia" w:eastAsia="黑体"/>
          <w:color w:val="auto"/>
          <w:highlight w:val="none"/>
        </w:rPr>
        <w:t xml:space="preserve"> </w:t>
      </w:r>
      <w:r>
        <w:rPr>
          <w:rFonts w:eastAsia="黑体"/>
          <w:color w:val="auto"/>
          <w:highlight w:val="none"/>
        </w:rPr>
        <w:t xml:space="preserve">   </w:t>
      </w:r>
      <w:r>
        <w:rPr>
          <w:rFonts w:eastAsia="黑体"/>
          <w:color w:val="auto"/>
          <w:sz w:val="21"/>
          <w:szCs w:val="21"/>
          <w:highlight w:val="none"/>
        </w:rPr>
        <w:t>单位：</w:t>
      </w:r>
      <w:r>
        <w:rPr>
          <w:rFonts w:eastAsia="Times New Roman"/>
          <w:b/>
          <w:color w:val="auto"/>
          <w:sz w:val="21"/>
          <w:szCs w:val="21"/>
          <w:highlight w:val="none"/>
        </w:rPr>
        <w:t>t/a</w:t>
      </w:r>
    </w:p>
    <w:tbl>
      <w:tblPr>
        <w:tblStyle w:val="40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1091"/>
        <w:gridCol w:w="1582"/>
        <w:gridCol w:w="1778"/>
        <w:gridCol w:w="1784"/>
        <w:gridCol w:w="1710"/>
      </w:tblGrid>
      <w:tr w14:paraId="4668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120" w:type="pct"/>
            <w:gridSpan w:val="2"/>
            <w:vAlign w:val="center"/>
          </w:tcPr>
          <w:p w14:paraId="429E5C1C">
            <w:pPr>
              <w:keepNext w:val="0"/>
              <w:keepLines w:val="0"/>
              <w:suppressLineNumbers w:val="0"/>
              <w:spacing w:before="0" w:beforeAutospacing="0" w:after="0" w:afterAutospacing="0" w:line="240" w:lineRule="atLeast"/>
              <w:ind w:left="0" w:leftChars="0" w:right="0" w:rightChars="0" w:firstLine="0" w:firstLineChars="0"/>
              <w:jc w:val="center"/>
              <w:rPr>
                <w:rFonts w:hint="default"/>
                <w:color w:val="auto"/>
                <w:highlight w:val="none"/>
              </w:rPr>
            </w:pPr>
            <w:r>
              <w:rPr>
                <w:rFonts w:hint="default"/>
                <w:color w:val="auto"/>
                <w:sz w:val="21"/>
                <w:highlight w:val="none"/>
              </w:rPr>
              <w:t>污染物名称</w:t>
            </w:r>
          </w:p>
        </w:tc>
        <w:tc>
          <w:tcPr>
            <w:tcW w:w="895" w:type="pct"/>
            <w:vAlign w:val="center"/>
          </w:tcPr>
          <w:p w14:paraId="4ECF14CB">
            <w:pPr>
              <w:keepNext w:val="0"/>
              <w:keepLines w:val="0"/>
              <w:suppressLineNumbers w:val="0"/>
              <w:spacing w:before="0" w:beforeAutospacing="0" w:after="0" w:afterAutospacing="0" w:line="240" w:lineRule="atLeast"/>
              <w:ind w:left="0" w:leftChars="0" w:right="0" w:rightChars="0" w:firstLine="0" w:firstLineChars="0"/>
              <w:jc w:val="center"/>
              <w:rPr>
                <w:rFonts w:hint="default"/>
                <w:color w:val="auto"/>
                <w:highlight w:val="none"/>
              </w:rPr>
            </w:pPr>
            <w:r>
              <w:rPr>
                <w:rFonts w:hint="default" w:eastAsia="Times New Roman"/>
                <w:color w:val="auto"/>
                <w:sz w:val="21"/>
                <w:highlight w:val="none"/>
              </w:rPr>
              <w:t>SO</w:t>
            </w:r>
            <w:r>
              <w:rPr>
                <w:rFonts w:hint="default" w:eastAsia="Times New Roman"/>
                <w:color w:val="auto"/>
                <w:sz w:val="21"/>
                <w:highlight w:val="none"/>
                <w:vertAlign w:val="subscript"/>
              </w:rPr>
              <w:t>2</w:t>
            </w:r>
          </w:p>
        </w:tc>
        <w:tc>
          <w:tcPr>
            <w:tcW w:w="1006" w:type="pct"/>
            <w:vAlign w:val="center"/>
          </w:tcPr>
          <w:p w14:paraId="78CF62EA">
            <w:pPr>
              <w:keepNext w:val="0"/>
              <w:keepLines w:val="0"/>
              <w:suppressLineNumbers w:val="0"/>
              <w:spacing w:before="0" w:beforeAutospacing="0" w:after="0" w:afterAutospacing="0" w:line="240" w:lineRule="atLeast"/>
              <w:ind w:left="0" w:leftChars="0" w:right="0" w:rightChars="0" w:firstLine="0" w:firstLineChars="0"/>
              <w:jc w:val="center"/>
              <w:rPr>
                <w:rFonts w:hint="default"/>
                <w:color w:val="auto"/>
                <w:highlight w:val="none"/>
              </w:rPr>
            </w:pPr>
            <w:r>
              <w:rPr>
                <w:rFonts w:hint="default" w:eastAsia="Times New Roman"/>
                <w:color w:val="auto"/>
                <w:sz w:val="21"/>
                <w:highlight w:val="none"/>
              </w:rPr>
              <w:t>CO</w:t>
            </w:r>
          </w:p>
        </w:tc>
        <w:tc>
          <w:tcPr>
            <w:tcW w:w="1009" w:type="pct"/>
            <w:vAlign w:val="center"/>
          </w:tcPr>
          <w:p w14:paraId="435E28DB">
            <w:pPr>
              <w:keepNext w:val="0"/>
              <w:keepLines w:val="0"/>
              <w:suppressLineNumbers w:val="0"/>
              <w:spacing w:before="0" w:beforeAutospacing="0" w:after="0" w:afterAutospacing="0" w:line="240" w:lineRule="atLeast"/>
              <w:ind w:left="0" w:leftChars="0" w:right="0" w:rightChars="0" w:firstLine="0" w:firstLineChars="0"/>
              <w:jc w:val="center"/>
              <w:rPr>
                <w:rFonts w:hint="default"/>
                <w:color w:val="auto"/>
                <w:highlight w:val="none"/>
              </w:rPr>
            </w:pPr>
            <w:r>
              <w:rPr>
                <w:rFonts w:hint="default"/>
                <w:color w:val="auto"/>
                <w:sz w:val="21"/>
                <w:highlight w:val="none"/>
              </w:rPr>
              <w:t>NMHC</w:t>
            </w:r>
          </w:p>
        </w:tc>
        <w:tc>
          <w:tcPr>
            <w:tcW w:w="967" w:type="pct"/>
            <w:vAlign w:val="center"/>
          </w:tcPr>
          <w:p w14:paraId="5447F401">
            <w:pPr>
              <w:keepNext w:val="0"/>
              <w:keepLines w:val="0"/>
              <w:suppressLineNumbers w:val="0"/>
              <w:spacing w:before="0" w:beforeAutospacing="0" w:after="0" w:afterAutospacing="0" w:line="240" w:lineRule="atLeast"/>
              <w:ind w:left="0" w:leftChars="0" w:right="0" w:rightChars="0" w:firstLine="0" w:firstLineChars="0"/>
              <w:jc w:val="center"/>
              <w:rPr>
                <w:rFonts w:hint="default"/>
                <w:color w:val="auto"/>
                <w:highlight w:val="none"/>
              </w:rPr>
            </w:pPr>
            <w:r>
              <w:rPr>
                <w:rFonts w:hint="default" w:eastAsia="Times New Roman"/>
                <w:color w:val="auto"/>
                <w:sz w:val="21"/>
                <w:highlight w:val="none"/>
              </w:rPr>
              <w:t>NO</w:t>
            </w:r>
            <w:r>
              <w:rPr>
                <w:rFonts w:hint="default" w:eastAsia="Times New Roman"/>
                <w:color w:val="auto"/>
                <w:sz w:val="21"/>
                <w:highlight w:val="none"/>
                <w:vertAlign w:val="subscript"/>
              </w:rPr>
              <w:t>x</w:t>
            </w:r>
          </w:p>
        </w:tc>
      </w:tr>
      <w:tr w14:paraId="483E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3" w:type="pct"/>
            <w:vMerge w:val="restart"/>
            <w:vAlign w:val="center"/>
          </w:tcPr>
          <w:p w14:paraId="067304E0">
            <w:pPr>
              <w:keepNext w:val="0"/>
              <w:keepLines w:val="0"/>
              <w:suppressLineNumbers w:val="0"/>
              <w:spacing w:before="0" w:beforeAutospacing="0" w:after="0" w:afterAutospacing="0" w:line="240" w:lineRule="atLeast"/>
              <w:ind w:left="0" w:leftChars="0" w:right="0" w:rightChars="0" w:firstLine="0" w:firstLineChars="0"/>
              <w:jc w:val="center"/>
              <w:rPr>
                <w:rFonts w:hint="default"/>
                <w:color w:val="auto"/>
                <w:highlight w:val="none"/>
              </w:rPr>
            </w:pPr>
            <w:r>
              <w:rPr>
                <w:rFonts w:hint="default"/>
                <w:color w:val="auto"/>
                <w:sz w:val="21"/>
                <w:highlight w:val="none"/>
              </w:rPr>
              <w:t>排放量</w:t>
            </w:r>
          </w:p>
        </w:tc>
        <w:tc>
          <w:tcPr>
            <w:tcW w:w="617" w:type="pct"/>
            <w:vAlign w:val="center"/>
          </w:tcPr>
          <w:p w14:paraId="62458756">
            <w:pPr>
              <w:keepNext w:val="0"/>
              <w:keepLines w:val="0"/>
              <w:suppressLineNumbers w:val="0"/>
              <w:spacing w:before="0" w:beforeAutospacing="0" w:after="0" w:afterAutospacing="0" w:line="240" w:lineRule="atLeast"/>
              <w:ind w:left="0" w:leftChars="0" w:right="0" w:rightChars="0" w:firstLine="0" w:firstLineChars="0"/>
              <w:jc w:val="center"/>
              <w:rPr>
                <w:rFonts w:hint="default" w:eastAsia="宋体"/>
                <w:color w:val="auto"/>
                <w:sz w:val="21"/>
                <w:highlight w:val="none"/>
                <w:lang w:val="en-US" w:eastAsia="zh-CN"/>
              </w:rPr>
            </w:pPr>
            <w:r>
              <w:rPr>
                <w:rFonts w:hint="eastAsia"/>
                <w:color w:val="auto"/>
                <w:sz w:val="21"/>
                <w:highlight w:val="none"/>
                <w:lang w:val="en-US" w:eastAsia="zh-CN"/>
              </w:rPr>
              <w:t>折算前</w:t>
            </w:r>
          </w:p>
        </w:tc>
        <w:tc>
          <w:tcPr>
            <w:tcW w:w="895" w:type="pct"/>
            <w:vAlign w:val="center"/>
          </w:tcPr>
          <w:p w14:paraId="5113DEBB">
            <w:pPr>
              <w:keepNext w:val="0"/>
              <w:keepLines w:val="0"/>
              <w:suppressLineNumbers w:val="0"/>
              <w:spacing w:before="0" w:beforeAutospacing="0" w:after="0" w:afterAutospacing="0" w:line="240" w:lineRule="atLeast"/>
              <w:ind w:left="0" w:leftChars="0" w:right="0" w:rightChars="0" w:firstLine="0" w:firstLineChars="0"/>
              <w:jc w:val="center"/>
              <w:rPr>
                <w:rFonts w:hint="default" w:eastAsia="Times New Roman"/>
                <w:color w:val="auto"/>
                <w:sz w:val="21"/>
                <w:highlight w:val="none"/>
              </w:rPr>
            </w:pPr>
            <w:r>
              <w:rPr>
                <w:rFonts w:hint="default"/>
                <w:color w:val="auto"/>
                <w:kern w:val="0"/>
                <w:sz w:val="21"/>
                <w:szCs w:val="20"/>
                <w:highlight w:val="none"/>
              </w:rPr>
              <w:t>/</w:t>
            </w:r>
          </w:p>
        </w:tc>
        <w:tc>
          <w:tcPr>
            <w:tcW w:w="1006" w:type="pct"/>
            <w:vAlign w:val="center"/>
          </w:tcPr>
          <w:p w14:paraId="2FEC0524">
            <w:pPr>
              <w:keepNext w:val="0"/>
              <w:keepLines w:val="0"/>
              <w:suppressLineNumbers w:val="0"/>
              <w:spacing w:before="0" w:beforeAutospacing="0" w:after="0" w:afterAutospacing="0" w:line="240" w:lineRule="atLeast"/>
              <w:ind w:left="0" w:leftChars="0" w:right="0" w:rightChars="0" w:firstLine="0" w:firstLineChars="0"/>
              <w:jc w:val="center"/>
              <w:rPr>
                <w:rFonts w:hint="eastAsia" w:eastAsia="宋体"/>
                <w:color w:val="auto"/>
                <w:sz w:val="21"/>
                <w:highlight w:val="none"/>
                <w:lang w:val="en-US" w:eastAsia="zh-CN"/>
              </w:rPr>
            </w:pPr>
            <w:r>
              <w:rPr>
                <w:rFonts w:hint="default" w:eastAsia="Times New Roman"/>
                <w:color w:val="auto"/>
                <w:sz w:val="21"/>
                <w:highlight w:val="none"/>
              </w:rPr>
              <w:t>40.39</w:t>
            </w:r>
            <w:r>
              <w:rPr>
                <w:rFonts w:hint="eastAsia" w:eastAsia="宋体"/>
                <w:color w:val="auto"/>
                <w:sz w:val="21"/>
                <w:highlight w:val="none"/>
                <w:lang w:val="en-US" w:eastAsia="zh-CN"/>
              </w:rPr>
              <w:t>2</w:t>
            </w:r>
          </w:p>
        </w:tc>
        <w:tc>
          <w:tcPr>
            <w:tcW w:w="1009" w:type="pct"/>
            <w:vAlign w:val="center"/>
          </w:tcPr>
          <w:p w14:paraId="2CE45F8A">
            <w:pPr>
              <w:keepNext w:val="0"/>
              <w:keepLines w:val="0"/>
              <w:suppressLineNumbers w:val="0"/>
              <w:spacing w:before="0" w:beforeAutospacing="0" w:after="0" w:afterAutospacing="0" w:line="240" w:lineRule="atLeast"/>
              <w:ind w:left="0" w:leftChars="0" w:right="0" w:rightChars="0" w:firstLine="0" w:firstLineChars="0"/>
              <w:jc w:val="center"/>
              <w:rPr>
                <w:rFonts w:hint="default" w:eastAsia="宋体"/>
                <w:color w:val="auto"/>
                <w:highlight w:val="none"/>
                <w:lang w:val="en-US" w:eastAsia="zh-CN"/>
              </w:rPr>
            </w:pPr>
            <w:r>
              <w:rPr>
                <w:rFonts w:hint="default" w:eastAsia="Times New Roman"/>
                <w:color w:val="auto"/>
                <w:sz w:val="21"/>
                <w:highlight w:val="none"/>
              </w:rPr>
              <w:t>10.</w:t>
            </w:r>
            <w:r>
              <w:rPr>
                <w:rFonts w:hint="eastAsia" w:eastAsia="宋体"/>
                <w:color w:val="auto"/>
                <w:sz w:val="21"/>
                <w:highlight w:val="none"/>
                <w:lang w:val="en-US" w:eastAsia="zh-CN"/>
              </w:rPr>
              <w:t>296</w:t>
            </w:r>
          </w:p>
        </w:tc>
        <w:tc>
          <w:tcPr>
            <w:tcW w:w="967" w:type="pct"/>
            <w:vAlign w:val="center"/>
          </w:tcPr>
          <w:p w14:paraId="38694271">
            <w:pPr>
              <w:keepNext w:val="0"/>
              <w:keepLines w:val="0"/>
              <w:suppressLineNumbers w:val="0"/>
              <w:spacing w:before="0" w:beforeAutospacing="0" w:after="0" w:afterAutospacing="0" w:line="240" w:lineRule="atLeast"/>
              <w:ind w:left="0" w:leftChars="0" w:right="0" w:rightChars="0" w:firstLine="0" w:firstLineChars="0"/>
              <w:jc w:val="center"/>
              <w:rPr>
                <w:rFonts w:hint="default" w:eastAsia="宋体"/>
                <w:color w:val="auto"/>
                <w:highlight w:val="none"/>
                <w:lang w:val="en-US" w:eastAsia="zh-CN"/>
              </w:rPr>
            </w:pPr>
            <w:r>
              <w:rPr>
                <w:rFonts w:hint="default" w:eastAsia="Times New Roman"/>
                <w:color w:val="auto"/>
                <w:sz w:val="21"/>
                <w:highlight w:val="none"/>
              </w:rPr>
              <w:t>22.</w:t>
            </w:r>
            <w:r>
              <w:rPr>
                <w:rFonts w:hint="eastAsia" w:eastAsia="宋体"/>
                <w:color w:val="auto"/>
                <w:sz w:val="21"/>
                <w:highlight w:val="none"/>
                <w:lang w:val="en-US" w:eastAsia="zh-CN"/>
              </w:rPr>
              <w:t>47</w:t>
            </w:r>
            <w:r>
              <w:rPr>
                <w:rFonts w:hint="eastAsia"/>
                <w:color w:val="auto"/>
                <w:sz w:val="21"/>
                <w:highlight w:val="none"/>
                <w:lang w:val="en-US" w:eastAsia="zh-CN"/>
              </w:rPr>
              <w:t>3</w:t>
            </w:r>
          </w:p>
        </w:tc>
      </w:tr>
      <w:tr w14:paraId="482F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3" w:type="pct"/>
            <w:vMerge w:val="continue"/>
            <w:vAlign w:val="center"/>
          </w:tcPr>
          <w:p w14:paraId="3A1C0975">
            <w:pPr>
              <w:keepNext w:val="0"/>
              <w:keepLines w:val="0"/>
              <w:suppressLineNumbers w:val="0"/>
              <w:spacing w:before="0" w:beforeAutospacing="0" w:after="0" w:afterAutospacing="0" w:line="240" w:lineRule="atLeast"/>
              <w:ind w:left="0" w:leftChars="0" w:right="0" w:rightChars="0" w:firstLine="0" w:firstLineChars="0"/>
              <w:jc w:val="center"/>
              <w:rPr>
                <w:rFonts w:hint="default"/>
                <w:color w:val="auto"/>
                <w:sz w:val="21"/>
                <w:highlight w:val="none"/>
              </w:rPr>
            </w:pPr>
          </w:p>
        </w:tc>
        <w:tc>
          <w:tcPr>
            <w:tcW w:w="617" w:type="pct"/>
            <w:vAlign w:val="center"/>
          </w:tcPr>
          <w:p w14:paraId="5F2793DD">
            <w:pPr>
              <w:keepNext w:val="0"/>
              <w:keepLines w:val="0"/>
              <w:suppressLineNumbers w:val="0"/>
              <w:spacing w:before="0" w:beforeAutospacing="0" w:after="0" w:afterAutospacing="0" w:line="240" w:lineRule="atLeast"/>
              <w:ind w:left="0" w:leftChars="0" w:right="0" w:rightChars="0" w:firstLine="0" w:firstLineChars="0"/>
              <w:jc w:val="center"/>
              <w:rPr>
                <w:rFonts w:hint="eastAsia" w:eastAsia="宋体"/>
                <w:color w:val="auto"/>
                <w:sz w:val="21"/>
                <w:highlight w:val="none"/>
                <w:lang w:val="en-US" w:eastAsia="zh-CN"/>
              </w:rPr>
            </w:pPr>
            <w:r>
              <w:rPr>
                <w:rFonts w:hint="default"/>
                <w:color w:val="auto"/>
                <w:sz w:val="21"/>
                <w:highlight w:val="none"/>
              </w:rPr>
              <w:t>折算</w:t>
            </w:r>
            <w:r>
              <w:rPr>
                <w:rFonts w:hint="eastAsia"/>
                <w:color w:val="auto"/>
                <w:sz w:val="21"/>
                <w:highlight w:val="none"/>
                <w:lang w:val="en-US" w:eastAsia="zh-CN"/>
              </w:rPr>
              <w:t>后</w:t>
            </w:r>
          </w:p>
        </w:tc>
        <w:tc>
          <w:tcPr>
            <w:tcW w:w="895" w:type="pct"/>
            <w:vAlign w:val="center"/>
          </w:tcPr>
          <w:p w14:paraId="28AE9AC3">
            <w:pPr>
              <w:keepNext w:val="0"/>
              <w:keepLines w:val="0"/>
              <w:suppressLineNumbers w:val="0"/>
              <w:spacing w:before="0" w:beforeAutospacing="0" w:after="0" w:afterAutospacing="0" w:line="240" w:lineRule="atLeast"/>
              <w:ind w:left="0" w:leftChars="0" w:right="0" w:rightChars="0" w:firstLine="0" w:firstLineChars="0"/>
              <w:jc w:val="center"/>
              <w:rPr>
                <w:rFonts w:hint="eastAsia" w:eastAsia="宋体"/>
                <w:color w:val="auto"/>
                <w:kern w:val="0"/>
                <w:sz w:val="21"/>
                <w:szCs w:val="20"/>
                <w:highlight w:val="none"/>
                <w:lang w:val="en-US" w:eastAsia="zh-CN"/>
              </w:rPr>
            </w:pPr>
            <w:r>
              <w:rPr>
                <w:rFonts w:hint="eastAsia"/>
                <w:color w:val="auto"/>
                <w:kern w:val="0"/>
                <w:sz w:val="21"/>
                <w:szCs w:val="20"/>
                <w:highlight w:val="none"/>
                <w:lang w:val="en-US" w:eastAsia="zh-CN"/>
              </w:rPr>
              <w:t>/</w:t>
            </w:r>
          </w:p>
        </w:tc>
        <w:tc>
          <w:tcPr>
            <w:tcW w:w="1006" w:type="pct"/>
            <w:vAlign w:val="center"/>
          </w:tcPr>
          <w:p w14:paraId="5F9428DC">
            <w:pPr>
              <w:keepNext w:val="0"/>
              <w:keepLines w:val="0"/>
              <w:suppressLineNumbers w:val="0"/>
              <w:spacing w:before="0" w:beforeAutospacing="0" w:after="0" w:afterAutospacing="0" w:line="240" w:lineRule="atLeast"/>
              <w:ind w:left="0" w:leftChars="0" w:right="0" w:rightChars="0" w:firstLine="0" w:firstLineChars="0"/>
              <w:jc w:val="center"/>
              <w:rPr>
                <w:rFonts w:hint="default" w:eastAsia="Times New Roman"/>
                <w:color w:val="auto"/>
                <w:sz w:val="21"/>
                <w:highlight w:val="none"/>
              </w:rPr>
            </w:pPr>
            <w:r>
              <w:rPr>
                <w:rFonts w:hint="default" w:eastAsia="Times New Roman"/>
                <w:color w:val="auto"/>
                <w:sz w:val="21"/>
                <w:highlight w:val="none"/>
              </w:rPr>
              <w:t>20.196</w:t>
            </w:r>
          </w:p>
        </w:tc>
        <w:tc>
          <w:tcPr>
            <w:tcW w:w="1009" w:type="pct"/>
            <w:vAlign w:val="center"/>
          </w:tcPr>
          <w:p w14:paraId="5BDA0983">
            <w:pPr>
              <w:keepNext w:val="0"/>
              <w:keepLines w:val="0"/>
              <w:suppressLineNumbers w:val="0"/>
              <w:spacing w:before="0" w:beforeAutospacing="0" w:after="0" w:afterAutospacing="0" w:line="240" w:lineRule="atLeast"/>
              <w:ind w:left="0" w:leftChars="0" w:right="0" w:rightChars="0" w:firstLine="0" w:firstLineChars="0"/>
              <w:jc w:val="center"/>
              <w:rPr>
                <w:rFonts w:hint="default" w:eastAsia="Times New Roman"/>
                <w:color w:val="auto"/>
                <w:sz w:val="21"/>
                <w:highlight w:val="none"/>
              </w:rPr>
            </w:pPr>
            <w:r>
              <w:rPr>
                <w:rFonts w:hint="default" w:eastAsia="Times New Roman"/>
                <w:color w:val="auto"/>
                <w:sz w:val="21"/>
                <w:highlight w:val="none"/>
              </w:rPr>
              <w:t>5.148</w:t>
            </w:r>
          </w:p>
        </w:tc>
        <w:tc>
          <w:tcPr>
            <w:tcW w:w="967" w:type="pct"/>
            <w:vAlign w:val="center"/>
          </w:tcPr>
          <w:p w14:paraId="75AE50AE">
            <w:pPr>
              <w:keepNext w:val="0"/>
              <w:keepLines w:val="0"/>
              <w:suppressLineNumbers w:val="0"/>
              <w:spacing w:before="0" w:beforeAutospacing="0" w:after="0" w:afterAutospacing="0" w:line="240" w:lineRule="atLeast"/>
              <w:ind w:left="0" w:leftChars="0" w:right="0" w:rightChars="0" w:firstLine="0" w:firstLineChars="0"/>
              <w:jc w:val="center"/>
              <w:rPr>
                <w:rFonts w:hint="eastAsia" w:eastAsia="宋体"/>
                <w:color w:val="auto"/>
                <w:sz w:val="21"/>
                <w:highlight w:val="none"/>
                <w:lang w:val="en-US" w:eastAsia="zh-CN"/>
              </w:rPr>
            </w:pPr>
            <w:r>
              <w:rPr>
                <w:rFonts w:hint="default" w:eastAsia="Times New Roman"/>
                <w:color w:val="auto"/>
                <w:sz w:val="21"/>
                <w:highlight w:val="none"/>
              </w:rPr>
              <w:t>11.23</w:t>
            </w:r>
            <w:r>
              <w:rPr>
                <w:rFonts w:hint="eastAsia" w:eastAsia="宋体"/>
                <w:color w:val="auto"/>
                <w:sz w:val="21"/>
                <w:highlight w:val="none"/>
                <w:lang w:val="en-US" w:eastAsia="zh-CN"/>
              </w:rPr>
              <w:t>7</w:t>
            </w:r>
          </w:p>
        </w:tc>
      </w:tr>
    </w:tbl>
    <w:p w14:paraId="26AC3DD6">
      <w:pPr>
        <w:widowControl/>
        <w:spacing w:after="154" w:line="259" w:lineRule="auto"/>
        <w:ind w:right="6"/>
        <w:jc w:val="left"/>
        <w:outlineLvl w:val="4"/>
        <w:rPr>
          <w:b/>
          <w:bCs/>
          <w:color w:val="auto"/>
          <w:highlight w:val="none"/>
        </w:rPr>
      </w:pPr>
      <w:r>
        <w:rPr>
          <w:rFonts w:hint="eastAsia"/>
          <w:b/>
          <w:bCs/>
          <w:color w:val="auto"/>
          <w:highlight w:val="none"/>
        </w:rPr>
        <w:t>（2）</w:t>
      </w:r>
      <w:r>
        <w:rPr>
          <w:b/>
          <w:bCs/>
          <w:color w:val="auto"/>
          <w:highlight w:val="none"/>
        </w:rPr>
        <w:t>汽车尾气</w:t>
      </w:r>
    </w:p>
    <w:p w14:paraId="4AE6123F">
      <w:pPr>
        <w:ind w:firstLine="480" w:firstLineChars="200"/>
        <w:rPr>
          <w:color w:val="auto"/>
          <w:highlight w:val="none"/>
        </w:rPr>
      </w:pPr>
      <w:r>
        <w:rPr>
          <w:color w:val="auto"/>
          <w:highlight w:val="none"/>
        </w:rPr>
        <w:t>汽车尾气主要污染物为</w:t>
      </w:r>
      <w:r>
        <w:rPr>
          <w:rFonts w:eastAsia="Times New Roman"/>
          <w:color w:val="auto"/>
          <w:highlight w:val="none"/>
        </w:rPr>
        <w:t>CO</w:t>
      </w:r>
      <w:r>
        <w:rPr>
          <w:color w:val="auto"/>
          <w:highlight w:val="none"/>
        </w:rPr>
        <w:t>、</w:t>
      </w:r>
      <w:r>
        <w:rPr>
          <w:rFonts w:eastAsia="Times New Roman"/>
          <w:color w:val="auto"/>
          <w:highlight w:val="none"/>
        </w:rPr>
        <w:t>NO</w:t>
      </w:r>
      <w:r>
        <w:rPr>
          <w:rFonts w:eastAsia="Times New Roman"/>
          <w:color w:val="auto"/>
          <w:highlight w:val="none"/>
          <w:vertAlign w:val="subscript"/>
        </w:rPr>
        <w:t>x</w:t>
      </w:r>
      <w:r>
        <w:rPr>
          <w:color w:val="auto"/>
          <w:highlight w:val="none"/>
        </w:rPr>
        <w:t>、</w:t>
      </w:r>
      <w:r>
        <w:rPr>
          <w:rFonts w:hint="eastAsia"/>
          <w:color w:val="auto"/>
          <w:highlight w:val="none"/>
        </w:rPr>
        <w:t>N</w:t>
      </w:r>
      <w:r>
        <w:rPr>
          <w:color w:val="auto"/>
          <w:highlight w:val="none"/>
        </w:rPr>
        <w:t>MHC。根据可行性研究报告关于进出机场车辆数预测结果，</w:t>
      </w:r>
      <w:r>
        <w:rPr>
          <w:rFonts w:hint="eastAsia"/>
          <w:color w:val="auto"/>
          <w:highlight w:val="none"/>
          <w:lang w:val="en-US" w:eastAsia="zh-CN"/>
        </w:rPr>
        <w:t>本期</w:t>
      </w:r>
      <w:r>
        <w:rPr>
          <w:color w:val="auto"/>
          <w:highlight w:val="none"/>
        </w:rPr>
        <w:t>目标年</w:t>
      </w:r>
      <w:r>
        <w:rPr>
          <w:rFonts w:eastAsia="Times New Roman"/>
          <w:color w:val="auto"/>
          <w:highlight w:val="none"/>
        </w:rPr>
        <w:t>203</w:t>
      </w:r>
      <w:r>
        <w:rPr>
          <w:rFonts w:hint="eastAsia" w:eastAsia="宋体"/>
          <w:color w:val="auto"/>
          <w:highlight w:val="none"/>
          <w:lang w:val="en-US" w:eastAsia="zh-CN"/>
        </w:rPr>
        <w:t>0</w:t>
      </w:r>
      <w:r>
        <w:rPr>
          <w:color w:val="auto"/>
          <w:highlight w:val="none"/>
        </w:rPr>
        <w:t>年进入停车场的车辆情况见</w:t>
      </w:r>
      <w:r>
        <w:rPr>
          <w:rFonts w:hint="eastAsia"/>
          <w:color w:val="auto"/>
          <w:highlight w:val="none"/>
          <w:lang w:val="en-US" w:eastAsia="zh-CN"/>
        </w:rPr>
        <w:t>下</w:t>
      </w:r>
      <w:r>
        <w:rPr>
          <w:color w:val="auto"/>
          <w:highlight w:val="none"/>
        </w:rPr>
        <w:t>表</w:t>
      </w:r>
      <w:r>
        <w:rPr>
          <w:rFonts w:hint="eastAsia"/>
          <w:color w:val="auto"/>
          <w:highlight w:val="none"/>
          <w:lang w:eastAsia="zh-CN"/>
        </w:rPr>
        <w:t>：</w:t>
      </w:r>
    </w:p>
    <w:p w14:paraId="34309B9B">
      <w:pPr>
        <w:tabs>
          <w:tab w:val="left" w:pos="7513"/>
        </w:tabs>
        <w:spacing w:after="3"/>
        <w:ind w:left="0" w:leftChars="0" w:right="0" w:rightChars="0" w:firstLine="0" w:firstLineChars="0"/>
        <w:jc w:val="center"/>
        <w:rPr>
          <w:color w:val="auto"/>
          <w:highlight w:val="none"/>
        </w:rPr>
      </w:pPr>
      <w:r>
        <w:rPr>
          <w:rFonts w:eastAsia="黑体"/>
          <w:color w:val="auto"/>
          <w:highlight w:val="none"/>
        </w:rPr>
        <w:t>表</w:t>
      </w:r>
      <w:r>
        <w:rPr>
          <w:rFonts w:hint="eastAsia"/>
          <w:b/>
          <w:color w:val="auto"/>
          <w:highlight w:val="none"/>
          <w:lang w:eastAsia="zh-CN"/>
        </w:rPr>
        <w:t>3.5</w:t>
      </w:r>
      <w:r>
        <w:rPr>
          <w:rFonts w:hint="eastAsia"/>
          <w:b/>
          <w:color w:val="auto"/>
          <w:highlight w:val="none"/>
          <w:lang w:val="en-US" w:eastAsia="zh-CN"/>
        </w:rPr>
        <w:t>-10</w:t>
      </w:r>
      <w:r>
        <w:rPr>
          <w:color w:val="auto"/>
          <w:highlight w:val="none"/>
        </w:rPr>
        <w:t xml:space="preserve"> </w:t>
      </w:r>
      <w:r>
        <w:rPr>
          <w:rFonts w:eastAsia="黑体"/>
          <w:color w:val="auto"/>
          <w:highlight w:val="none"/>
        </w:rPr>
        <w:t>高峰小时进入停车场车辆数</w:t>
      </w:r>
      <w:r>
        <w:rPr>
          <w:rFonts w:hint="eastAsia" w:eastAsia="黑体"/>
          <w:color w:val="auto"/>
          <w:highlight w:val="none"/>
        </w:rPr>
        <w:t xml:space="preserve"> </w:t>
      </w:r>
      <w:r>
        <w:rPr>
          <w:rFonts w:eastAsia="黑体"/>
          <w:color w:val="auto"/>
          <w:highlight w:val="none"/>
        </w:rPr>
        <w:t xml:space="preserve">   </w:t>
      </w:r>
      <w:r>
        <w:rPr>
          <w:rFonts w:eastAsia="黑体"/>
          <w:color w:val="auto"/>
          <w:sz w:val="21"/>
          <w:szCs w:val="21"/>
          <w:highlight w:val="none"/>
        </w:rPr>
        <w:t>单位：辆</w:t>
      </w:r>
      <w:r>
        <w:rPr>
          <w:rFonts w:eastAsia="Times New Roman"/>
          <w:b/>
          <w:color w:val="auto"/>
          <w:sz w:val="21"/>
          <w:szCs w:val="21"/>
          <w:highlight w:val="none"/>
        </w:rPr>
        <w:t>/h</w:t>
      </w:r>
    </w:p>
    <w:tbl>
      <w:tblPr>
        <w:tblStyle w:val="98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8"/>
        <w:gridCol w:w="1748"/>
        <w:gridCol w:w="1746"/>
        <w:gridCol w:w="1748"/>
        <w:gridCol w:w="1742"/>
      </w:tblGrid>
      <w:tr w14:paraId="1DFD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pct"/>
            <w:tcMar>
              <w:left w:w="57" w:type="dxa"/>
              <w:right w:w="57" w:type="dxa"/>
            </w:tcMar>
            <w:vAlign w:val="center"/>
          </w:tcPr>
          <w:p w14:paraId="55AC1EE9">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sz w:val="21"/>
                <w:szCs w:val="21"/>
                <w:highlight w:val="none"/>
              </w:rPr>
            </w:pPr>
            <w:r>
              <w:rPr>
                <w:rFonts w:hint="default" w:cs="Times New Roman" w:eastAsiaTheme="minorEastAsia"/>
                <w:color w:val="auto"/>
                <w:sz w:val="21"/>
                <w:szCs w:val="21"/>
                <w:highlight w:val="none"/>
              </w:rPr>
              <w:t>小轿车</w:t>
            </w:r>
          </w:p>
        </w:tc>
        <w:tc>
          <w:tcPr>
            <w:tcW w:w="1001" w:type="pct"/>
            <w:tcMar>
              <w:left w:w="57" w:type="dxa"/>
              <w:right w:w="57" w:type="dxa"/>
            </w:tcMar>
            <w:vAlign w:val="center"/>
          </w:tcPr>
          <w:p w14:paraId="7D459521">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sz w:val="21"/>
                <w:szCs w:val="21"/>
                <w:highlight w:val="none"/>
              </w:rPr>
            </w:pPr>
            <w:r>
              <w:rPr>
                <w:rFonts w:hint="default" w:cs="Times New Roman" w:eastAsiaTheme="minorEastAsia"/>
                <w:color w:val="auto"/>
                <w:sz w:val="21"/>
                <w:szCs w:val="21"/>
                <w:highlight w:val="none"/>
              </w:rPr>
              <w:t>出租车</w:t>
            </w:r>
          </w:p>
        </w:tc>
        <w:tc>
          <w:tcPr>
            <w:tcW w:w="1000" w:type="pct"/>
            <w:tcMar>
              <w:left w:w="57" w:type="dxa"/>
              <w:right w:w="57" w:type="dxa"/>
            </w:tcMar>
            <w:vAlign w:val="center"/>
          </w:tcPr>
          <w:p w14:paraId="7D6FE863">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sz w:val="21"/>
                <w:szCs w:val="21"/>
                <w:highlight w:val="none"/>
              </w:rPr>
            </w:pPr>
            <w:r>
              <w:rPr>
                <w:rFonts w:hint="default" w:cs="Times New Roman" w:eastAsiaTheme="minorEastAsia"/>
                <w:color w:val="auto"/>
                <w:sz w:val="21"/>
                <w:szCs w:val="21"/>
                <w:highlight w:val="none"/>
              </w:rPr>
              <w:t>面包车</w:t>
            </w:r>
          </w:p>
        </w:tc>
        <w:tc>
          <w:tcPr>
            <w:tcW w:w="1001" w:type="pct"/>
            <w:tcMar>
              <w:left w:w="57" w:type="dxa"/>
              <w:right w:w="57" w:type="dxa"/>
            </w:tcMar>
            <w:vAlign w:val="center"/>
          </w:tcPr>
          <w:p w14:paraId="5889C969">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sz w:val="21"/>
                <w:szCs w:val="21"/>
                <w:highlight w:val="none"/>
              </w:rPr>
            </w:pPr>
            <w:r>
              <w:rPr>
                <w:rFonts w:hint="default" w:cs="Times New Roman" w:eastAsiaTheme="minorEastAsia"/>
                <w:color w:val="auto"/>
                <w:sz w:val="21"/>
                <w:szCs w:val="21"/>
                <w:highlight w:val="none"/>
              </w:rPr>
              <w:t>大客车</w:t>
            </w:r>
          </w:p>
        </w:tc>
        <w:tc>
          <w:tcPr>
            <w:tcW w:w="998" w:type="pct"/>
            <w:tcMar>
              <w:left w:w="57" w:type="dxa"/>
              <w:right w:w="57" w:type="dxa"/>
            </w:tcMar>
            <w:vAlign w:val="center"/>
          </w:tcPr>
          <w:p w14:paraId="79051839">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sz w:val="21"/>
                <w:szCs w:val="21"/>
                <w:highlight w:val="none"/>
              </w:rPr>
            </w:pPr>
            <w:r>
              <w:rPr>
                <w:rFonts w:hint="default" w:cs="Times New Roman" w:eastAsiaTheme="minorEastAsia"/>
                <w:color w:val="auto"/>
                <w:sz w:val="21"/>
                <w:szCs w:val="21"/>
                <w:highlight w:val="none"/>
              </w:rPr>
              <w:t>合计</w:t>
            </w:r>
          </w:p>
        </w:tc>
      </w:tr>
      <w:tr w14:paraId="3828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pct"/>
            <w:tcMar>
              <w:left w:w="57" w:type="dxa"/>
              <w:right w:w="57" w:type="dxa"/>
            </w:tcMar>
            <w:vAlign w:val="center"/>
          </w:tcPr>
          <w:p w14:paraId="61060A0F">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sz w:val="21"/>
                <w:szCs w:val="21"/>
                <w:highlight w:val="none"/>
              </w:rPr>
            </w:pPr>
            <w:r>
              <w:rPr>
                <w:rFonts w:hint="default" w:cs="Times New Roman" w:eastAsiaTheme="minorEastAsia"/>
                <w:color w:val="auto"/>
                <w:sz w:val="21"/>
                <w:szCs w:val="21"/>
                <w:highlight w:val="none"/>
              </w:rPr>
              <w:t>10</w:t>
            </w:r>
          </w:p>
        </w:tc>
        <w:tc>
          <w:tcPr>
            <w:tcW w:w="1001" w:type="pct"/>
            <w:tcMar>
              <w:left w:w="57" w:type="dxa"/>
              <w:right w:w="57" w:type="dxa"/>
            </w:tcMar>
            <w:vAlign w:val="center"/>
          </w:tcPr>
          <w:p w14:paraId="17CB5686">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sz w:val="21"/>
                <w:szCs w:val="21"/>
                <w:highlight w:val="none"/>
              </w:rPr>
            </w:pPr>
            <w:r>
              <w:rPr>
                <w:rFonts w:hint="default" w:cs="Times New Roman" w:eastAsiaTheme="minorEastAsia"/>
                <w:color w:val="auto"/>
                <w:sz w:val="21"/>
                <w:szCs w:val="21"/>
                <w:highlight w:val="none"/>
              </w:rPr>
              <w:t>6</w:t>
            </w:r>
          </w:p>
        </w:tc>
        <w:tc>
          <w:tcPr>
            <w:tcW w:w="1000" w:type="pct"/>
            <w:tcMar>
              <w:left w:w="57" w:type="dxa"/>
              <w:right w:w="57" w:type="dxa"/>
            </w:tcMar>
            <w:vAlign w:val="center"/>
          </w:tcPr>
          <w:p w14:paraId="46A0C079">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sz w:val="21"/>
                <w:szCs w:val="21"/>
                <w:highlight w:val="none"/>
              </w:rPr>
            </w:pPr>
            <w:r>
              <w:rPr>
                <w:rFonts w:hint="default" w:cs="Times New Roman" w:eastAsiaTheme="minorEastAsia"/>
                <w:color w:val="auto"/>
                <w:sz w:val="21"/>
                <w:szCs w:val="21"/>
                <w:highlight w:val="none"/>
              </w:rPr>
              <w:t>2</w:t>
            </w:r>
          </w:p>
        </w:tc>
        <w:tc>
          <w:tcPr>
            <w:tcW w:w="1001" w:type="pct"/>
            <w:tcMar>
              <w:left w:w="57" w:type="dxa"/>
              <w:right w:w="57" w:type="dxa"/>
            </w:tcMar>
            <w:vAlign w:val="center"/>
          </w:tcPr>
          <w:p w14:paraId="64145A52">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sz w:val="21"/>
                <w:szCs w:val="21"/>
                <w:highlight w:val="none"/>
              </w:rPr>
            </w:pPr>
            <w:r>
              <w:rPr>
                <w:rFonts w:hint="default" w:cs="Times New Roman" w:eastAsiaTheme="minorEastAsia"/>
                <w:color w:val="auto"/>
                <w:sz w:val="21"/>
                <w:szCs w:val="21"/>
                <w:highlight w:val="none"/>
              </w:rPr>
              <w:t>2</w:t>
            </w:r>
          </w:p>
        </w:tc>
        <w:tc>
          <w:tcPr>
            <w:tcW w:w="998" w:type="pct"/>
            <w:tcMar>
              <w:left w:w="57" w:type="dxa"/>
              <w:right w:w="57" w:type="dxa"/>
            </w:tcMar>
            <w:vAlign w:val="center"/>
          </w:tcPr>
          <w:p w14:paraId="4708DFA1">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sz w:val="21"/>
                <w:szCs w:val="21"/>
                <w:highlight w:val="none"/>
              </w:rPr>
            </w:pPr>
            <w:r>
              <w:rPr>
                <w:rFonts w:hint="default" w:cs="Times New Roman" w:eastAsiaTheme="minorEastAsia"/>
                <w:color w:val="auto"/>
                <w:sz w:val="21"/>
                <w:szCs w:val="21"/>
                <w:highlight w:val="none"/>
              </w:rPr>
              <w:t>20</w:t>
            </w:r>
          </w:p>
        </w:tc>
      </w:tr>
    </w:tbl>
    <w:p w14:paraId="55DAF683">
      <w:pPr>
        <w:ind w:firstLine="480" w:firstLineChars="200"/>
        <w:rPr>
          <w:color w:val="auto"/>
          <w:highlight w:val="none"/>
        </w:rPr>
      </w:pPr>
      <w:r>
        <w:rPr>
          <w:color w:val="auto"/>
          <w:highlight w:val="none"/>
        </w:rPr>
        <w:t>本次主要评价道路、停车场排放源强，参考美国</w:t>
      </w:r>
      <w:r>
        <w:rPr>
          <w:rFonts w:eastAsia="Times New Roman"/>
          <w:color w:val="auto"/>
          <w:highlight w:val="none"/>
        </w:rPr>
        <w:t>EPA</w:t>
      </w:r>
      <w:r>
        <w:rPr>
          <w:color w:val="auto"/>
          <w:highlight w:val="none"/>
        </w:rPr>
        <w:t>的</w:t>
      </w:r>
      <w:r>
        <w:rPr>
          <w:rFonts w:eastAsia="Times New Roman"/>
          <w:color w:val="auto"/>
          <w:highlight w:val="none"/>
        </w:rPr>
        <w:t>MOBILES</w:t>
      </w:r>
      <w:r>
        <w:rPr>
          <w:color w:val="auto"/>
          <w:highlight w:val="none"/>
        </w:rPr>
        <w:t>模式的计算结果对比，各类型汽车尾气中污染物排放量见</w:t>
      </w:r>
      <w:r>
        <w:rPr>
          <w:rFonts w:hint="eastAsia"/>
          <w:color w:val="auto"/>
          <w:highlight w:val="none"/>
          <w:lang w:val="en-US" w:eastAsia="zh-CN"/>
        </w:rPr>
        <w:t>下</w:t>
      </w:r>
      <w:r>
        <w:rPr>
          <w:color w:val="auto"/>
          <w:highlight w:val="none"/>
        </w:rPr>
        <w:t>表</w:t>
      </w:r>
      <w:r>
        <w:rPr>
          <w:rFonts w:hint="eastAsia"/>
          <w:color w:val="auto"/>
          <w:highlight w:val="none"/>
          <w:lang w:eastAsia="zh-CN"/>
        </w:rPr>
        <w:t>：</w:t>
      </w:r>
    </w:p>
    <w:p w14:paraId="3B47A674">
      <w:pPr>
        <w:tabs>
          <w:tab w:val="left" w:pos="7230"/>
        </w:tabs>
        <w:spacing w:after="3"/>
        <w:ind w:left="10" w:right="245" w:firstLine="0"/>
        <w:jc w:val="center"/>
        <w:rPr>
          <w:color w:val="auto"/>
          <w:highlight w:val="none"/>
        </w:rPr>
      </w:pPr>
      <w:r>
        <w:rPr>
          <w:rFonts w:eastAsia="黑体"/>
          <w:color w:val="auto"/>
          <w:highlight w:val="none"/>
        </w:rPr>
        <w:t>表</w:t>
      </w:r>
      <w:r>
        <w:rPr>
          <w:rFonts w:hint="eastAsia"/>
          <w:b/>
          <w:color w:val="auto"/>
          <w:highlight w:val="none"/>
          <w:lang w:eastAsia="zh-CN"/>
        </w:rPr>
        <w:t>3.5</w:t>
      </w:r>
      <w:r>
        <w:rPr>
          <w:rFonts w:hint="eastAsia"/>
          <w:b/>
          <w:color w:val="auto"/>
          <w:highlight w:val="none"/>
          <w:lang w:val="en-US" w:eastAsia="zh-CN"/>
        </w:rPr>
        <w:t>-11</w:t>
      </w:r>
      <w:r>
        <w:rPr>
          <w:color w:val="auto"/>
          <w:highlight w:val="none"/>
        </w:rPr>
        <w:t xml:space="preserve"> </w:t>
      </w:r>
      <w:r>
        <w:rPr>
          <w:rFonts w:eastAsia="黑体"/>
          <w:color w:val="auto"/>
          <w:highlight w:val="none"/>
        </w:rPr>
        <w:t>各类型汽车尾气中污染物排放量</w:t>
      </w:r>
      <w:r>
        <w:rPr>
          <w:rFonts w:hint="eastAsia" w:eastAsia="黑体"/>
          <w:color w:val="auto"/>
          <w:highlight w:val="none"/>
        </w:rPr>
        <w:t xml:space="preserve"> </w:t>
      </w:r>
      <w:r>
        <w:rPr>
          <w:rFonts w:eastAsia="黑体"/>
          <w:color w:val="auto"/>
          <w:highlight w:val="none"/>
        </w:rPr>
        <w:t xml:space="preserve">  </w:t>
      </w:r>
      <w:r>
        <w:rPr>
          <w:rFonts w:eastAsia="黑体"/>
          <w:color w:val="auto"/>
          <w:sz w:val="21"/>
          <w:szCs w:val="21"/>
          <w:highlight w:val="none"/>
        </w:rPr>
        <w:t>单位：</w:t>
      </w:r>
      <w:r>
        <w:rPr>
          <w:rFonts w:eastAsia="Times New Roman"/>
          <w:b/>
          <w:color w:val="auto"/>
          <w:sz w:val="21"/>
          <w:szCs w:val="21"/>
          <w:highlight w:val="none"/>
        </w:rPr>
        <w:t>g/km·</w:t>
      </w:r>
      <w:r>
        <w:rPr>
          <w:rFonts w:eastAsia="黑体"/>
          <w:color w:val="auto"/>
          <w:sz w:val="21"/>
          <w:szCs w:val="21"/>
          <w:highlight w:val="none"/>
        </w:rPr>
        <w:t>辆</w:t>
      </w:r>
    </w:p>
    <w:tbl>
      <w:tblPr>
        <w:tblStyle w:val="98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3"/>
        <w:gridCol w:w="2319"/>
        <w:gridCol w:w="2324"/>
        <w:gridCol w:w="2116"/>
      </w:tblGrid>
      <w:tr w14:paraId="0ECB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0" w:type="pct"/>
            <w:tcMar>
              <w:left w:w="57" w:type="dxa"/>
              <w:right w:w="57" w:type="dxa"/>
            </w:tcMar>
            <w:vAlign w:val="center"/>
          </w:tcPr>
          <w:p w14:paraId="56F375B1">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highlight w:val="none"/>
              </w:rPr>
            </w:pPr>
            <w:r>
              <w:rPr>
                <w:rFonts w:hint="default" w:cs="Times New Roman" w:eastAsiaTheme="minorEastAsia"/>
                <w:color w:val="auto"/>
                <w:sz w:val="21"/>
                <w:highlight w:val="none"/>
              </w:rPr>
              <w:t>车型</w:t>
            </w:r>
          </w:p>
        </w:tc>
        <w:tc>
          <w:tcPr>
            <w:tcW w:w="1328" w:type="pct"/>
            <w:tcMar>
              <w:left w:w="57" w:type="dxa"/>
              <w:right w:w="57" w:type="dxa"/>
            </w:tcMar>
            <w:vAlign w:val="center"/>
          </w:tcPr>
          <w:p w14:paraId="6EDD2973">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highlight w:val="none"/>
              </w:rPr>
            </w:pPr>
            <w:r>
              <w:rPr>
                <w:rFonts w:hint="default" w:eastAsia="Times New Roman" w:cs="Times New Roman"/>
                <w:color w:val="auto"/>
                <w:sz w:val="21"/>
                <w:highlight w:val="none"/>
              </w:rPr>
              <w:t>CO</w:t>
            </w:r>
          </w:p>
        </w:tc>
        <w:tc>
          <w:tcPr>
            <w:tcW w:w="1331" w:type="pct"/>
            <w:tcMar>
              <w:left w:w="57" w:type="dxa"/>
              <w:right w:w="57" w:type="dxa"/>
            </w:tcMar>
            <w:vAlign w:val="center"/>
          </w:tcPr>
          <w:p w14:paraId="39DECD9B">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highlight w:val="none"/>
              </w:rPr>
            </w:pPr>
            <w:r>
              <w:rPr>
                <w:rFonts w:hint="eastAsia" w:cs="Times New Roman" w:eastAsiaTheme="minorEastAsia"/>
                <w:color w:val="auto"/>
                <w:sz w:val="21"/>
                <w:highlight w:val="none"/>
              </w:rPr>
              <w:t>NMHC</w:t>
            </w:r>
          </w:p>
        </w:tc>
        <w:tc>
          <w:tcPr>
            <w:tcW w:w="1212" w:type="pct"/>
            <w:tcMar>
              <w:left w:w="57" w:type="dxa"/>
              <w:right w:w="57" w:type="dxa"/>
            </w:tcMar>
            <w:vAlign w:val="center"/>
          </w:tcPr>
          <w:p w14:paraId="3A1D137F">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highlight w:val="none"/>
              </w:rPr>
            </w:pPr>
            <w:r>
              <w:rPr>
                <w:rFonts w:hint="default" w:eastAsia="Times New Roman" w:cs="Times New Roman"/>
                <w:color w:val="auto"/>
                <w:sz w:val="21"/>
                <w:highlight w:val="none"/>
              </w:rPr>
              <w:t>NO</w:t>
            </w:r>
            <w:r>
              <w:rPr>
                <w:rFonts w:hint="default" w:eastAsia="Times New Roman" w:cs="Times New Roman"/>
                <w:color w:val="auto"/>
                <w:sz w:val="21"/>
                <w:highlight w:val="none"/>
                <w:vertAlign w:val="subscript"/>
              </w:rPr>
              <w:t>x</w:t>
            </w:r>
          </w:p>
        </w:tc>
      </w:tr>
      <w:tr w14:paraId="6DD9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0" w:type="pct"/>
            <w:tcMar>
              <w:left w:w="57" w:type="dxa"/>
              <w:right w:w="57" w:type="dxa"/>
            </w:tcMar>
            <w:vAlign w:val="center"/>
          </w:tcPr>
          <w:p w14:paraId="452E96FE">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highlight w:val="none"/>
              </w:rPr>
            </w:pPr>
            <w:r>
              <w:rPr>
                <w:rFonts w:hint="default" w:cs="Times New Roman" w:eastAsiaTheme="minorEastAsia"/>
                <w:color w:val="auto"/>
                <w:sz w:val="21"/>
                <w:highlight w:val="none"/>
              </w:rPr>
              <w:t>小轿车、出租车</w:t>
            </w:r>
          </w:p>
        </w:tc>
        <w:tc>
          <w:tcPr>
            <w:tcW w:w="1328" w:type="pct"/>
            <w:tcMar>
              <w:left w:w="57" w:type="dxa"/>
              <w:right w:w="57" w:type="dxa"/>
            </w:tcMar>
            <w:vAlign w:val="center"/>
          </w:tcPr>
          <w:p w14:paraId="46A1C6B4">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highlight w:val="none"/>
              </w:rPr>
            </w:pPr>
            <w:r>
              <w:rPr>
                <w:rFonts w:hint="default" w:eastAsia="Times New Roman" w:cs="Times New Roman"/>
                <w:color w:val="auto"/>
                <w:sz w:val="21"/>
                <w:highlight w:val="none"/>
              </w:rPr>
              <w:t>36.09</w:t>
            </w:r>
          </w:p>
        </w:tc>
        <w:tc>
          <w:tcPr>
            <w:tcW w:w="1331" w:type="pct"/>
            <w:tcMar>
              <w:left w:w="57" w:type="dxa"/>
              <w:right w:w="57" w:type="dxa"/>
            </w:tcMar>
            <w:vAlign w:val="center"/>
          </w:tcPr>
          <w:p w14:paraId="79963CF0">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highlight w:val="none"/>
              </w:rPr>
            </w:pPr>
            <w:r>
              <w:rPr>
                <w:rFonts w:hint="default" w:eastAsia="Times New Roman" w:cs="Times New Roman"/>
                <w:color w:val="auto"/>
                <w:sz w:val="21"/>
                <w:highlight w:val="none"/>
              </w:rPr>
              <w:t>3.17</w:t>
            </w:r>
          </w:p>
        </w:tc>
        <w:tc>
          <w:tcPr>
            <w:tcW w:w="1212" w:type="pct"/>
            <w:tcMar>
              <w:left w:w="57" w:type="dxa"/>
              <w:right w:w="57" w:type="dxa"/>
            </w:tcMar>
            <w:vAlign w:val="center"/>
          </w:tcPr>
          <w:p w14:paraId="21D78D5D">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highlight w:val="none"/>
              </w:rPr>
            </w:pPr>
            <w:r>
              <w:rPr>
                <w:rFonts w:hint="default" w:eastAsia="Times New Roman" w:cs="Times New Roman"/>
                <w:color w:val="auto"/>
                <w:sz w:val="21"/>
                <w:highlight w:val="none"/>
              </w:rPr>
              <w:t>0.92</w:t>
            </w:r>
          </w:p>
        </w:tc>
      </w:tr>
      <w:tr w14:paraId="0C43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0" w:type="pct"/>
            <w:tcMar>
              <w:left w:w="57" w:type="dxa"/>
              <w:right w:w="57" w:type="dxa"/>
            </w:tcMar>
            <w:vAlign w:val="center"/>
          </w:tcPr>
          <w:p w14:paraId="4C9D19BF">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highlight w:val="none"/>
              </w:rPr>
            </w:pPr>
            <w:r>
              <w:rPr>
                <w:rFonts w:hint="default" w:cs="Times New Roman" w:eastAsiaTheme="minorEastAsia"/>
                <w:color w:val="auto"/>
                <w:sz w:val="21"/>
                <w:highlight w:val="none"/>
              </w:rPr>
              <w:t>面包车</w:t>
            </w:r>
          </w:p>
        </w:tc>
        <w:tc>
          <w:tcPr>
            <w:tcW w:w="1328" w:type="pct"/>
            <w:tcMar>
              <w:left w:w="57" w:type="dxa"/>
              <w:right w:w="57" w:type="dxa"/>
            </w:tcMar>
            <w:vAlign w:val="center"/>
          </w:tcPr>
          <w:p w14:paraId="38410B1E">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highlight w:val="none"/>
              </w:rPr>
            </w:pPr>
            <w:r>
              <w:rPr>
                <w:rFonts w:hint="default" w:eastAsia="Times New Roman" w:cs="Times New Roman"/>
                <w:color w:val="auto"/>
                <w:sz w:val="21"/>
                <w:highlight w:val="none"/>
              </w:rPr>
              <w:t>28.81</w:t>
            </w:r>
          </w:p>
        </w:tc>
        <w:tc>
          <w:tcPr>
            <w:tcW w:w="1331" w:type="pct"/>
            <w:tcMar>
              <w:left w:w="57" w:type="dxa"/>
              <w:right w:w="57" w:type="dxa"/>
            </w:tcMar>
            <w:vAlign w:val="center"/>
          </w:tcPr>
          <w:p w14:paraId="4E6420C1">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highlight w:val="none"/>
              </w:rPr>
            </w:pPr>
            <w:r>
              <w:rPr>
                <w:rFonts w:hint="default" w:eastAsia="Times New Roman" w:cs="Times New Roman"/>
                <w:color w:val="auto"/>
                <w:sz w:val="21"/>
                <w:highlight w:val="none"/>
              </w:rPr>
              <w:t>2.91</w:t>
            </w:r>
          </w:p>
        </w:tc>
        <w:tc>
          <w:tcPr>
            <w:tcW w:w="1212" w:type="pct"/>
            <w:tcMar>
              <w:left w:w="57" w:type="dxa"/>
              <w:right w:w="57" w:type="dxa"/>
            </w:tcMar>
            <w:vAlign w:val="center"/>
          </w:tcPr>
          <w:p w14:paraId="6190E04B">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highlight w:val="none"/>
              </w:rPr>
            </w:pPr>
            <w:r>
              <w:rPr>
                <w:rFonts w:hint="default" w:eastAsia="Times New Roman" w:cs="Times New Roman"/>
                <w:color w:val="auto"/>
                <w:sz w:val="21"/>
                <w:highlight w:val="none"/>
              </w:rPr>
              <w:t>2.15</w:t>
            </w:r>
          </w:p>
        </w:tc>
      </w:tr>
      <w:tr w14:paraId="2D63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0" w:type="pct"/>
            <w:tcMar>
              <w:left w:w="57" w:type="dxa"/>
              <w:right w:w="57" w:type="dxa"/>
            </w:tcMar>
            <w:vAlign w:val="center"/>
          </w:tcPr>
          <w:p w14:paraId="37DAD2B1">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highlight w:val="none"/>
              </w:rPr>
            </w:pPr>
            <w:r>
              <w:rPr>
                <w:rFonts w:hint="default" w:cs="Times New Roman" w:eastAsiaTheme="minorEastAsia"/>
                <w:color w:val="auto"/>
                <w:sz w:val="21"/>
                <w:highlight w:val="none"/>
              </w:rPr>
              <w:t>大客车</w:t>
            </w:r>
          </w:p>
        </w:tc>
        <w:tc>
          <w:tcPr>
            <w:tcW w:w="1328" w:type="pct"/>
            <w:tcMar>
              <w:left w:w="57" w:type="dxa"/>
              <w:right w:w="57" w:type="dxa"/>
            </w:tcMar>
            <w:vAlign w:val="center"/>
          </w:tcPr>
          <w:p w14:paraId="0AF41604">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highlight w:val="none"/>
              </w:rPr>
            </w:pPr>
            <w:r>
              <w:rPr>
                <w:rFonts w:hint="default" w:eastAsia="Times New Roman" w:cs="Times New Roman"/>
                <w:color w:val="auto"/>
                <w:sz w:val="21"/>
                <w:highlight w:val="none"/>
              </w:rPr>
              <w:t>37.23</w:t>
            </w:r>
          </w:p>
        </w:tc>
        <w:tc>
          <w:tcPr>
            <w:tcW w:w="1331" w:type="pct"/>
            <w:tcMar>
              <w:left w:w="57" w:type="dxa"/>
              <w:right w:w="57" w:type="dxa"/>
            </w:tcMar>
            <w:vAlign w:val="center"/>
          </w:tcPr>
          <w:p w14:paraId="4127EE98">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highlight w:val="none"/>
              </w:rPr>
            </w:pPr>
            <w:r>
              <w:rPr>
                <w:rFonts w:hint="default" w:eastAsia="Times New Roman" w:cs="Times New Roman"/>
                <w:color w:val="auto"/>
                <w:sz w:val="21"/>
                <w:highlight w:val="none"/>
              </w:rPr>
              <w:t>15.98</w:t>
            </w:r>
          </w:p>
        </w:tc>
        <w:tc>
          <w:tcPr>
            <w:tcW w:w="1212" w:type="pct"/>
            <w:tcMar>
              <w:left w:w="57" w:type="dxa"/>
              <w:right w:w="57" w:type="dxa"/>
            </w:tcMar>
            <w:vAlign w:val="center"/>
          </w:tcPr>
          <w:p w14:paraId="6FB65969">
            <w:pPr>
              <w:keepNext w:val="0"/>
              <w:keepLines w:val="0"/>
              <w:suppressLineNumbers w:val="0"/>
              <w:adjustRightInd w:val="0"/>
              <w:snapToGrid w:val="0"/>
              <w:spacing w:before="0" w:beforeAutospacing="0" w:after="0" w:afterAutospacing="0" w:line="240" w:lineRule="atLeast"/>
              <w:ind w:left="0" w:right="0" w:firstLine="0"/>
              <w:jc w:val="center"/>
              <w:rPr>
                <w:rFonts w:hint="default" w:cs="Times New Roman" w:eastAsiaTheme="minorEastAsia"/>
                <w:color w:val="auto"/>
                <w:highlight w:val="none"/>
              </w:rPr>
            </w:pPr>
            <w:r>
              <w:rPr>
                <w:rFonts w:hint="default" w:eastAsia="Times New Roman" w:cs="Times New Roman"/>
                <w:color w:val="auto"/>
                <w:sz w:val="21"/>
                <w:highlight w:val="none"/>
              </w:rPr>
              <w:t>16.83</w:t>
            </w:r>
          </w:p>
        </w:tc>
      </w:tr>
    </w:tbl>
    <w:p w14:paraId="1C7E92E6">
      <w:pPr>
        <w:ind w:firstLine="480" w:firstLineChars="200"/>
        <w:rPr>
          <w:color w:val="auto"/>
          <w:highlight w:val="none"/>
        </w:rPr>
      </w:pPr>
      <w:r>
        <w:rPr>
          <w:color w:val="auto"/>
          <w:highlight w:val="none"/>
        </w:rPr>
        <w:t>依据</w:t>
      </w:r>
      <w:r>
        <w:rPr>
          <w:rFonts w:hint="eastAsia"/>
          <w:color w:val="auto"/>
          <w:highlight w:val="none"/>
        </w:rPr>
        <w:t>资料</w:t>
      </w:r>
      <w:r>
        <w:rPr>
          <w:color w:val="auto"/>
          <w:highlight w:val="none"/>
        </w:rPr>
        <w:t>，进出停车场的私家车、出租车合计约11680辆、中型客车约500 辆、大客车约274辆。进入机场车辆驶入停车场以运距1.0km估算，机场</w:t>
      </w:r>
      <w:r>
        <w:rPr>
          <w:rFonts w:hint="eastAsia"/>
          <w:color w:val="auto"/>
          <w:highlight w:val="none"/>
          <w:lang w:eastAsia="zh-CN"/>
        </w:rPr>
        <w:t>2030</w:t>
      </w:r>
      <w:r>
        <w:rPr>
          <w:color w:val="auto"/>
          <w:highlight w:val="none"/>
        </w:rPr>
        <w:t>年汽车尾气污染物排放情况见</w:t>
      </w:r>
      <w:r>
        <w:rPr>
          <w:rFonts w:hint="eastAsia"/>
          <w:color w:val="auto"/>
          <w:highlight w:val="none"/>
          <w:lang w:val="en-US" w:eastAsia="zh-CN"/>
        </w:rPr>
        <w:t>下</w:t>
      </w:r>
      <w:r>
        <w:rPr>
          <w:color w:val="auto"/>
          <w:highlight w:val="none"/>
        </w:rPr>
        <w:t>表</w:t>
      </w:r>
      <w:r>
        <w:rPr>
          <w:rFonts w:hint="eastAsia"/>
          <w:color w:val="auto"/>
          <w:highlight w:val="none"/>
          <w:lang w:eastAsia="zh-CN"/>
        </w:rPr>
        <w:t>：</w:t>
      </w:r>
    </w:p>
    <w:p w14:paraId="76853646">
      <w:pPr>
        <w:tabs>
          <w:tab w:val="left" w:pos="7655"/>
        </w:tabs>
        <w:spacing w:after="3"/>
        <w:ind w:left="10" w:right="238" w:firstLine="0"/>
        <w:jc w:val="center"/>
        <w:rPr>
          <w:color w:val="auto"/>
          <w:highlight w:val="none"/>
        </w:rPr>
      </w:pPr>
      <w:r>
        <w:rPr>
          <w:rFonts w:eastAsia="黑体"/>
          <w:color w:val="auto"/>
          <w:highlight w:val="none"/>
        </w:rPr>
        <w:t>表</w:t>
      </w:r>
      <w:r>
        <w:rPr>
          <w:rFonts w:hint="eastAsia"/>
          <w:b/>
          <w:color w:val="auto"/>
          <w:highlight w:val="none"/>
          <w:lang w:eastAsia="zh-CN"/>
        </w:rPr>
        <w:t>3.5</w:t>
      </w:r>
      <w:r>
        <w:rPr>
          <w:rFonts w:hint="eastAsia"/>
          <w:b/>
          <w:color w:val="auto"/>
          <w:highlight w:val="none"/>
          <w:lang w:val="en-US" w:eastAsia="zh-CN"/>
        </w:rPr>
        <w:t>-12</w:t>
      </w:r>
      <w:r>
        <w:rPr>
          <w:rFonts w:eastAsia="Times New Roman"/>
          <w:b/>
          <w:color w:val="auto"/>
          <w:highlight w:val="none"/>
        </w:rPr>
        <w:t xml:space="preserve"> </w:t>
      </w:r>
      <w:r>
        <w:rPr>
          <w:color w:val="auto"/>
          <w:highlight w:val="none"/>
        </w:rPr>
        <w:t xml:space="preserve"> </w:t>
      </w:r>
      <w:r>
        <w:rPr>
          <w:rFonts w:hint="eastAsia" w:eastAsia="宋体"/>
          <w:b/>
          <w:color w:val="auto"/>
          <w:highlight w:val="none"/>
          <w:lang w:eastAsia="zh-CN"/>
        </w:rPr>
        <w:t>2030</w:t>
      </w:r>
      <w:r>
        <w:rPr>
          <w:rFonts w:eastAsia="黑体"/>
          <w:color w:val="auto"/>
          <w:highlight w:val="none"/>
        </w:rPr>
        <w:t>年全年汽车尾气中污染物排放量</w:t>
      </w:r>
      <w:r>
        <w:rPr>
          <w:rFonts w:hint="eastAsia" w:eastAsia="黑体"/>
          <w:color w:val="auto"/>
          <w:highlight w:val="none"/>
        </w:rPr>
        <w:t xml:space="preserve"> </w:t>
      </w:r>
      <w:r>
        <w:rPr>
          <w:rFonts w:eastAsia="黑体"/>
          <w:color w:val="auto"/>
          <w:highlight w:val="none"/>
        </w:rPr>
        <w:t xml:space="preserve">  </w:t>
      </w:r>
      <w:r>
        <w:rPr>
          <w:rFonts w:eastAsia="黑体"/>
          <w:color w:val="auto"/>
          <w:sz w:val="21"/>
          <w:szCs w:val="21"/>
          <w:highlight w:val="none"/>
        </w:rPr>
        <w:t>单位：</w:t>
      </w:r>
      <w:r>
        <w:rPr>
          <w:rFonts w:eastAsia="Times New Roman"/>
          <w:b/>
          <w:color w:val="auto"/>
          <w:sz w:val="21"/>
          <w:szCs w:val="21"/>
          <w:highlight w:val="none"/>
        </w:rPr>
        <w:t>t/a</w:t>
      </w:r>
    </w:p>
    <w:tbl>
      <w:tblPr>
        <w:tblStyle w:val="40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6"/>
        <w:gridCol w:w="2302"/>
        <w:gridCol w:w="2113"/>
        <w:gridCol w:w="2113"/>
      </w:tblGrid>
      <w:tr w14:paraId="1C2D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5" w:type="pct"/>
            <w:vAlign w:val="center"/>
          </w:tcPr>
          <w:p w14:paraId="5EC242DD">
            <w:pPr>
              <w:keepNext w:val="0"/>
              <w:keepLines w:val="0"/>
              <w:suppressLineNumbers w:val="0"/>
              <w:spacing w:before="0" w:beforeAutospacing="0" w:after="0" w:afterAutospacing="0" w:line="240" w:lineRule="auto"/>
              <w:ind w:left="0" w:right="0" w:firstLine="0"/>
              <w:jc w:val="center"/>
              <w:rPr>
                <w:rFonts w:hint="default"/>
                <w:color w:val="auto"/>
                <w:highlight w:val="none"/>
              </w:rPr>
            </w:pPr>
            <w:r>
              <w:rPr>
                <w:rFonts w:hint="default"/>
                <w:color w:val="auto"/>
                <w:sz w:val="21"/>
                <w:highlight w:val="none"/>
              </w:rPr>
              <w:t>车型</w:t>
            </w:r>
          </w:p>
        </w:tc>
        <w:tc>
          <w:tcPr>
            <w:tcW w:w="1303" w:type="pct"/>
            <w:vAlign w:val="center"/>
          </w:tcPr>
          <w:p w14:paraId="20C7CA90">
            <w:pPr>
              <w:keepNext w:val="0"/>
              <w:keepLines w:val="0"/>
              <w:suppressLineNumbers w:val="0"/>
              <w:spacing w:before="0" w:beforeAutospacing="0" w:after="0" w:afterAutospacing="0" w:line="240" w:lineRule="auto"/>
              <w:ind w:left="0" w:right="0" w:firstLine="0"/>
              <w:jc w:val="center"/>
              <w:rPr>
                <w:rFonts w:hint="default"/>
                <w:color w:val="auto"/>
                <w:highlight w:val="none"/>
              </w:rPr>
            </w:pPr>
            <w:r>
              <w:rPr>
                <w:rFonts w:hint="default" w:eastAsia="Times New Roman"/>
                <w:color w:val="auto"/>
                <w:sz w:val="21"/>
                <w:highlight w:val="none"/>
              </w:rPr>
              <w:t>CO</w:t>
            </w:r>
          </w:p>
        </w:tc>
        <w:tc>
          <w:tcPr>
            <w:tcW w:w="1196" w:type="pct"/>
            <w:vAlign w:val="center"/>
          </w:tcPr>
          <w:p w14:paraId="0B8C842B">
            <w:pPr>
              <w:keepNext w:val="0"/>
              <w:keepLines w:val="0"/>
              <w:suppressLineNumbers w:val="0"/>
              <w:spacing w:before="0" w:beforeAutospacing="0" w:after="0" w:afterAutospacing="0" w:line="240" w:lineRule="auto"/>
              <w:ind w:left="0" w:right="0" w:firstLine="0"/>
              <w:jc w:val="center"/>
              <w:rPr>
                <w:rFonts w:hint="default"/>
                <w:color w:val="auto"/>
                <w:highlight w:val="none"/>
              </w:rPr>
            </w:pPr>
            <w:r>
              <w:rPr>
                <w:rFonts w:hint="eastAsia"/>
                <w:color w:val="auto"/>
                <w:sz w:val="21"/>
                <w:highlight w:val="none"/>
              </w:rPr>
              <w:t>NMHC</w:t>
            </w:r>
          </w:p>
        </w:tc>
        <w:tc>
          <w:tcPr>
            <w:tcW w:w="1196" w:type="pct"/>
            <w:vAlign w:val="center"/>
          </w:tcPr>
          <w:p w14:paraId="16D5FAD5">
            <w:pPr>
              <w:keepNext w:val="0"/>
              <w:keepLines w:val="0"/>
              <w:suppressLineNumbers w:val="0"/>
              <w:spacing w:before="0" w:beforeAutospacing="0" w:after="0" w:afterAutospacing="0" w:line="240" w:lineRule="auto"/>
              <w:ind w:left="0" w:right="0" w:firstLine="0"/>
              <w:jc w:val="center"/>
              <w:rPr>
                <w:rFonts w:hint="default"/>
                <w:color w:val="auto"/>
                <w:highlight w:val="none"/>
              </w:rPr>
            </w:pPr>
            <w:r>
              <w:rPr>
                <w:rFonts w:hint="default" w:eastAsia="Times New Roman"/>
                <w:color w:val="auto"/>
                <w:sz w:val="21"/>
                <w:highlight w:val="none"/>
              </w:rPr>
              <w:t>NO</w:t>
            </w:r>
            <w:r>
              <w:rPr>
                <w:rFonts w:hint="default" w:eastAsia="Times New Roman"/>
                <w:color w:val="auto"/>
                <w:sz w:val="21"/>
                <w:highlight w:val="none"/>
                <w:vertAlign w:val="subscript"/>
              </w:rPr>
              <w:t>x</w:t>
            </w:r>
          </w:p>
        </w:tc>
      </w:tr>
      <w:tr w14:paraId="5535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5" w:type="pct"/>
            <w:vAlign w:val="center"/>
          </w:tcPr>
          <w:p w14:paraId="57F97B9B">
            <w:pPr>
              <w:keepNext w:val="0"/>
              <w:keepLines w:val="0"/>
              <w:suppressLineNumbers w:val="0"/>
              <w:spacing w:before="0" w:beforeAutospacing="0" w:after="0" w:afterAutospacing="0" w:line="240" w:lineRule="auto"/>
              <w:ind w:left="0" w:right="0" w:firstLine="0"/>
              <w:jc w:val="center"/>
              <w:rPr>
                <w:rFonts w:hint="default"/>
                <w:color w:val="auto"/>
                <w:highlight w:val="none"/>
              </w:rPr>
            </w:pPr>
            <w:r>
              <w:rPr>
                <w:rFonts w:hint="default"/>
                <w:color w:val="auto"/>
                <w:sz w:val="21"/>
                <w:highlight w:val="none"/>
              </w:rPr>
              <w:t>小轿车、出租车</w:t>
            </w:r>
          </w:p>
        </w:tc>
        <w:tc>
          <w:tcPr>
            <w:tcW w:w="1303" w:type="pct"/>
            <w:vAlign w:val="center"/>
          </w:tcPr>
          <w:p w14:paraId="73211D91">
            <w:pPr>
              <w:keepNext w:val="0"/>
              <w:keepLines w:val="0"/>
              <w:suppressLineNumbers w:val="0"/>
              <w:spacing w:before="0" w:beforeAutospacing="0" w:after="0" w:afterAutospacing="0" w:line="240" w:lineRule="auto"/>
              <w:ind w:left="0" w:right="0" w:firstLine="0"/>
              <w:jc w:val="center"/>
              <w:rPr>
                <w:rFonts w:hint="default" w:eastAsia="Times New Roman"/>
                <w:color w:val="auto"/>
                <w:sz w:val="21"/>
                <w:highlight w:val="none"/>
              </w:rPr>
            </w:pPr>
            <w:r>
              <w:rPr>
                <w:rFonts w:hint="default" w:eastAsia="Times New Roman"/>
                <w:color w:val="auto"/>
                <w:sz w:val="21"/>
                <w:highlight w:val="none"/>
              </w:rPr>
              <w:t>0.422</w:t>
            </w:r>
          </w:p>
        </w:tc>
        <w:tc>
          <w:tcPr>
            <w:tcW w:w="1196" w:type="pct"/>
            <w:vAlign w:val="center"/>
          </w:tcPr>
          <w:p w14:paraId="0E15CB52">
            <w:pPr>
              <w:keepNext w:val="0"/>
              <w:keepLines w:val="0"/>
              <w:suppressLineNumbers w:val="0"/>
              <w:spacing w:before="0" w:beforeAutospacing="0" w:after="0" w:afterAutospacing="0" w:line="240" w:lineRule="auto"/>
              <w:ind w:left="0" w:right="0" w:firstLine="0"/>
              <w:jc w:val="center"/>
              <w:rPr>
                <w:rFonts w:hint="default" w:eastAsia="Times New Roman"/>
                <w:color w:val="auto"/>
                <w:sz w:val="21"/>
                <w:highlight w:val="none"/>
              </w:rPr>
            </w:pPr>
            <w:r>
              <w:rPr>
                <w:rFonts w:hint="default" w:eastAsia="Times New Roman"/>
                <w:color w:val="auto"/>
                <w:sz w:val="21"/>
                <w:highlight w:val="none"/>
              </w:rPr>
              <w:t>0.037</w:t>
            </w:r>
          </w:p>
        </w:tc>
        <w:tc>
          <w:tcPr>
            <w:tcW w:w="1196" w:type="pct"/>
            <w:vAlign w:val="center"/>
          </w:tcPr>
          <w:p w14:paraId="530BC211">
            <w:pPr>
              <w:keepNext w:val="0"/>
              <w:keepLines w:val="0"/>
              <w:suppressLineNumbers w:val="0"/>
              <w:spacing w:before="0" w:beforeAutospacing="0" w:after="0" w:afterAutospacing="0" w:line="240" w:lineRule="auto"/>
              <w:ind w:left="0" w:right="0" w:firstLine="0"/>
              <w:jc w:val="center"/>
              <w:rPr>
                <w:rFonts w:hint="default" w:eastAsia="Times New Roman"/>
                <w:color w:val="auto"/>
                <w:sz w:val="21"/>
                <w:highlight w:val="none"/>
              </w:rPr>
            </w:pPr>
            <w:r>
              <w:rPr>
                <w:rFonts w:hint="default" w:eastAsia="Times New Roman"/>
                <w:color w:val="auto"/>
                <w:sz w:val="21"/>
                <w:highlight w:val="none"/>
              </w:rPr>
              <w:t>0.011</w:t>
            </w:r>
          </w:p>
        </w:tc>
      </w:tr>
      <w:tr w14:paraId="7172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5" w:type="pct"/>
            <w:vAlign w:val="center"/>
          </w:tcPr>
          <w:p w14:paraId="40892A2E">
            <w:pPr>
              <w:keepNext w:val="0"/>
              <w:keepLines w:val="0"/>
              <w:suppressLineNumbers w:val="0"/>
              <w:spacing w:before="0" w:beforeAutospacing="0" w:after="0" w:afterAutospacing="0" w:line="240" w:lineRule="auto"/>
              <w:ind w:left="0" w:right="0" w:firstLine="0"/>
              <w:jc w:val="center"/>
              <w:rPr>
                <w:rFonts w:hint="default"/>
                <w:color w:val="auto"/>
                <w:highlight w:val="none"/>
              </w:rPr>
            </w:pPr>
            <w:r>
              <w:rPr>
                <w:rFonts w:hint="default"/>
                <w:color w:val="auto"/>
                <w:sz w:val="21"/>
                <w:highlight w:val="none"/>
              </w:rPr>
              <w:t>面包车</w:t>
            </w:r>
          </w:p>
        </w:tc>
        <w:tc>
          <w:tcPr>
            <w:tcW w:w="1303" w:type="pct"/>
            <w:vAlign w:val="center"/>
          </w:tcPr>
          <w:p w14:paraId="7BC21154">
            <w:pPr>
              <w:keepNext w:val="0"/>
              <w:keepLines w:val="0"/>
              <w:suppressLineNumbers w:val="0"/>
              <w:spacing w:before="0" w:beforeAutospacing="0" w:after="0" w:afterAutospacing="0" w:line="240" w:lineRule="auto"/>
              <w:ind w:left="0" w:right="0" w:firstLine="0"/>
              <w:jc w:val="center"/>
              <w:rPr>
                <w:rFonts w:hint="default" w:eastAsia="Times New Roman"/>
                <w:color w:val="auto"/>
                <w:sz w:val="21"/>
                <w:highlight w:val="none"/>
              </w:rPr>
            </w:pPr>
            <w:r>
              <w:rPr>
                <w:rFonts w:hint="default" w:eastAsia="Times New Roman"/>
                <w:color w:val="auto"/>
                <w:sz w:val="21"/>
                <w:highlight w:val="none"/>
              </w:rPr>
              <w:t>0.014</w:t>
            </w:r>
          </w:p>
        </w:tc>
        <w:tc>
          <w:tcPr>
            <w:tcW w:w="1196" w:type="pct"/>
            <w:vAlign w:val="center"/>
          </w:tcPr>
          <w:p w14:paraId="04B547CE">
            <w:pPr>
              <w:keepNext w:val="0"/>
              <w:keepLines w:val="0"/>
              <w:suppressLineNumbers w:val="0"/>
              <w:spacing w:before="0" w:beforeAutospacing="0" w:after="0" w:afterAutospacing="0" w:line="240" w:lineRule="auto"/>
              <w:ind w:left="0" w:right="0" w:firstLine="0"/>
              <w:jc w:val="center"/>
              <w:rPr>
                <w:rFonts w:hint="default" w:eastAsia="Times New Roman"/>
                <w:color w:val="auto"/>
                <w:sz w:val="21"/>
                <w:highlight w:val="none"/>
              </w:rPr>
            </w:pPr>
            <w:r>
              <w:rPr>
                <w:rFonts w:hint="default" w:eastAsia="Times New Roman"/>
                <w:color w:val="auto"/>
                <w:sz w:val="21"/>
                <w:highlight w:val="none"/>
              </w:rPr>
              <w:t>0.002</w:t>
            </w:r>
          </w:p>
        </w:tc>
        <w:tc>
          <w:tcPr>
            <w:tcW w:w="1196" w:type="pct"/>
            <w:vAlign w:val="center"/>
          </w:tcPr>
          <w:p w14:paraId="534B6827">
            <w:pPr>
              <w:keepNext w:val="0"/>
              <w:keepLines w:val="0"/>
              <w:suppressLineNumbers w:val="0"/>
              <w:spacing w:before="0" w:beforeAutospacing="0" w:after="0" w:afterAutospacing="0" w:line="240" w:lineRule="auto"/>
              <w:ind w:left="0" w:right="0" w:firstLine="0"/>
              <w:jc w:val="center"/>
              <w:rPr>
                <w:rFonts w:hint="default" w:eastAsia="Times New Roman"/>
                <w:color w:val="auto"/>
                <w:sz w:val="21"/>
                <w:highlight w:val="none"/>
              </w:rPr>
            </w:pPr>
            <w:r>
              <w:rPr>
                <w:rFonts w:hint="default" w:eastAsia="Times New Roman"/>
                <w:color w:val="auto"/>
                <w:sz w:val="21"/>
                <w:highlight w:val="none"/>
              </w:rPr>
              <w:t>0.002</w:t>
            </w:r>
          </w:p>
        </w:tc>
      </w:tr>
      <w:tr w14:paraId="0E21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5" w:type="pct"/>
            <w:vAlign w:val="center"/>
          </w:tcPr>
          <w:p w14:paraId="1E304771">
            <w:pPr>
              <w:keepNext w:val="0"/>
              <w:keepLines w:val="0"/>
              <w:suppressLineNumbers w:val="0"/>
              <w:spacing w:before="0" w:beforeAutospacing="0" w:after="0" w:afterAutospacing="0" w:line="240" w:lineRule="auto"/>
              <w:ind w:left="0" w:right="0" w:firstLine="0"/>
              <w:jc w:val="center"/>
              <w:rPr>
                <w:rFonts w:hint="default"/>
                <w:color w:val="auto"/>
                <w:highlight w:val="none"/>
              </w:rPr>
            </w:pPr>
            <w:r>
              <w:rPr>
                <w:rFonts w:hint="default"/>
                <w:color w:val="auto"/>
                <w:sz w:val="21"/>
                <w:highlight w:val="none"/>
              </w:rPr>
              <w:t>大客车</w:t>
            </w:r>
          </w:p>
        </w:tc>
        <w:tc>
          <w:tcPr>
            <w:tcW w:w="1303" w:type="pct"/>
            <w:vAlign w:val="center"/>
          </w:tcPr>
          <w:p w14:paraId="1DC9E2EB">
            <w:pPr>
              <w:keepNext w:val="0"/>
              <w:keepLines w:val="0"/>
              <w:suppressLineNumbers w:val="0"/>
              <w:spacing w:before="0" w:beforeAutospacing="0" w:after="0" w:afterAutospacing="0" w:line="240" w:lineRule="auto"/>
              <w:ind w:left="0" w:right="0" w:firstLine="0"/>
              <w:jc w:val="center"/>
              <w:rPr>
                <w:rFonts w:hint="default" w:eastAsia="Times New Roman"/>
                <w:color w:val="auto"/>
                <w:sz w:val="21"/>
                <w:highlight w:val="none"/>
              </w:rPr>
            </w:pPr>
            <w:r>
              <w:rPr>
                <w:rFonts w:hint="default" w:eastAsia="Times New Roman"/>
                <w:color w:val="auto"/>
                <w:sz w:val="21"/>
                <w:highlight w:val="none"/>
              </w:rPr>
              <w:t>0.010</w:t>
            </w:r>
          </w:p>
        </w:tc>
        <w:tc>
          <w:tcPr>
            <w:tcW w:w="1196" w:type="pct"/>
            <w:vAlign w:val="center"/>
          </w:tcPr>
          <w:p w14:paraId="71025E64">
            <w:pPr>
              <w:keepNext w:val="0"/>
              <w:keepLines w:val="0"/>
              <w:suppressLineNumbers w:val="0"/>
              <w:spacing w:before="0" w:beforeAutospacing="0" w:after="0" w:afterAutospacing="0" w:line="240" w:lineRule="auto"/>
              <w:ind w:left="0" w:right="0" w:firstLine="0"/>
              <w:jc w:val="center"/>
              <w:rPr>
                <w:rFonts w:hint="default" w:eastAsia="Times New Roman"/>
                <w:color w:val="auto"/>
                <w:sz w:val="21"/>
                <w:highlight w:val="none"/>
              </w:rPr>
            </w:pPr>
            <w:r>
              <w:rPr>
                <w:rFonts w:hint="default" w:eastAsia="Times New Roman"/>
                <w:color w:val="auto"/>
                <w:sz w:val="21"/>
                <w:highlight w:val="none"/>
              </w:rPr>
              <w:t>0.005</w:t>
            </w:r>
          </w:p>
        </w:tc>
        <w:tc>
          <w:tcPr>
            <w:tcW w:w="1196" w:type="pct"/>
            <w:vAlign w:val="center"/>
          </w:tcPr>
          <w:p w14:paraId="7D0EDEED">
            <w:pPr>
              <w:keepNext w:val="0"/>
              <w:keepLines w:val="0"/>
              <w:suppressLineNumbers w:val="0"/>
              <w:spacing w:before="0" w:beforeAutospacing="0" w:after="0" w:afterAutospacing="0" w:line="240" w:lineRule="auto"/>
              <w:ind w:left="0" w:right="0" w:firstLine="0"/>
              <w:jc w:val="center"/>
              <w:rPr>
                <w:rFonts w:hint="default" w:eastAsia="Times New Roman"/>
                <w:color w:val="auto"/>
                <w:sz w:val="21"/>
                <w:highlight w:val="none"/>
              </w:rPr>
            </w:pPr>
            <w:r>
              <w:rPr>
                <w:rFonts w:hint="default" w:eastAsia="Times New Roman"/>
                <w:color w:val="auto"/>
                <w:sz w:val="21"/>
                <w:highlight w:val="none"/>
              </w:rPr>
              <w:t>0.005</w:t>
            </w:r>
          </w:p>
        </w:tc>
      </w:tr>
      <w:tr w14:paraId="505B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5" w:type="pct"/>
            <w:vAlign w:val="center"/>
          </w:tcPr>
          <w:p w14:paraId="3C552BEE">
            <w:pPr>
              <w:keepNext w:val="0"/>
              <w:keepLines w:val="0"/>
              <w:suppressLineNumbers w:val="0"/>
              <w:spacing w:before="0" w:beforeAutospacing="0" w:after="0" w:afterAutospacing="0" w:line="240" w:lineRule="auto"/>
              <w:ind w:left="0" w:right="0" w:firstLine="0"/>
              <w:jc w:val="center"/>
              <w:rPr>
                <w:rFonts w:hint="default"/>
                <w:b/>
                <w:color w:val="auto"/>
                <w:highlight w:val="none"/>
              </w:rPr>
            </w:pPr>
            <w:r>
              <w:rPr>
                <w:rFonts w:hint="default"/>
                <w:b/>
                <w:color w:val="auto"/>
                <w:sz w:val="21"/>
                <w:highlight w:val="none"/>
              </w:rPr>
              <w:t>合计</w:t>
            </w:r>
          </w:p>
        </w:tc>
        <w:tc>
          <w:tcPr>
            <w:tcW w:w="1303" w:type="pct"/>
            <w:vAlign w:val="center"/>
          </w:tcPr>
          <w:p w14:paraId="7323300B">
            <w:pPr>
              <w:keepNext w:val="0"/>
              <w:keepLines w:val="0"/>
              <w:suppressLineNumbers w:val="0"/>
              <w:spacing w:before="0" w:beforeAutospacing="0" w:after="0" w:afterAutospacing="0" w:line="240" w:lineRule="auto"/>
              <w:ind w:left="0" w:right="0" w:firstLine="0"/>
              <w:jc w:val="center"/>
              <w:rPr>
                <w:rFonts w:hint="default" w:eastAsia="Times New Roman"/>
                <w:color w:val="auto"/>
                <w:sz w:val="21"/>
                <w:highlight w:val="none"/>
              </w:rPr>
            </w:pPr>
            <w:r>
              <w:rPr>
                <w:rFonts w:hint="default" w:eastAsia="Times New Roman"/>
                <w:color w:val="auto"/>
                <w:sz w:val="21"/>
                <w:highlight w:val="none"/>
              </w:rPr>
              <w:t>0.446</w:t>
            </w:r>
          </w:p>
        </w:tc>
        <w:tc>
          <w:tcPr>
            <w:tcW w:w="1196" w:type="pct"/>
            <w:vAlign w:val="center"/>
          </w:tcPr>
          <w:p w14:paraId="46097A85">
            <w:pPr>
              <w:keepNext w:val="0"/>
              <w:keepLines w:val="0"/>
              <w:suppressLineNumbers w:val="0"/>
              <w:spacing w:before="0" w:beforeAutospacing="0" w:after="0" w:afterAutospacing="0" w:line="240" w:lineRule="auto"/>
              <w:ind w:left="0" w:right="0" w:firstLine="0"/>
              <w:jc w:val="center"/>
              <w:rPr>
                <w:rFonts w:hint="default" w:eastAsia="Times New Roman"/>
                <w:color w:val="auto"/>
                <w:sz w:val="21"/>
                <w:highlight w:val="none"/>
              </w:rPr>
            </w:pPr>
            <w:r>
              <w:rPr>
                <w:rFonts w:hint="default" w:eastAsia="Times New Roman"/>
                <w:color w:val="auto"/>
                <w:sz w:val="21"/>
                <w:highlight w:val="none"/>
              </w:rPr>
              <w:t>0.044</w:t>
            </w:r>
          </w:p>
        </w:tc>
        <w:tc>
          <w:tcPr>
            <w:tcW w:w="1196" w:type="pct"/>
            <w:vAlign w:val="center"/>
          </w:tcPr>
          <w:p w14:paraId="676E4367">
            <w:pPr>
              <w:keepNext w:val="0"/>
              <w:keepLines w:val="0"/>
              <w:suppressLineNumbers w:val="0"/>
              <w:spacing w:before="0" w:beforeAutospacing="0" w:after="0" w:afterAutospacing="0" w:line="240" w:lineRule="auto"/>
              <w:ind w:left="0" w:right="0" w:firstLine="0"/>
              <w:jc w:val="center"/>
              <w:rPr>
                <w:rFonts w:hint="default" w:eastAsia="Times New Roman"/>
                <w:color w:val="auto"/>
                <w:sz w:val="21"/>
                <w:highlight w:val="none"/>
              </w:rPr>
            </w:pPr>
            <w:r>
              <w:rPr>
                <w:rFonts w:hint="default" w:eastAsia="Times New Roman"/>
                <w:color w:val="auto"/>
                <w:sz w:val="21"/>
                <w:highlight w:val="none"/>
              </w:rPr>
              <w:t>0.018</w:t>
            </w:r>
          </w:p>
        </w:tc>
      </w:tr>
    </w:tbl>
    <w:p w14:paraId="0A76ACEC">
      <w:pPr>
        <w:ind w:firstLine="482" w:firstLineChars="200"/>
        <w:outlineLvl w:val="4"/>
        <w:rPr>
          <w:b/>
          <w:bCs/>
          <w:color w:val="auto"/>
          <w:highlight w:val="none"/>
        </w:rPr>
      </w:pPr>
      <w:r>
        <w:rPr>
          <w:b/>
          <w:bCs/>
          <w:color w:val="auto"/>
          <w:highlight w:val="none"/>
        </w:rPr>
        <w:t>（</w:t>
      </w:r>
      <w:r>
        <w:rPr>
          <w:rFonts w:hint="eastAsia"/>
          <w:b/>
          <w:bCs/>
          <w:color w:val="auto"/>
          <w:highlight w:val="none"/>
        </w:rPr>
        <w:t>3</w:t>
      </w:r>
      <w:r>
        <w:rPr>
          <w:b/>
          <w:bCs/>
          <w:color w:val="auto"/>
          <w:highlight w:val="none"/>
        </w:rPr>
        <w:t>）</w:t>
      </w:r>
      <w:r>
        <w:rPr>
          <w:rFonts w:hint="eastAsia"/>
          <w:b/>
          <w:bCs/>
          <w:color w:val="auto"/>
          <w:highlight w:val="none"/>
        </w:rPr>
        <w:t>油车棚无组织烃类废气</w:t>
      </w:r>
    </w:p>
    <w:p w14:paraId="7E1BE011">
      <w:pPr>
        <w:ind w:firstLine="480" w:firstLineChars="200"/>
        <w:rPr>
          <w:color w:val="auto"/>
          <w:highlight w:val="none"/>
        </w:rPr>
      </w:pPr>
      <w:r>
        <w:rPr>
          <w:rFonts w:hint="eastAsia"/>
          <w:color w:val="auto"/>
          <w:kern w:val="0"/>
          <w:highlight w:val="none"/>
          <w:lang w:val="en-US" w:bidi="zh-CN"/>
        </w:rPr>
        <w:t>本期机场新建</w:t>
      </w:r>
      <w:r>
        <w:rPr>
          <w:rFonts w:hint="eastAsia"/>
          <w:color w:val="auto"/>
          <w:kern w:val="0"/>
          <w:highlight w:val="none"/>
          <w:lang w:val="zh-CN" w:bidi="zh-CN"/>
        </w:rPr>
        <w:t>油车棚</w:t>
      </w:r>
      <w:r>
        <w:rPr>
          <w:rFonts w:hint="eastAsia"/>
          <w:color w:val="auto"/>
          <w:kern w:val="0"/>
          <w:highlight w:val="none"/>
          <w:lang w:val="en-US" w:bidi="zh-CN"/>
        </w:rPr>
        <w:t>一处，</w:t>
      </w:r>
      <w:r>
        <w:rPr>
          <w:rFonts w:hint="eastAsia"/>
          <w:color w:val="auto"/>
          <w:kern w:val="0"/>
          <w:highlight w:val="none"/>
          <w:lang w:val="zh-CN" w:bidi="zh-CN"/>
        </w:rPr>
        <w:t>配置2辆罐式加油车（1辆10000L罐式加油车，1辆25000L罐式加油车）进行油料保障及储存使用。油品为航空煤油。周转量预计2030年加油量为579t/a，约合742m</w:t>
      </w:r>
      <w:r>
        <w:rPr>
          <w:rFonts w:hint="eastAsia"/>
          <w:color w:val="auto"/>
          <w:kern w:val="0"/>
          <w:highlight w:val="none"/>
          <w:vertAlign w:val="superscript"/>
          <w:lang w:val="en-US" w:bidi="zh-CN"/>
        </w:rPr>
        <w:t>3</w:t>
      </w:r>
      <w:r>
        <w:rPr>
          <w:rFonts w:hint="eastAsia"/>
          <w:color w:val="auto"/>
          <w:kern w:val="0"/>
          <w:highlight w:val="none"/>
          <w:lang w:val="zh-CN" w:bidi="zh-CN"/>
        </w:rPr>
        <w:t>；2050年加油量为1587t/a，约合2035m</w:t>
      </w:r>
      <w:r>
        <w:rPr>
          <w:rFonts w:hint="eastAsia"/>
          <w:color w:val="auto"/>
          <w:kern w:val="0"/>
          <w:highlight w:val="none"/>
          <w:vertAlign w:val="superscript"/>
          <w:lang w:val="en-US" w:bidi="zh-CN"/>
        </w:rPr>
        <w:t>3</w:t>
      </w:r>
      <w:r>
        <w:rPr>
          <w:rFonts w:hint="eastAsia"/>
          <w:color w:val="auto"/>
          <w:kern w:val="0"/>
          <w:highlight w:val="none"/>
          <w:lang w:val="zh-CN" w:bidi="zh-CN"/>
        </w:rPr>
        <w:t>。</w:t>
      </w:r>
      <w:r>
        <w:rPr>
          <w:rFonts w:hint="eastAsia"/>
          <w:color w:val="auto"/>
          <w:highlight w:val="none"/>
        </w:rPr>
        <w:t>无组织烃类</w:t>
      </w:r>
      <w:r>
        <w:rPr>
          <w:color w:val="auto"/>
          <w:highlight w:val="none"/>
        </w:rPr>
        <w:t>挥发过程主要为：储油损失和加油作业损失等。</w:t>
      </w:r>
    </w:p>
    <w:p w14:paraId="1EA541D0">
      <w:pPr>
        <w:ind w:firstLine="480" w:firstLineChars="200"/>
        <w:rPr>
          <w:color w:val="auto"/>
          <w:highlight w:val="none"/>
        </w:rPr>
      </w:pPr>
      <w:r>
        <w:rPr>
          <w:color w:val="auto"/>
          <w:highlight w:val="none"/>
        </w:rPr>
        <w:t>根据《散装液态石油产品损耗》（</w:t>
      </w:r>
      <w:r>
        <w:rPr>
          <w:rFonts w:eastAsia="Times New Roman"/>
          <w:color w:val="auto"/>
          <w:highlight w:val="none"/>
        </w:rPr>
        <w:t>GB11085-</w:t>
      </w:r>
      <w:r>
        <w:rPr>
          <w:rFonts w:hint="eastAsia" w:ascii="Times New Roman" w:eastAsia="宋体"/>
          <w:color w:val="auto"/>
          <w:highlight w:val="none"/>
          <w:lang w:val="en-US" w:eastAsia="zh-CN"/>
        </w:rPr>
        <w:t>19</w:t>
      </w:r>
      <w:r>
        <w:rPr>
          <w:rFonts w:eastAsia="Times New Roman"/>
          <w:color w:val="auto"/>
          <w:highlight w:val="none"/>
        </w:rPr>
        <w:t>89</w:t>
      </w:r>
      <w:r>
        <w:rPr>
          <w:color w:val="auto"/>
          <w:highlight w:val="none"/>
        </w:rPr>
        <w:t>）确定损耗标准，同时根据《民用航空油料计量管理》（</w:t>
      </w:r>
      <w:r>
        <w:rPr>
          <w:rFonts w:eastAsia="Times New Roman"/>
          <w:color w:val="auto"/>
          <w:highlight w:val="none"/>
        </w:rPr>
        <w:t>MH6004-2015</w:t>
      </w:r>
      <w:r>
        <w:rPr>
          <w:color w:val="auto"/>
          <w:highlight w:val="none"/>
        </w:rPr>
        <w:t>）确定计算公式，核算加油装置油气挥发量。</w:t>
      </w:r>
    </w:p>
    <w:p w14:paraId="628BC8C6">
      <w:pPr>
        <w:ind w:firstLine="480" w:firstLineChars="200"/>
        <w:rPr>
          <w:color w:val="auto"/>
          <w:highlight w:val="none"/>
        </w:rPr>
      </w:pPr>
      <w:r>
        <w:rPr>
          <w:rFonts w:hint="eastAsia" w:eastAsia="宋体"/>
          <w:color w:val="auto"/>
          <w:highlight w:val="none"/>
          <w:lang w:val="en-US" w:eastAsia="zh-CN"/>
        </w:rPr>
        <w:t>A</w:t>
      </w:r>
      <w:r>
        <w:rPr>
          <w:rFonts w:eastAsia="Times New Roman"/>
          <w:color w:val="auto"/>
          <w:highlight w:val="none"/>
        </w:rPr>
        <w:t>.</w:t>
      </w:r>
      <w:r>
        <w:rPr>
          <w:color w:val="auto"/>
          <w:highlight w:val="none"/>
        </w:rPr>
        <w:t>储存损耗</w:t>
      </w:r>
    </w:p>
    <w:p w14:paraId="180662F8">
      <w:pPr>
        <w:ind w:firstLine="480" w:firstLineChars="200"/>
        <w:rPr>
          <w:color w:val="auto"/>
          <w:highlight w:val="none"/>
        </w:rPr>
      </w:pPr>
      <w:r>
        <w:rPr>
          <w:rFonts w:hint="eastAsia"/>
          <w:color w:val="auto"/>
          <w:highlight w:val="none"/>
          <w:lang w:val="en-US" w:eastAsia="zh-CN"/>
        </w:rPr>
        <w:t>两辆</w:t>
      </w:r>
      <w:r>
        <w:rPr>
          <w:rFonts w:hint="eastAsia"/>
          <w:color w:val="auto"/>
          <w:highlight w:val="none"/>
        </w:rPr>
        <w:t>罐式加油车</w:t>
      </w:r>
      <w:r>
        <w:rPr>
          <w:color w:val="auto"/>
          <w:highlight w:val="none"/>
        </w:rPr>
        <w:t>为卧式罐，根据《散装液态石油产品损耗》（</w:t>
      </w:r>
      <w:r>
        <w:rPr>
          <w:rFonts w:eastAsia="Times New Roman"/>
          <w:color w:val="auto"/>
          <w:highlight w:val="none"/>
        </w:rPr>
        <w:t>GB11085-</w:t>
      </w:r>
      <w:r>
        <w:rPr>
          <w:rFonts w:hint="eastAsia" w:ascii="Times New Roman" w:eastAsia="宋体"/>
          <w:color w:val="auto"/>
          <w:highlight w:val="none"/>
          <w:lang w:val="en-US" w:eastAsia="zh-CN"/>
        </w:rPr>
        <w:t>19</w:t>
      </w:r>
      <w:r>
        <w:rPr>
          <w:rFonts w:eastAsia="Times New Roman"/>
          <w:color w:val="auto"/>
          <w:highlight w:val="none"/>
        </w:rPr>
        <w:t>89</w:t>
      </w:r>
      <w:r>
        <w:rPr>
          <w:color w:val="auto"/>
          <w:highlight w:val="none"/>
        </w:rPr>
        <w:t>）相关规定，卧式罐的储存损耗率可以忽略不计，储存损耗视为零。</w:t>
      </w:r>
    </w:p>
    <w:p w14:paraId="38FCCD5F">
      <w:pPr>
        <w:ind w:firstLine="480" w:firstLineChars="200"/>
        <w:rPr>
          <w:color w:val="auto"/>
          <w:highlight w:val="none"/>
        </w:rPr>
      </w:pPr>
      <w:r>
        <w:rPr>
          <w:rFonts w:hint="eastAsia" w:eastAsia="宋体"/>
          <w:color w:val="auto"/>
          <w:highlight w:val="none"/>
          <w:lang w:val="en-US" w:eastAsia="zh-CN"/>
        </w:rPr>
        <w:t>B</w:t>
      </w:r>
      <w:r>
        <w:rPr>
          <w:rFonts w:eastAsia="Times New Roman"/>
          <w:color w:val="auto"/>
          <w:highlight w:val="none"/>
        </w:rPr>
        <w:t>.</w:t>
      </w:r>
      <w:r>
        <w:rPr>
          <w:color w:val="auto"/>
          <w:highlight w:val="none"/>
        </w:rPr>
        <w:t>加油损耗</w:t>
      </w:r>
    </w:p>
    <w:p w14:paraId="6942BC29">
      <w:pPr>
        <w:ind w:firstLine="480" w:firstLineChars="200"/>
        <w:rPr>
          <w:rFonts w:hint="eastAsia" w:eastAsia="宋体"/>
          <w:color w:val="auto"/>
          <w:highlight w:val="none"/>
          <w:lang w:val="en-US" w:eastAsia="zh-CN"/>
        </w:rPr>
      </w:pPr>
      <w:r>
        <w:rPr>
          <w:color w:val="auto"/>
          <w:highlight w:val="none"/>
        </w:rPr>
        <w:t>加油过程中，加油装置油罐中油品通过潜油泵吸出，经出油管道、紧急拉断阀、输油管道、油品计量计，然后通过输油胶管连接加油枪，由加油枪对外供油。设备配备加油油气回收系统，在加油时，采用油气回收真空泵，将加油机油气回收到油罐中，回收效率</w:t>
      </w:r>
      <w:r>
        <w:rPr>
          <w:rFonts w:eastAsia="Times New Roman"/>
          <w:color w:val="auto"/>
          <w:highlight w:val="none"/>
        </w:rPr>
        <w:t>90%</w:t>
      </w:r>
      <w:r>
        <w:rPr>
          <w:color w:val="auto"/>
          <w:highlight w:val="none"/>
        </w:rPr>
        <w:t>。</w:t>
      </w:r>
    </w:p>
    <w:p w14:paraId="5D22948E">
      <w:pPr>
        <w:ind w:firstLine="480" w:firstLineChars="200"/>
        <w:rPr>
          <w:color w:val="auto"/>
          <w:highlight w:val="none"/>
        </w:rPr>
      </w:pPr>
      <w:r>
        <w:rPr>
          <w:color w:val="auto"/>
          <w:highlight w:val="none"/>
        </w:rPr>
        <w:t>根据《散装液态石油产品损耗》（</w:t>
      </w:r>
      <w:r>
        <w:rPr>
          <w:rFonts w:eastAsia="Times New Roman"/>
          <w:color w:val="auto"/>
          <w:highlight w:val="none"/>
        </w:rPr>
        <w:t>GB11085-89</w:t>
      </w:r>
      <w:r>
        <w:rPr>
          <w:color w:val="auto"/>
          <w:highlight w:val="none"/>
        </w:rPr>
        <w:t>）相关规定，零售损耗率，煤油取</w:t>
      </w:r>
      <w:r>
        <w:rPr>
          <w:rFonts w:eastAsia="Times New Roman"/>
          <w:color w:val="auto"/>
          <w:highlight w:val="none"/>
        </w:rPr>
        <w:t>0.08%</w:t>
      </w:r>
      <w:r>
        <w:rPr>
          <w:color w:val="auto"/>
          <w:highlight w:val="none"/>
        </w:rPr>
        <w:t>。</w:t>
      </w:r>
    </w:p>
    <w:p w14:paraId="66B0FCF6">
      <w:pPr>
        <w:ind w:firstLine="480" w:firstLineChars="200"/>
        <w:rPr>
          <w:color w:val="auto"/>
          <w:highlight w:val="none"/>
        </w:rPr>
      </w:pPr>
      <w:r>
        <w:rPr>
          <w:color w:val="auto"/>
          <w:highlight w:val="none"/>
        </w:rPr>
        <w:t>加油损耗：</w:t>
      </w:r>
      <w:r>
        <w:rPr>
          <w:rFonts w:hint="eastAsia" w:eastAsia="Times New Roman"/>
          <w:color w:val="auto"/>
          <w:highlight w:val="none"/>
        </w:rPr>
        <w:t>579</w:t>
      </w:r>
      <w:r>
        <w:rPr>
          <w:rFonts w:eastAsia="Times New Roman"/>
          <w:color w:val="auto"/>
          <w:highlight w:val="none"/>
        </w:rPr>
        <w:t>t/a×0.08%×</w:t>
      </w:r>
      <w:r>
        <w:rPr>
          <w:color w:val="auto"/>
          <w:highlight w:val="none"/>
        </w:rPr>
        <w:t>（</w:t>
      </w:r>
      <w:r>
        <w:rPr>
          <w:rFonts w:eastAsia="Times New Roman"/>
          <w:color w:val="auto"/>
          <w:highlight w:val="none"/>
        </w:rPr>
        <w:t>1-90%</w:t>
      </w:r>
      <w:r>
        <w:rPr>
          <w:color w:val="auto"/>
          <w:highlight w:val="none"/>
        </w:rPr>
        <w:t>）</w:t>
      </w:r>
      <w:r>
        <w:rPr>
          <w:rFonts w:eastAsia="Times New Roman"/>
          <w:color w:val="auto"/>
          <w:highlight w:val="none"/>
        </w:rPr>
        <w:t>=</w:t>
      </w:r>
      <w:r>
        <w:rPr>
          <w:rFonts w:hint="eastAsia" w:eastAsia="Times New Roman"/>
          <w:color w:val="auto"/>
          <w:highlight w:val="none"/>
        </w:rPr>
        <w:t>0.046</w:t>
      </w:r>
      <w:r>
        <w:rPr>
          <w:rFonts w:eastAsia="Times New Roman"/>
          <w:color w:val="auto"/>
          <w:highlight w:val="none"/>
        </w:rPr>
        <w:t>t/a</w:t>
      </w:r>
      <w:r>
        <w:rPr>
          <w:color w:val="auto"/>
          <w:highlight w:val="none"/>
        </w:rPr>
        <w:t>；因此，本项目</w:t>
      </w:r>
      <w:r>
        <w:rPr>
          <w:rFonts w:hint="eastAsia"/>
          <w:color w:val="auto"/>
          <w:highlight w:val="none"/>
        </w:rPr>
        <w:t>油车棚</w:t>
      </w:r>
      <w:r>
        <w:rPr>
          <w:rFonts w:hint="eastAsia"/>
          <w:color w:val="auto"/>
          <w:highlight w:val="none"/>
          <w:lang w:val="en-US" w:eastAsia="zh-CN"/>
        </w:rPr>
        <w:t>处</w:t>
      </w:r>
      <w:r>
        <w:rPr>
          <w:color w:val="auto"/>
          <w:highlight w:val="none"/>
        </w:rPr>
        <w:t>航煤加油装置的</w:t>
      </w:r>
      <w:r>
        <w:rPr>
          <w:rFonts w:hint="eastAsia"/>
          <w:color w:val="auto"/>
          <w:highlight w:val="none"/>
        </w:rPr>
        <w:t>无组织烃类废气</w:t>
      </w:r>
      <w:r>
        <w:rPr>
          <w:color w:val="auto"/>
          <w:highlight w:val="none"/>
        </w:rPr>
        <w:t>排放量总计约为</w:t>
      </w:r>
      <w:r>
        <w:rPr>
          <w:rFonts w:hint="eastAsia" w:eastAsia="Times New Roman"/>
          <w:color w:val="auto"/>
          <w:highlight w:val="none"/>
        </w:rPr>
        <w:t>0.046</w:t>
      </w:r>
      <w:r>
        <w:rPr>
          <w:rFonts w:eastAsia="Times New Roman"/>
          <w:color w:val="auto"/>
          <w:highlight w:val="none"/>
        </w:rPr>
        <w:t>t/a</w:t>
      </w:r>
      <w:r>
        <w:rPr>
          <w:color w:val="auto"/>
          <w:highlight w:val="none"/>
        </w:rPr>
        <w:t>。</w:t>
      </w:r>
    </w:p>
    <w:p w14:paraId="71B4C04A">
      <w:pPr>
        <w:ind w:firstLine="482" w:firstLineChars="200"/>
        <w:outlineLvl w:val="4"/>
        <w:rPr>
          <w:b/>
          <w:bCs/>
          <w:color w:val="auto"/>
          <w:highlight w:val="none"/>
        </w:rPr>
      </w:pPr>
      <w:r>
        <w:rPr>
          <w:b/>
          <w:bCs/>
          <w:color w:val="auto"/>
          <w:highlight w:val="none"/>
        </w:rPr>
        <w:t>（</w:t>
      </w:r>
      <w:r>
        <w:rPr>
          <w:rFonts w:hint="eastAsia"/>
          <w:b/>
          <w:bCs/>
          <w:color w:val="auto"/>
          <w:highlight w:val="none"/>
          <w:lang w:val="en-US" w:eastAsia="zh-CN"/>
        </w:rPr>
        <w:t>4</w:t>
      </w:r>
      <w:r>
        <w:rPr>
          <w:b/>
          <w:bCs/>
          <w:color w:val="auto"/>
          <w:highlight w:val="none"/>
        </w:rPr>
        <w:t>）食堂餐饮废气</w:t>
      </w:r>
    </w:p>
    <w:p w14:paraId="25BFB47D">
      <w:pPr>
        <w:ind w:firstLine="480" w:firstLineChars="200"/>
        <w:rPr>
          <w:color w:val="auto"/>
          <w:highlight w:val="none"/>
        </w:rPr>
      </w:pPr>
      <w:r>
        <w:rPr>
          <w:color w:val="auto"/>
          <w:highlight w:val="none"/>
        </w:rPr>
        <w:t>职工食堂将排放少量燃烧烟气和含油烟废气。</w:t>
      </w:r>
      <w:r>
        <w:rPr>
          <w:rFonts w:hint="eastAsia" w:eastAsia="宋体"/>
          <w:color w:val="auto"/>
          <w:highlight w:val="none"/>
          <w:lang w:eastAsia="zh-CN"/>
        </w:rPr>
        <w:t>2030</w:t>
      </w:r>
      <w:r>
        <w:rPr>
          <w:color w:val="auto"/>
          <w:highlight w:val="none"/>
        </w:rPr>
        <w:t>年机场编制</w:t>
      </w:r>
      <w:r>
        <w:rPr>
          <w:rFonts w:hint="eastAsia"/>
          <w:color w:val="auto"/>
          <w:highlight w:val="none"/>
          <w:lang w:val="en-US" w:eastAsia="zh-CN"/>
        </w:rPr>
        <w:t>定员</w:t>
      </w:r>
      <w:r>
        <w:rPr>
          <w:color w:val="auto"/>
          <w:highlight w:val="none"/>
        </w:rPr>
        <w:t>约</w:t>
      </w:r>
      <w:r>
        <w:rPr>
          <w:rFonts w:hint="eastAsia"/>
          <w:color w:val="auto"/>
          <w:highlight w:val="none"/>
          <w:lang w:val="en-US" w:eastAsia="zh-CN"/>
        </w:rPr>
        <w:t>30</w:t>
      </w:r>
      <w:r>
        <w:rPr>
          <w:color w:val="auto"/>
          <w:highlight w:val="none"/>
        </w:rPr>
        <w:t>人，工作人员为</w:t>
      </w:r>
      <w:r>
        <w:rPr>
          <w:rFonts w:eastAsia="Times New Roman"/>
          <w:color w:val="auto"/>
          <w:highlight w:val="none"/>
        </w:rPr>
        <w:t>100%</w:t>
      </w:r>
      <w:r>
        <w:rPr>
          <w:color w:val="auto"/>
          <w:highlight w:val="none"/>
        </w:rPr>
        <w:t>就餐，就餐总人数为</w:t>
      </w:r>
      <w:r>
        <w:rPr>
          <w:rFonts w:hint="eastAsia" w:eastAsia="宋体"/>
          <w:color w:val="auto"/>
          <w:highlight w:val="none"/>
          <w:lang w:val="en-US" w:eastAsia="zh-CN"/>
        </w:rPr>
        <w:t>30</w:t>
      </w:r>
      <w:r>
        <w:rPr>
          <w:color w:val="auto"/>
          <w:highlight w:val="none"/>
        </w:rPr>
        <w:t>人</w:t>
      </w:r>
      <w:r>
        <w:rPr>
          <w:rFonts w:eastAsia="Times New Roman"/>
          <w:color w:val="auto"/>
          <w:highlight w:val="none"/>
        </w:rPr>
        <w:t>/d</w:t>
      </w:r>
      <w:r>
        <w:rPr>
          <w:color w:val="auto"/>
          <w:highlight w:val="none"/>
        </w:rPr>
        <w:t>。食堂消耗热量按</w:t>
      </w:r>
      <w:r>
        <w:rPr>
          <w:rFonts w:eastAsia="Times New Roman"/>
          <w:color w:val="auto"/>
          <w:highlight w:val="none"/>
        </w:rPr>
        <w:t>5.2MJ/</w:t>
      </w:r>
      <w:r>
        <w:rPr>
          <w:color w:val="auto"/>
          <w:highlight w:val="none"/>
        </w:rPr>
        <w:t>餐</w:t>
      </w:r>
      <w:r>
        <w:rPr>
          <w:rFonts w:eastAsia="Times New Roman"/>
          <w:color w:val="auto"/>
          <w:highlight w:val="none"/>
        </w:rPr>
        <w:t>•</w:t>
      </w:r>
      <w:r>
        <w:rPr>
          <w:color w:val="auto"/>
          <w:highlight w:val="none"/>
        </w:rPr>
        <w:t>人计算，总功率约</w:t>
      </w:r>
      <w:r>
        <w:rPr>
          <w:rFonts w:hint="eastAsia"/>
          <w:color w:val="auto"/>
          <w:highlight w:val="none"/>
        </w:rPr>
        <w:t>468</w:t>
      </w:r>
      <w:r>
        <w:rPr>
          <w:rFonts w:eastAsia="Times New Roman"/>
          <w:color w:val="auto"/>
          <w:highlight w:val="none"/>
        </w:rPr>
        <w:t>MJ/d</w:t>
      </w:r>
      <w:r>
        <w:rPr>
          <w:color w:val="auto"/>
          <w:highlight w:val="none"/>
        </w:rPr>
        <w:t>。按每餐运行</w:t>
      </w:r>
      <w:r>
        <w:rPr>
          <w:rFonts w:eastAsia="Times New Roman"/>
          <w:color w:val="auto"/>
          <w:highlight w:val="none"/>
        </w:rPr>
        <w:t>2h</w:t>
      </w:r>
      <w:r>
        <w:rPr>
          <w:color w:val="auto"/>
          <w:highlight w:val="none"/>
        </w:rPr>
        <w:t>计算，折合灶头总功率为</w:t>
      </w:r>
      <w:r>
        <w:rPr>
          <w:rFonts w:hint="eastAsia"/>
          <w:color w:val="auto"/>
          <w:highlight w:val="none"/>
        </w:rPr>
        <w:t>78</w:t>
      </w:r>
      <w:r>
        <w:rPr>
          <w:rFonts w:eastAsia="Times New Roman"/>
          <w:color w:val="auto"/>
          <w:highlight w:val="none"/>
        </w:rPr>
        <w:t>×10</w:t>
      </w:r>
      <w:r>
        <w:rPr>
          <w:rFonts w:eastAsia="Times New Roman"/>
          <w:color w:val="auto"/>
          <w:highlight w:val="none"/>
          <w:vertAlign w:val="superscript"/>
        </w:rPr>
        <w:t>8</w:t>
      </w:r>
      <w:r>
        <w:rPr>
          <w:rFonts w:eastAsia="Times New Roman"/>
          <w:color w:val="auto"/>
          <w:highlight w:val="none"/>
        </w:rPr>
        <w:t>J/h</w:t>
      </w:r>
      <w:r>
        <w:rPr>
          <w:color w:val="auto"/>
          <w:highlight w:val="none"/>
        </w:rPr>
        <w:t>。</w:t>
      </w:r>
    </w:p>
    <w:p w14:paraId="2C926902">
      <w:pPr>
        <w:ind w:firstLine="480" w:firstLineChars="200"/>
        <w:rPr>
          <w:color w:val="auto"/>
          <w:highlight w:val="none"/>
        </w:rPr>
      </w:pPr>
      <w:r>
        <w:rPr>
          <w:rFonts w:eastAsia="Times New Roman"/>
          <w:color w:val="auto"/>
          <w:highlight w:val="none"/>
        </w:rPr>
        <w:t>A.</w:t>
      </w:r>
      <w:r>
        <w:rPr>
          <w:color w:val="auto"/>
          <w:highlight w:val="none"/>
        </w:rPr>
        <w:t>石油液化气燃烧污染物排放量</w:t>
      </w:r>
    </w:p>
    <w:p w14:paraId="7E96B432">
      <w:pPr>
        <w:ind w:firstLine="480" w:firstLineChars="200"/>
        <w:rPr>
          <w:rFonts w:eastAsia="Times New Roman"/>
          <w:color w:val="auto"/>
          <w:highlight w:val="none"/>
        </w:rPr>
      </w:pPr>
      <w:r>
        <w:rPr>
          <w:color w:val="auto"/>
          <w:highlight w:val="none"/>
        </w:rPr>
        <w:t>根据可研，</w:t>
      </w:r>
      <w:r>
        <w:rPr>
          <w:rFonts w:hint="eastAsia" w:eastAsia="宋体"/>
          <w:color w:val="auto"/>
          <w:highlight w:val="none"/>
          <w:lang w:eastAsia="zh-CN"/>
        </w:rPr>
        <w:t>2030</w:t>
      </w:r>
      <w:r>
        <w:rPr>
          <w:color w:val="auto"/>
          <w:highlight w:val="none"/>
        </w:rPr>
        <w:t>年机场职工食堂石油液化气用量约0.304</w:t>
      </w:r>
      <w:r>
        <w:rPr>
          <w:rFonts w:eastAsiaTheme="minorEastAsia"/>
          <w:color w:val="auto"/>
          <w:highlight w:val="none"/>
        </w:rPr>
        <w:t>×10</w:t>
      </w:r>
      <w:r>
        <w:rPr>
          <w:rFonts w:eastAsiaTheme="minorEastAsia"/>
          <w:color w:val="auto"/>
          <w:highlight w:val="none"/>
          <w:vertAlign w:val="superscript"/>
        </w:rPr>
        <w:t>4</w:t>
      </w:r>
      <w:r>
        <w:rPr>
          <w:rFonts w:eastAsiaTheme="minorEastAsia"/>
          <w:color w:val="auto"/>
          <w:highlight w:val="none"/>
        </w:rPr>
        <w:t>m</w:t>
      </w:r>
      <w:r>
        <w:rPr>
          <w:rFonts w:eastAsiaTheme="minorEastAsia"/>
          <w:color w:val="auto"/>
          <w:highlight w:val="none"/>
          <w:vertAlign w:val="superscript"/>
        </w:rPr>
        <w:t>3</w:t>
      </w:r>
      <w:r>
        <w:rPr>
          <w:rFonts w:eastAsia="Times New Roman"/>
          <w:color w:val="auto"/>
          <w:highlight w:val="none"/>
        </w:rPr>
        <w:t>/</w:t>
      </w:r>
      <w:r>
        <w:rPr>
          <w:rFonts w:eastAsiaTheme="minorEastAsia"/>
          <w:color w:val="auto"/>
          <w:highlight w:val="none"/>
        </w:rPr>
        <w:t>a</w:t>
      </w:r>
      <w:r>
        <w:rPr>
          <w:color w:val="auto"/>
          <w:highlight w:val="none"/>
        </w:rPr>
        <w:t>，石油液化气的污染物产出系数见表</w:t>
      </w:r>
      <w:r>
        <w:rPr>
          <w:rFonts w:hint="eastAsia" w:eastAsia="宋体"/>
          <w:color w:val="auto"/>
          <w:highlight w:val="none"/>
          <w:lang w:eastAsia="zh-CN"/>
        </w:rPr>
        <w:t>3.6</w:t>
      </w:r>
      <w:r>
        <w:rPr>
          <w:rFonts w:eastAsia="Times New Roman"/>
          <w:color w:val="auto"/>
          <w:highlight w:val="none"/>
        </w:rPr>
        <w:t>-12</w:t>
      </w:r>
      <w:r>
        <w:rPr>
          <w:color w:val="auto"/>
          <w:highlight w:val="none"/>
        </w:rPr>
        <w:t>。因此，食堂石油液化气燃烧产生颗粒物量为0.00072</w:t>
      </w:r>
      <w:r>
        <w:rPr>
          <w:rFonts w:eastAsia="Times New Roman"/>
          <w:color w:val="auto"/>
          <w:highlight w:val="none"/>
        </w:rPr>
        <w:t>t/a</w:t>
      </w:r>
      <w:r>
        <w:rPr>
          <w:color w:val="auto"/>
          <w:highlight w:val="none"/>
        </w:rPr>
        <w:t>，</w:t>
      </w:r>
      <w:r>
        <w:rPr>
          <w:rFonts w:eastAsia="Times New Roman"/>
          <w:color w:val="auto"/>
          <w:highlight w:val="none"/>
        </w:rPr>
        <w:t>NO</w:t>
      </w:r>
      <w:r>
        <w:rPr>
          <w:rFonts w:eastAsiaTheme="minorEastAsia"/>
          <w:color w:val="auto"/>
          <w:highlight w:val="none"/>
          <w:vertAlign w:val="subscript"/>
        </w:rPr>
        <w:t>X</w:t>
      </w:r>
      <w:r>
        <w:rPr>
          <w:color w:val="auto"/>
          <w:highlight w:val="none"/>
        </w:rPr>
        <w:t>产生量为0.006</w:t>
      </w:r>
      <w:r>
        <w:rPr>
          <w:rFonts w:eastAsia="Times New Roman"/>
          <w:color w:val="auto"/>
          <w:highlight w:val="none"/>
        </w:rPr>
        <w:t>t/a</w:t>
      </w:r>
      <w:r>
        <w:rPr>
          <w:color w:val="auto"/>
          <w:highlight w:val="none"/>
        </w:rPr>
        <w:t>，</w:t>
      </w:r>
      <w:r>
        <w:rPr>
          <w:rFonts w:eastAsia="Times New Roman"/>
          <w:color w:val="auto"/>
          <w:highlight w:val="none"/>
        </w:rPr>
        <w:t>SO</w:t>
      </w:r>
      <w:r>
        <w:rPr>
          <w:rFonts w:eastAsia="Times New Roman"/>
          <w:color w:val="auto"/>
          <w:highlight w:val="none"/>
          <w:vertAlign w:val="subscript"/>
        </w:rPr>
        <w:t>2</w:t>
      </w:r>
      <w:r>
        <w:rPr>
          <w:color w:val="auto"/>
          <w:highlight w:val="none"/>
        </w:rPr>
        <w:t>产生量为0.0006</w:t>
      </w:r>
      <w:r>
        <w:rPr>
          <w:rFonts w:eastAsia="Times New Roman"/>
          <w:color w:val="auto"/>
          <w:highlight w:val="none"/>
        </w:rPr>
        <w:t>t/a</w:t>
      </w:r>
      <w:r>
        <w:rPr>
          <w:color w:val="auto"/>
          <w:highlight w:val="none"/>
        </w:rPr>
        <w:t>。</w:t>
      </w:r>
      <w:r>
        <w:rPr>
          <w:rFonts w:eastAsia="Times New Roman"/>
          <w:color w:val="auto"/>
          <w:highlight w:val="none"/>
        </w:rPr>
        <w:t xml:space="preserve"> </w:t>
      </w:r>
    </w:p>
    <w:p w14:paraId="0B4EB10C">
      <w:pPr>
        <w:spacing w:after="3"/>
        <w:ind w:left="10" w:right="238" w:hanging="10"/>
        <w:jc w:val="center"/>
        <w:rPr>
          <w:color w:val="auto"/>
          <w:highlight w:val="none"/>
        </w:rPr>
      </w:pPr>
      <w:r>
        <w:rPr>
          <w:rFonts w:eastAsia="黑体"/>
          <w:color w:val="auto"/>
          <w:highlight w:val="none"/>
        </w:rPr>
        <w:t>表</w:t>
      </w:r>
      <w:r>
        <w:rPr>
          <w:rFonts w:hint="eastAsia"/>
          <w:b/>
          <w:color w:val="auto"/>
          <w:highlight w:val="none"/>
          <w:lang w:eastAsia="zh-CN"/>
        </w:rPr>
        <w:t>3.5</w:t>
      </w:r>
      <w:r>
        <w:rPr>
          <w:rFonts w:hint="eastAsia"/>
          <w:b/>
          <w:color w:val="auto"/>
          <w:highlight w:val="none"/>
          <w:lang w:val="en-US" w:eastAsia="zh-CN"/>
        </w:rPr>
        <w:t>-13</w:t>
      </w:r>
      <w:r>
        <w:rPr>
          <w:color w:val="auto"/>
          <w:highlight w:val="none"/>
        </w:rPr>
        <w:t xml:space="preserve">  石油液化气燃烧产污系数</w:t>
      </w:r>
    </w:p>
    <w:tbl>
      <w:tblPr>
        <w:tblStyle w:val="5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6"/>
        <w:gridCol w:w="2302"/>
        <w:gridCol w:w="2113"/>
        <w:gridCol w:w="2113"/>
      </w:tblGrid>
      <w:tr w14:paraId="0CB1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5" w:type="pct"/>
            <w:vAlign w:val="center"/>
          </w:tcPr>
          <w:p w14:paraId="436D97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98" w:firstLine="0"/>
              <w:jc w:val="center"/>
              <w:textAlignment w:val="auto"/>
              <w:rPr>
                <w:rFonts w:hint="default"/>
                <w:color w:val="auto"/>
                <w:sz w:val="21"/>
                <w:szCs w:val="21"/>
                <w:highlight w:val="none"/>
              </w:rPr>
            </w:pPr>
            <w:r>
              <w:rPr>
                <w:rFonts w:hint="default"/>
                <w:color w:val="auto"/>
                <w:sz w:val="21"/>
                <w:szCs w:val="21"/>
                <w:highlight w:val="none"/>
              </w:rPr>
              <w:t>污染物</w:t>
            </w:r>
          </w:p>
        </w:tc>
        <w:tc>
          <w:tcPr>
            <w:tcW w:w="1303" w:type="pct"/>
            <w:vAlign w:val="center"/>
          </w:tcPr>
          <w:p w14:paraId="25AE36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50" w:firstLine="0"/>
              <w:jc w:val="center"/>
              <w:textAlignment w:val="auto"/>
              <w:rPr>
                <w:rFonts w:hint="default"/>
                <w:color w:val="auto"/>
                <w:sz w:val="21"/>
                <w:szCs w:val="21"/>
                <w:highlight w:val="none"/>
              </w:rPr>
            </w:pPr>
            <w:r>
              <w:rPr>
                <w:rFonts w:hint="default"/>
                <w:color w:val="auto"/>
                <w:sz w:val="21"/>
                <w:szCs w:val="21"/>
                <w:highlight w:val="none"/>
              </w:rPr>
              <w:t>单位</w:t>
            </w:r>
          </w:p>
        </w:tc>
        <w:tc>
          <w:tcPr>
            <w:tcW w:w="1196" w:type="pct"/>
            <w:vAlign w:val="center"/>
          </w:tcPr>
          <w:p w14:paraId="599598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202" w:firstLine="0"/>
              <w:jc w:val="center"/>
              <w:textAlignment w:val="auto"/>
              <w:rPr>
                <w:rFonts w:hint="default"/>
                <w:color w:val="auto"/>
                <w:sz w:val="21"/>
                <w:szCs w:val="21"/>
                <w:highlight w:val="none"/>
              </w:rPr>
            </w:pPr>
            <w:r>
              <w:rPr>
                <w:rFonts w:hint="default"/>
                <w:color w:val="auto"/>
                <w:sz w:val="21"/>
                <w:szCs w:val="21"/>
                <w:highlight w:val="none"/>
              </w:rPr>
              <w:t>产污系数</w:t>
            </w:r>
          </w:p>
        </w:tc>
        <w:tc>
          <w:tcPr>
            <w:tcW w:w="1196" w:type="pct"/>
            <w:vAlign w:val="center"/>
          </w:tcPr>
          <w:p w14:paraId="12BEA1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90" w:firstLine="0"/>
              <w:jc w:val="center"/>
              <w:textAlignment w:val="auto"/>
              <w:rPr>
                <w:rFonts w:hint="default"/>
                <w:color w:val="auto"/>
                <w:sz w:val="21"/>
                <w:szCs w:val="21"/>
                <w:highlight w:val="none"/>
              </w:rPr>
            </w:pPr>
            <w:r>
              <w:rPr>
                <w:rFonts w:hint="default"/>
                <w:color w:val="auto"/>
                <w:sz w:val="21"/>
                <w:szCs w:val="21"/>
                <w:highlight w:val="none"/>
              </w:rPr>
              <w:t>末端治理技术</w:t>
            </w:r>
          </w:p>
        </w:tc>
      </w:tr>
      <w:tr w14:paraId="70A4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5" w:type="pct"/>
            <w:vAlign w:val="center"/>
          </w:tcPr>
          <w:p w14:paraId="4E1FDF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1"/>
                <w:highlight w:val="none"/>
              </w:rPr>
            </w:pPr>
            <w:r>
              <w:rPr>
                <w:rFonts w:hint="default"/>
                <w:color w:val="auto"/>
                <w:sz w:val="21"/>
                <w:szCs w:val="21"/>
                <w:highlight w:val="none"/>
              </w:rPr>
              <w:t>废气量</w:t>
            </w:r>
          </w:p>
        </w:tc>
        <w:tc>
          <w:tcPr>
            <w:tcW w:w="1303" w:type="pct"/>
            <w:vAlign w:val="center"/>
          </w:tcPr>
          <w:p w14:paraId="37CD83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92" w:firstLine="0"/>
              <w:jc w:val="center"/>
              <w:textAlignment w:val="auto"/>
              <w:rPr>
                <w:rFonts w:hint="default" w:eastAsia="Times New Roman"/>
                <w:color w:val="auto"/>
                <w:sz w:val="21"/>
                <w:szCs w:val="21"/>
                <w:highlight w:val="none"/>
              </w:rPr>
            </w:pPr>
            <w:r>
              <w:rPr>
                <w:rFonts w:hint="default"/>
                <w:color w:val="auto"/>
                <w:sz w:val="21"/>
                <w:szCs w:val="21"/>
                <w:highlight w:val="none"/>
              </w:rPr>
              <w:t>Nm</w:t>
            </w:r>
            <w:r>
              <w:rPr>
                <w:rFonts w:hint="default" w:eastAsia="Times New Roman"/>
                <w:color w:val="auto"/>
                <w:sz w:val="21"/>
                <w:szCs w:val="21"/>
                <w:highlight w:val="none"/>
                <w:vertAlign w:val="superscript"/>
              </w:rPr>
              <w:t>3</w:t>
            </w:r>
            <w:r>
              <w:rPr>
                <w:rFonts w:hint="default"/>
                <w:color w:val="auto"/>
                <w:sz w:val="21"/>
                <w:szCs w:val="21"/>
                <w:highlight w:val="none"/>
              </w:rPr>
              <w:t>/</w:t>
            </w:r>
            <w:r>
              <w:rPr>
                <w:rFonts w:hint="eastAsia" w:eastAsiaTheme="minorEastAsia"/>
                <w:color w:val="auto"/>
                <w:sz w:val="21"/>
                <w:highlight w:val="none"/>
              </w:rPr>
              <w:t>1</w:t>
            </w:r>
            <w:r>
              <w:rPr>
                <w:rFonts w:hint="default" w:eastAsiaTheme="minorEastAsia"/>
                <w:color w:val="auto"/>
                <w:sz w:val="21"/>
                <w:highlight w:val="none"/>
              </w:rPr>
              <w:t>0</w:t>
            </w:r>
            <w:r>
              <w:rPr>
                <w:rFonts w:hint="default" w:eastAsiaTheme="minorEastAsia"/>
                <w:color w:val="auto"/>
                <w:sz w:val="21"/>
                <w:highlight w:val="none"/>
                <w:vertAlign w:val="superscript"/>
              </w:rPr>
              <w:t>4</w:t>
            </w:r>
            <w:r>
              <w:rPr>
                <w:rFonts w:hint="default"/>
                <w:color w:val="auto"/>
                <w:sz w:val="21"/>
                <w:szCs w:val="21"/>
                <w:highlight w:val="none"/>
              </w:rPr>
              <w:t>m</w:t>
            </w:r>
            <w:r>
              <w:rPr>
                <w:rFonts w:hint="default"/>
                <w:color w:val="auto"/>
                <w:sz w:val="21"/>
                <w:szCs w:val="21"/>
                <w:highlight w:val="none"/>
                <w:vertAlign w:val="superscript"/>
              </w:rPr>
              <w:t>3</w:t>
            </w:r>
          </w:p>
        </w:tc>
        <w:tc>
          <w:tcPr>
            <w:tcW w:w="1196" w:type="pct"/>
            <w:vAlign w:val="center"/>
          </w:tcPr>
          <w:p w14:paraId="4E6400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92" w:firstLine="0"/>
              <w:jc w:val="center"/>
              <w:textAlignment w:val="auto"/>
              <w:rPr>
                <w:rFonts w:hint="default"/>
                <w:color w:val="auto"/>
                <w:sz w:val="21"/>
                <w:szCs w:val="21"/>
                <w:highlight w:val="none"/>
              </w:rPr>
            </w:pPr>
            <w:r>
              <w:rPr>
                <w:rFonts w:hint="default"/>
                <w:color w:val="auto"/>
                <w:sz w:val="21"/>
                <w:szCs w:val="21"/>
                <w:highlight w:val="none"/>
              </w:rPr>
              <w:t>290000</w:t>
            </w:r>
          </w:p>
        </w:tc>
        <w:tc>
          <w:tcPr>
            <w:tcW w:w="1196" w:type="pct"/>
            <w:vAlign w:val="center"/>
          </w:tcPr>
          <w:p w14:paraId="4E68D0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92" w:firstLine="0"/>
              <w:jc w:val="center"/>
              <w:textAlignment w:val="auto"/>
              <w:rPr>
                <w:rFonts w:hint="default"/>
                <w:color w:val="auto"/>
                <w:sz w:val="21"/>
                <w:szCs w:val="21"/>
                <w:highlight w:val="none"/>
              </w:rPr>
            </w:pPr>
            <w:r>
              <w:rPr>
                <w:rFonts w:hint="default"/>
                <w:color w:val="auto"/>
                <w:sz w:val="21"/>
                <w:szCs w:val="21"/>
                <w:highlight w:val="none"/>
              </w:rPr>
              <w:t>直排</w:t>
            </w:r>
          </w:p>
        </w:tc>
      </w:tr>
      <w:tr w14:paraId="384B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5" w:type="pct"/>
            <w:vAlign w:val="center"/>
          </w:tcPr>
          <w:p w14:paraId="5B6C02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98" w:firstLine="0"/>
              <w:jc w:val="center"/>
              <w:textAlignment w:val="auto"/>
              <w:rPr>
                <w:rFonts w:hint="default"/>
                <w:color w:val="auto"/>
                <w:sz w:val="21"/>
                <w:szCs w:val="21"/>
                <w:highlight w:val="none"/>
              </w:rPr>
            </w:pPr>
            <w:r>
              <w:rPr>
                <w:rFonts w:hint="default"/>
                <w:color w:val="auto"/>
                <w:sz w:val="21"/>
                <w:szCs w:val="21"/>
                <w:highlight w:val="none"/>
              </w:rPr>
              <w:t>SO</w:t>
            </w:r>
            <w:r>
              <w:rPr>
                <w:rFonts w:hint="default"/>
                <w:color w:val="auto"/>
                <w:sz w:val="21"/>
                <w:szCs w:val="21"/>
                <w:highlight w:val="none"/>
                <w:vertAlign w:val="subscript"/>
              </w:rPr>
              <w:t>2</w:t>
            </w:r>
          </w:p>
        </w:tc>
        <w:tc>
          <w:tcPr>
            <w:tcW w:w="1303" w:type="pct"/>
            <w:vAlign w:val="center"/>
          </w:tcPr>
          <w:p w14:paraId="788DF0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97" w:firstLine="0"/>
              <w:jc w:val="center"/>
              <w:textAlignment w:val="auto"/>
              <w:rPr>
                <w:rFonts w:hint="default"/>
                <w:color w:val="auto"/>
                <w:sz w:val="21"/>
                <w:szCs w:val="21"/>
                <w:highlight w:val="none"/>
              </w:rPr>
            </w:pPr>
            <w:r>
              <w:rPr>
                <w:rFonts w:hint="default"/>
                <w:color w:val="auto"/>
                <w:sz w:val="21"/>
                <w:szCs w:val="21"/>
                <w:highlight w:val="none"/>
              </w:rPr>
              <w:t>kg/</w:t>
            </w:r>
            <w:r>
              <w:rPr>
                <w:rFonts w:hint="eastAsia" w:eastAsiaTheme="minorEastAsia"/>
                <w:color w:val="auto"/>
                <w:sz w:val="21"/>
                <w:highlight w:val="none"/>
              </w:rPr>
              <w:t>1</w:t>
            </w:r>
            <w:r>
              <w:rPr>
                <w:rFonts w:hint="default" w:eastAsiaTheme="minorEastAsia"/>
                <w:color w:val="auto"/>
                <w:sz w:val="21"/>
                <w:highlight w:val="none"/>
              </w:rPr>
              <w:t>0</w:t>
            </w:r>
            <w:r>
              <w:rPr>
                <w:rFonts w:hint="default" w:eastAsiaTheme="minorEastAsia"/>
                <w:color w:val="auto"/>
                <w:sz w:val="21"/>
                <w:highlight w:val="none"/>
                <w:vertAlign w:val="superscript"/>
              </w:rPr>
              <w:t>4</w:t>
            </w:r>
            <w:r>
              <w:rPr>
                <w:rFonts w:hint="default"/>
                <w:color w:val="auto"/>
                <w:sz w:val="21"/>
                <w:szCs w:val="21"/>
                <w:highlight w:val="none"/>
              </w:rPr>
              <w:t>m</w:t>
            </w:r>
            <w:r>
              <w:rPr>
                <w:rFonts w:hint="default"/>
                <w:color w:val="auto"/>
                <w:sz w:val="21"/>
                <w:szCs w:val="21"/>
                <w:highlight w:val="none"/>
                <w:vertAlign w:val="superscript"/>
              </w:rPr>
              <w:t>3</w:t>
            </w:r>
          </w:p>
        </w:tc>
        <w:tc>
          <w:tcPr>
            <w:tcW w:w="1196" w:type="pct"/>
            <w:vAlign w:val="center"/>
          </w:tcPr>
          <w:p w14:paraId="15B38C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92" w:firstLine="0"/>
              <w:jc w:val="center"/>
              <w:textAlignment w:val="auto"/>
              <w:rPr>
                <w:rFonts w:hint="default"/>
                <w:color w:val="auto"/>
                <w:sz w:val="21"/>
                <w:szCs w:val="21"/>
                <w:highlight w:val="none"/>
              </w:rPr>
            </w:pPr>
            <w:r>
              <w:rPr>
                <w:rFonts w:hint="default" w:eastAsia="Times New Roman"/>
                <w:color w:val="auto"/>
                <w:sz w:val="21"/>
                <w:szCs w:val="21"/>
                <w:highlight w:val="none"/>
              </w:rPr>
              <w:t>1.8</w:t>
            </w:r>
          </w:p>
        </w:tc>
        <w:tc>
          <w:tcPr>
            <w:tcW w:w="1196" w:type="pct"/>
            <w:vAlign w:val="center"/>
          </w:tcPr>
          <w:p w14:paraId="06BBC2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92" w:firstLine="0"/>
              <w:jc w:val="center"/>
              <w:textAlignment w:val="auto"/>
              <w:rPr>
                <w:rFonts w:hint="default"/>
                <w:color w:val="auto"/>
                <w:sz w:val="21"/>
                <w:szCs w:val="21"/>
                <w:highlight w:val="none"/>
              </w:rPr>
            </w:pPr>
            <w:r>
              <w:rPr>
                <w:rFonts w:hint="default"/>
                <w:color w:val="auto"/>
                <w:sz w:val="21"/>
                <w:szCs w:val="21"/>
                <w:highlight w:val="none"/>
              </w:rPr>
              <w:t>直排</w:t>
            </w:r>
          </w:p>
        </w:tc>
      </w:tr>
      <w:tr w14:paraId="624F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5" w:type="pct"/>
            <w:vAlign w:val="center"/>
          </w:tcPr>
          <w:p w14:paraId="67D114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98" w:firstLine="0"/>
              <w:jc w:val="center"/>
              <w:textAlignment w:val="auto"/>
              <w:rPr>
                <w:rFonts w:hint="default"/>
                <w:color w:val="auto"/>
                <w:sz w:val="21"/>
                <w:szCs w:val="21"/>
                <w:highlight w:val="none"/>
              </w:rPr>
            </w:pPr>
            <w:r>
              <w:rPr>
                <w:rFonts w:hint="default"/>
                <w:color w:val="auto"/>
                <w:sz w:val="21"/>
                <w:szCs w:val="21"/>
                <w:highlight w:val="none"/>
              </w:rPr>
              <w:t>NO</w:t>
            </w:r>
            <w:r>
              <w:rPr>
                <w:rFonts w:hint="default"/>
                <w:color w:val="auto"/>
                <w:sz w:val="21"/>
                <w:szCs w:val="21"/>
                <w:highlight w:val="none"/>
                <w:vertAlign w:val="subscript"/>
              </w:rPr>
              <w:t>X</w:t>
            </w:r>
          </w:p>
        </w:tc>
        <w:tc>
          <w:tcPr>
            <w:tcW w:w="1303" w:type="pct"/>
            <w:vAlign w:val="center"/>
          </w:tcPr>
          <w:p w14:paraId="1C8FCB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97" w:firstLine="0"/>
              <w:jc w:val="center"/>
              <w:textAlignment w:val="auto"/>
              <w:rPr>
                <w:rFonts w:hint="default"/>
                <w:color w:val="auto"/>
                <w:sz w:val="21"/>
                <w:szCs w:val="21"/>
                <w:highlight w:val="none"/>
              </w:rPr>
            </w:pPr>
            <w:r>
              <w:rPr>
                <w:rFonts w:hint="default"/>
                <w:color w:val="auto"/>
                <w:sz w:val="21"/>
                <w:szCs w:val="21"/>
                <w:highlight w:val="none"/>
              </w:rPr>
              <w:t>kg/</w:t>
            </w:r>
            <w:r>
              <w:rPr>
                <w:rFonts w:hint="eastAsia" w:eastAsiaTheme="minorEastAsia"/>
                <w:color w:val="auto"/>
                <w:sz w:val="21"/>
                <w:highlight w:val="none"/>
              </w:rPr>
              <w:t>1</w:t>
            </w:r>
            <w:r>
              <w:rPr>
                <w:rFonts w:hint="default" w:eastAsiaTheme="minorEastAsia"/>
                <w:color w:val="auto"/>
                <w:sz w:val="21"/>
                <w:highlight w:val="none"/>
              </w:rPr>
              <w:t>0</w:t>
            </w:r>
            <w:r>
              <w:rPr>
                <w:rFonts w:hint="default" w:eastAsiaTheme="minorEastAsia"/>
                <w:color w:val="auto"/>
                <w:sz w:val="21"/>
                <w:highlight w:val="none"/>
                <w:vertAlign w:val="superscript"/>
              </w:rPr>
              <w:t>4</w:t>
            </w:r>
            <w:r>
              <w:rPr>
                <w:rFonts w:hint="default"/>
                <w:color w:val="auto"/>
                <w:sz w:val="21"/>
                <w:szCs w:val="21"/>
                <w:highlight w:val="none"/>
              </w:rPr>
              <w:t>m</w:t>
            </w:r>
            <w:r>
              <w:rPr>
                <w:rFonts w:hint="default"/>
                <w:color w:val="auto"/>
                <w:sz w:val="21"/>
                <w:szCs w:val="21"/>
                <w:highlight w:val="none"/>
                <w:vertAlign w:val="superscript"/>
              </w:rPr>
              <w:t>3</w:t>
            </w:r>
          </w:p>
        </w:tc>
        <w:tc>
          <w:tcPr>
            <w:tcW w:w="1196" w:type="pct"/>
            <w:vAlign w:val="center"/>
          </w:tcPr>
          <w:p w14:paraId="61AA23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92" w:firstLine="0"/>
              <w:jc w:val="center"/>
              <w:textAlignment w:val="auto"/>
              <w:rPr>
                <w:rFonts w:hint="default"/>
                <w:color w:val="auto"/>
                <w:sz w:val="21"/>
                <w:szCs w:val="21"/>
                <w:highlight w:val="none"/>
              </w:rPr>
            </w:pPr>
            <w:r>
              <w:rPr>
                <w:rFonts w:hint="default"/>
                <w:color w:val="auto"/>
                <w:sz w:val="21"/>
                <w:szCs w:val="21"/>
                <w:highlight w:val="none"/>
              </w:rPr>
              <w:t>21.0</w:t>
            </w:r>
          </w:p>
        </w:tc>
        <w:tc>
          <w:tcPr>
            <w:tcW w:w="1196" w:type="pct"/>
            <w:vAlign w:val="center"/>
          </w:tcPr>
          <w:p w14:paraId="7079AA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92" w:firstLine="0"/>
              <w:jc w:val="center"/>
              <w:textAlignment w:val="auto"/>
              <w:rPr>
                <w:rFonts w:hint="default"/>
                <w:color w:val="auto"/>
                <w:sz w:val="21"/>
                <w:szCs w:val="21"/>
                <w:highlight w:val="none"/>
              </w:rPr>
            </w:pPr>
            <w:r>
              <w:rPr>
                <w:rFonts w:hint="default"/>
                <w:color w:val="auto"/>
                <w:sz w:val="21"/>
                <w:szCs w:val="21"/>
                <w:highlight w:val="none"/>
              </w:rPr>
              <w:t>直排</w:t>
            </w:r>
          </w:p>
        </w:tc>
      </w:tr>
      <w:tr w14:paraId="4EF5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5" w:type="pct"/>
            <w:vAlign w:val="center"/>
          </w:tcPr>
          <w:p w14:paraId="168BC6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98" w:firstLine="0"/>
              <w:jc w:val="center"/>
              <w:textAlignment w:val="auto"/>
              <w:rPr>
                <w:rFonts w:hint="default"/>
                <w:color w:val="auto"/>
                <w:sz w:val="21"/>
                <w:szCs w:val="21"/>
                <w:highlight w:val="none"/>
              </w:rPr>
            </w:pPr>
            <w:r>
              <w:rPr>
                <w:rFonts w:hint="default"/>
                <w:color w:val="auto"/>
                <w:sz w:val="21"/>
                <w:szCs w:val="21"/>
                <w:highlight w:val="none"/>
              </w:rPr>
              <w:t>颗粒物</w:t>
            </w:r>
          </w:p>
        </w:tc>
        <w:tc>
          <w:tcPr>
            <w:tcW w:w="1303" w:type="pct"/>
            <w:vAlign w:val="center"/>
          </w:tcPr>
          <w:p w14:paraId="39DFD5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97" w:firstLine="0"/>
              <w:jc w:val="center"/>
              <w:textAlignment w:val="auto"/>
              <w:rPr>
                <w:rFonts w:hint="default"/>
                <w:color w:val="auto"/>
                <w:sz w:val="21"/>
                <w:szCs w:val="21"/>
                <w:highlight w:val="none"/>
              </w:rPr>
            </w:pPr>
            <w:r>
              <w:rPr>
                <w:rFonts w:hint="default"/>
                <w:color w:val="auto"/>
                <w:sz w:val="21"/>
                <w:szCs w:val="21"/>
                <w:highlight w:val="none"/>
              </w:rPr>
              <w:t>kg/</w:t>
            </w:r>
            <w:r>
              <w:rPr>
                <w:rFonts w:hint="eastAsia" w:eastAsiaTheme="minorEastAsia"/>
                <w:color w:val="auto"/>
                <w:sz w:val="21"/>
                <w:highlight w:val="none"/>
              </w:rPr>
              <w:t>1</w:t>
            </w:r>
            <w:r>
              <w:rPr>
                <w:rFonts w:hint="default" w:eastAsiaTheme="minorEastAsia"/>
                <w:color w:val="auto"/>
                <w:sz w:val="21"/>
                <w:highlight w:val="none"/>
              </w:rPr>
              <w:t>0</w:t>
            </w:r>
            <w:r>
              <w:rPr>
                <w:rFonts w:hint="default" w:eastAsiaTheme="minorEastAsia"/>
                <w:color w:val="auto"/>
                <w:sz w:val="21"/>
                <w:highlight w:val="none"/>
                <w:vertAlign w:val="superscript"/>
              </w:rPr>
              <w:t>4</w:t>
            </w:r>
            <w:r>
              <w:rPr>
                <w:rFonts w:hint="default"/>
                <w:color w:val="auto"/>
                <w:sz w:val="21"/>
                <w:szCs w:val="21"/>
                <w:highlight w:val="none"/>
              </w:rPr>
              <w:t>m</w:t>
            </w:r>
            <w:r>
              <w:rPr>
                <w:rFonts w:hint="default"/>
                <w:color w:val="auto"/>
                <w:sz w:val="21"/>
                <w:szCs w:val="21"/>
                <w:highlight w:val="none"/>
                <w:vertAlign w:val="superscript"/>
              </w:rPr>
              <w:t>3</w:t>
            </w:r>
          </w:p>
        </w:tc>
        <w:tc>
          <w:tcPr>
            <w:tcW w:w="1196" w:type="pct"/>
            <w:vAlign w:val="center"/>
          </w:tcPr>
          <w:p w14:paraId="4A2CD7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92" w:firstLine="0"/>
              <w:jc w:val="center"/>
              <w:textAlignment w:val="auto"/>
              <w:rPr>
                <w:rFonts w:hint="default" w:eastAsia="Times New Roman"/>
                <w:color w:val="auto"/>
                <w:sz w:val="21"/>
                <w:szCs w:val="21"/>
                <w:highlight w:val="none"/>
              </w:rPr>
            </w:pPr>
            <w:r>
              <w:rPr>
                <w:rFonts w:hint="default" w:eastAsia="Times New Roman"/>
                <w:color w:val="auto"/>
                <w:sz w:val="21"/>
                <w:szCs w:val="21"/>
                <w:highlight w:val="none"/>
              </w:rPr>
              <w:t>2.2</w:t>
            </w:r>
          </w:p>
        </w:tc>
        <w:tc>
          <w:tcPr>
            <w:tcW w:w="1196" w:type="pct"/>
            <w:vAlign w:val="center"/>
          </w:tcPr>
          <w:p w14:paraId="2E54F8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92" w:firstLine="0"/>
              <w:jc w:val="center"/>
              <w:textAlignment w:val="auto"/>
              <w:rPr>
                <w:rFonts w:hint="default"/>
                <w:color w:val="auto"/>
                <w:sz w:val="21"/>
                <w:szCs w:val="21"/>
                <w:highlight w:val="none"/>
              </w:rPr>
            </w:pPr>
            <w:r>
              <w:rPr>
                <w:rFonts w:hint="default"/>
                <w:color w:val="auto"/>
                <w:sz w:val="21"/>
                <w:szCs w:val="21"/>
                <w:highlight w:val="none"/>
              </w:rPr>
              <w:t>直排</w:t>
            </w:r>
          </w:p>
        </w:tc>
      </w:tr>
    </w:tbl>
    <w:p w14:paraId="6E4B3D0C">
      <w:pPr>
        <w:ind w:firstLine="480" w:firstLineChars="200"/>
        <w:rPr>
          <w:color w:val="auto"/>
          <w:highlight w:val="none"/>
        </w:rPr>
      </w:pPr>
      <w:r>
        <w:rPr>
          <w:rFonts w:eastAsia="Times New Roman"/>
          <w:color w:val="auto"/>
          <w:highlight w:val="none"/>
        </w:rPr>
        <w:t>B.</w:t>
      </w:r>
      <w:r>
        <w:rPr>
          <w:color w:val="auto"/>
          <w:highlight w:val="none"/>
        </w:rPr>
        <w:t>饮食油烟排放量</w:t>
      </w:r>
      <w:r>
        <w:rPr>
          <w:rFonts w:eastAsia="Times New Roman"/>
          <w:color w:val="auto"/>
          <w:sz w:val="20"/>
          <w:highlight w:val="none"/>
        </w:rPr>
        <w:t xml:space="preserve"> </w:t>
      </w:r>
    </w:p>
    <w:p w14:paraId="089D98A8">
      <w:pPr>
        <w:ind w:firstLine="480" w:firstLineChars="200"/>
        <w:rPr>
          <w:color w:val="auto"/>
          <w:highlight w:val="none"/>
        </w:rPr>
      </w:pPr>
      <w:r>
        <w:rPr>
          <w:color w:val="auto"/>
          <w:highlight w:val="none"/>
        </w:rPr>
        <w:t>厨房内的炉灶工作时产生高温油烟废气，油烟废气中含油质、有机质及加热分解或裂解产污。本报告按食用油日耗油量为1.2</w:t>
      </w:r>
      <w:r>
        <w:rPr>
          <w:rFonts w:eastAsia="Times New Roman"/>
          <w:color w:val="auto"/>
          <w:highlight w:val="none"/>
        </w:rPr>
        <w:t>kg/d</w:t>
      </w:r>
      <w:r>
        <w:rPr>
          <w:color w:val="auto"/>
          <w:highlight w:val="none"/>
        </w:rPr>
        <w:t>，合计年耗油0.438</w:t>
      </w:r>
      <w:r>
        <w:rPr>
          <w:rFonts w:eastAsia="Times New Roman"/>
          <w:color w:val="auto"/>
          <w:highlight w:val="none"/>
        </w:rPr>
        <w:t>t/a</w:t>
      </w:r>
      <w:r>
        <w:rPr>
          <w:color w:val="auto"/>
          <w:highlight w:val="none"/>
        </w:rPr>
        <w:t>。</w:t>
      </w:r>
    </w:p>
    <w:p w14:paraId="49976560">
      <w:pPr>
        <w:ind w:firstLine="480" w:firstLineChars="200"/>
        <w:rPr>
          <w:rFonts w:hint="eastAsia" w:eastAsia="宋体"/>
          <w:color w:val="auto"/>
          <w:highlight w:val="none"/>
          <w:lang w:eastAsia="zh-CN"/>
        </w:rPr>
      </w:pPr>
      <w:r>
        <w:rPr>
          <w:color w:val="auto"/>
          <w:highlight w:val="none"/>
        </w:rPr>
        <w:t>根据类比调查，油的平均挥发量为总耗油量的</w:t>
      </w:r>
      <w:r>
        <w:rPr>
          <w:rFonts w:eastAsia="Times New Roman"/>
          <w:color w:val="auto"/>
          <w:highlight w:val="none"/>
        </w:rPr>
        <w:t>2.83%</w:t>
      </w:r>
      <w:r>
        <w:rPr>
          <w:color w:val="auto"/>
          <w:highlight w:val="none"/>
        </w:rPr>
        <w:t>，经估算，本项目年产生油烟量为0.0124</w:t>
      </w:r>
      <w:r>
        <w:rPr>
          <w:rFonts w:eastAsia="Times New Roman"/>
          <w:color w:val="auto"/>
          <w:highlight w:val="none"/>
        </w:rPr>
        <w:t>t/a</w:t>
      </w:r>
      <w:r>
        <w:rPr>
          <w:color w:val="auto"/>
          <w:highlight w:val="none"/>
        </w:rPr>
        <w:t>，机场食堂安装净化效率不低于</w:t>
      </w:r>
      <w:r>
        <w:rPr>
          <w:rFonts w:eastAsia="Times New Roman"/>
          <w:color w:val="auto"/>
          <w:highlight w:val="none"/>
        </w:rPr>
        <w:t>60%</w:t>
      </w:r>
      <w:r>
        <w:rPr>
          <w:color w:val="auto"/>
          <w:highlight w:val="none"/>
        </w:rPr>
        <w:t>的油烟净化器，则经处理达标后的油烟排放量为0.005</w:t>
      </w:r>
      <w:r>
        <w:rPr>
          <w:rFonts w:eastAsia="Times New Roman"/>
          <w:color w:val="auto"/>
          <w:highlight w:val="none"/>
        </w:rPr>
        <w:t>t/a</w:t>
      </w:r>
      <w:r>
        <w:rPr>
          <w:color w:val="auto"/>
          <w:highlight w:val="none"/>
        </w:rPr>
        <w:t>，按风机风量为</w:t>
      </w:r>
      <w:r>
        <w:rPr>
          <w:rFonts w:eastAsia="Times New Roman"/>
          <w:color w:val="auto"/>
          <w:highlight w:val="none"/>
        </w:rPr>
        <w:t>4000m</w:t>
      </w:r>
      <w:r>
        <w:rPr>
          <w:rFonts w:eastAsia="Times New Roman"/>
          <w:color w:val="auto"/>
          <w:highlight w:val="none"/>
          <w:vertAlign w:val="superscript"/>
        </w:rPr>
        <w:t>3</w:t>
      </w:r>
      <w:r>
        <w:rPr>
          <w:rFonts w:eastAsia="Times New Roman"/>
          <w:color w:val="auto"/>
          <w:highlight w:val="none"/>
        </w:rPr>
        <w:t>/h</w:t>
      </w:r>
      <w:r>
        <w:rPr>
          <w:color w:val="auto"/>
          <w:highlight w:val="none"/>
        </w:rPr>
        <w:t>计算，则排放浓度为1.24</w:t>
      </w:r>
      <w:r>
        <w:rPr>
          <w:rFonts w:eastAsia="Times New Roman"/>
          <w:color w:val="auto"/>
          <w:highlight w:val="none"/>
        </w:rPr>
        <w:t>mg/m</w:t>
      </w:r>
      <w:r>
        <w:rPr>
          <w:rFonts w:eastAsia="Times New Roman"/>
          <w:color w:val="auto"/>
          <w:highlight w:val="none"/>
          <w:vertAlign w:val="superscript"/>
        </w:rPr>
        <w:t>3</w:t>
      </w:r>
      <w:r>
        <w:rPr>
          <w:color w:val="auto"/>
          <w:highlight w:val="none"/>
        </w:rPr>
        <w:t>。满足《饮食业油烟排放标准》（</w:t>
      </w:r>
      <w:r>
        <w:rPr>
          <w:rFonts w:eastAsia="Times New Roman"/>
          <w:color w:val="auto"/>
          <w:highlight w:val="none"/>
        </w:rPr>
        <w:t>GB18483-2001</w:t>
      </w:r>
      <w:r>
        <w:rPr>
          <w:color w:val="auto"/>
          <w:highlight w:val="none"/>
        </w:rPr>
        <w:t>）中饮食单位油烟的最高允许排放浓度</w:t>
      </w:r>
      <w:r>
        <w:rPr>
          <w:rFonts w:eastAsia="Times New Roman"/>
          <w:color w:val="auto"/>
          <w:highlight w:val="none"/>
        </w:rPr>
        <w:t>2.0mg/m</w:t>
      </w:r>
      <w:r>
        <w:rPr>
          <w:rFonts w:eastAsia="Times New Roman"/>
          <w:color w:val="auto"/>
          <w:highlight w:val="none"/>
          <w:vertAlign w:val="superscript"/>
        </w:rPr>
        <w:t>3</w:t>
      </w:r>
      <w:r>
        <w:rPr>
          <w:color w:val="auto"/>
          <w:highlight w:val="none"/>
        </w:rPr>
        <w:t>的标准限值要求，保障能够做到达标排放。</w:t>
      </w:r>
    </w:p>
    <w:p w14:paraId="4A8D221F">
      <w:pPr>
        <w:ind w:firstLine="482" w:firstLineChars="200"/>
        <w:outlineLvl w:val="4"/>
        <w:rPr>
          <w:b/>
          <w:bCs/>
          <w:color w:val="auto"/>
          <w:highlight w:val="none"/>
        </w:rPr>
      </w:pPr>
      <w:r>
        <w:rPr>
          <w:b/>
          <w:bCs/>
          <w:color w:val="auto"/>
          <w:highlight w:val="none"/>
        </w:rPr>
        <w:t>（</w:t>
      </w:r>
      <w:r>
        <w:rPr>
          <w:rFonts w:hint="eastAsia"/>
          <w:b/>
          <w:bCs/>
          <w:color w:val="auto"/>
          <w:highlight w:val="none"/>
          <w:lang w:val="en-US" w:eastAsia="zh-CN"/>
        </w:rPr>
        <w:t>5</w:t>
      </w:r>
      <w:r>
        <w:rPr>
          <w:b/>
          <w:bCs/>
          <w:color w:val="auto"/>
          <w:highlight w:val="none"/>
        </w:rPr>
        <w:t>）污水处理站臭气</w:t>
      </w:r>
    </w:p>
    <w:p w14:paraId="60F6C20B">
      <w:pPr>
        <w:ind w:firstLine="480" w:firstLineChars="200"/>
        <w:rPr>
          <w:color w:val="auto"/>
          <w:highlight w:val="none"/>
        </w:rPr>
      </w:pPr>
      <w:r>
        <w:rPr>
          <w:color w:val="auto"/>
          <w:highlight w:val="none"/>
        </w:rPr>
        <w:t>项目建设一座污水处理站，采用处理能力为</w:t>
      </w:r>
      <w:r>
        <w:rPr>
          <w:rFonts w:hint="eastAsia" w:eastAsia="宋体"/>
          <w:color w:val="auto"/>
          <w:highlight w:val="none"/>
          <w:lang w:val="en-US" w:eastAsia="zh-CN"/>
        </w:rPr>
        <w:t>5</w:t>
      </w:r>
      <w:r>
        <w:rPr>
          <w:rFonts w:eastAsia="Times New Roman"/>
          <w:color w:val="auto"/>
          <w:highlight w:val="none"/>
        </w:rPr>
        <w:t>m</w:t>
      </w:r>
      <w:r>
        <w:rPr>
          <w:rFonts w:eastAsia="Times New Roman"/>
          <w:color w:val="auto"/>
          <w:highlight w:val="none"/>
          <w:vertAlign w:val="superscript"/>
        </w:rPr>
        <w:t>3</w:t>
      </w:r>
      <w:r>
        <w:rPr>
          <w:rFonts w:eastAsia="Times New Roman"/>
          <w:color w:val="auto"/>
          <w:highlight w:val="none"/>
        </w:rPr>
        <w:t>/h</w:t>
      </w:r>
      <w:r>
        <w:rPr>
          <w:color w:val="auto"/>
          <w:highlight w:val="none"/>
        </w:rPr>
        <w:t>的一体化</w:t>
      </w:r>
      <w:r>
        <w:rPr>
          <w:rFonts w:eastAsia="Times New Roman"/>
          <w:color w:val="auto"/>
          <w:highlight w:val="none"/>
        </w:rPr>
        <w:t>MBR</w:t>
      </w:r>
      <w:r>
        <w:rPr>
          <w:color w:val="auto"/>
          <w:highlight w:val="none"/>
        </w:rPr>
        <w:t>污水处理设施。污水处理站产生的恶臭气体主要来源于污水、污泥中有机物分解、发酵过程中散发的化学物质，主要种类有：</w:t>
      </w:r>
      <w:r>
        <w:rPr>
          <w:rFonts w:eastAsia="Times New Roman"/>
          <w:color w:val="auto"/>
          <w:highlight w:val="none"/>
        </w:rPr>
        <w:t>H</w:t>
      </w:r>
      <w:r>
        <w:rPr>
          <w:rFonts w:eastAsia="Times New Roman"/>
          <w:color w:val="auto"/>
          <w:highlight w:val="none"/>
          <w:vertAlign w:val="subscript"/>
        </w:rPr>
        <w:t>2</w:t>
      </w:r>
      <w:r>
        <w:rPr>
          <w:rFonts w:eastAsia="Times New Roman"/>
          <w:color w:val="auto"/>
          <w:highlight w:val="none"/>
        </w:rPr>
        <w:t>S</w:t>
      </w:r>
      <w:r>
        <w:rPr>
          <w:color w:val="auto"/>
          <w:highlight w:val="none"/>
        </w:rPr>
        <w:t>、</w:t>
      </w:r>
      <w:r>
        <w:rPr>
          <w:rFonts w:eastAsia="Times New Roman"/>
          <w:color w:val="auto"/>
          <w:highlight w:val="none"/>
        </w:rPr>
        <w:t>NH</w:t>
      </w:r>
      <w:r>
        <w:rPr>
          <w:rFonts w:eastAsia="Times New Roman"/>
          <w:color w:val="auto"/>
          <w:highlight w:val="none"/>
          <w:vertAlign w:val="subscript"/>
        </w:rPr>
        <w:t>3</w:t>
      </w:r>
      <w:r>
        <w:rPr>
          <w:color w:val="auto"/>
          <w:highlight w:val="none"/>
        </w:rPr>
        <w:t>。</w:t>
      </w:r>
    </w:p>
    <w:p w14:paraId="2B2D781E">
      <w:pPr>
        <w:ind w:firstLine="480" w:firstLineChars="200"/>
        <w:rPr>
          <w:color w:val="auto"/>
          <w:highlight w:val="none"/>
        </w:rPr>
      </w:pPr>
      <w:r>
        <w:rPr>
          <w:color w:val="auto"/>
          <w:highlight w:val="none"/>
        </w:rPr>
        <w:t>类比同类项目，每处理</w:t>
      </w:r>
      <w:r>
        <w:rPr>
          <w:rFonts w:eastAsia="Times New Roman"/>
          <w:color w:val="auto"/>
          <w:highlight w:val="none"/>
        </w:rPr>
        <w:t>1g</w:t>
      </w:r>
      <w:r>
        <w:rPr>
          <w:color w:val="auto"/>
          <w:highlight w:val="none"/>
        </w:rPr>
        <w:t>的</w:t>
      </w:r>
      <w:r>
        <w:rPr>
          <w:rFonts w:eastAsia="Times New Roman"/>
          <w:color w:val="auto"/>
          <w:highlight w:val="none"/>
        </w:rPr>
        <w:t>BOD</w:t>
      </w:r>
      <w:r>
        <w:rPr>
          <w:rFonts w:eastAsia="Times New Roman"/>
          <w:color w:val="auto"/>
          <w:highlight w:val="none"/>
          <w:vertAlign w:val="subscript"/>
        </w:rPr>
        <w:t>5</w:t>
      </w:r>
      <w:r>
        <w:rPr>
          <w:color w:val="auto"/>
          <w:highlight w:val="none"/>
        </w:rPr>
        <w:t>可产生</w:t>
      </w:r>
      <w:r>
        <w:rPr>
          <w:rFonts w:eastAsia="Times New Roman"/>
          <w:color w:val="auto"/>
          <w:highlight w:val="none"/>
        </w:rPr>
        <w:t>0.0031g</w:t>
      </w:r>
      <w:r>
        <w:rPr>
          <w:color w:val="auto"/>
          <w:highlight w:val="none"/>
        </w:rPr>
        <w:t>的</w:t>
      </w:r>
      <w:r>
        <w:rPr>
          <w:rFonts w:eastAsia="Times New Roman"/>
          <w:color w:val="auto"/>
          <w:highlight w:val="none"/>
        </w:rPr>
        <w:t>NH</w:t>
      </w:r>
      <w:r>
        <w:rPr>
          <w:rFonts w:eastAsia="Times New Roman"/>
          <w:color w:val="auto"/>
          <w:highlight w:val="none"/>
          <w:vertAlign w:val="subscript"/>
        </w:rPr>
        <w:t>3</w:t>
      </w:r>
      <w:r>
        <w:rPr>
          <w:color w:val="auto"/>
          <w:highlight w:val="none"/>
        </w:rPr>
        <w:t>和</w:t>
      </w:r>
      <w:r>
        <w:rPr>
          <w:rFonts w:eastAsia="Times New Roman"/>
          <w:color w:val="auto"/>
          <w:highlight w:val="none"/>
        </w:rPr>
        <w:t>0.00012g</w:t>
      </w:r>
      <w:r>
        <w:rPr>
          <w:color w:val="auto"/>
          <w:highlight w:val="none"/>
        </w:rPr>
        <w:t>的</w:t>
      </w:r>
      <w:r>
        <w:rPr>
          <w:rFonts w:eastAsia="Times New Roman"/>
          <w:color w:val="auto"/>
          <w:highlight w:val="none"/>
        </w:rPr>
        <w:t>H</w:t>
      </w:r>
      <w:r>
        <w:rPr>
          <w:rFonts w:eastAsia="Times New Roman"/>
          <w:color w:val="auto"/>
          <w:highlight w:val="none"/>
          <w:vertAlign w:val="subscript"/>
        </w:rPr>
        <w:t>2</w:t>
      </w:r>
      <w:r>
        <w:rPr>
          <w:rFonts w:eastAsia="Times New Roman"/>
          <w:color w:val="auto"/>
          <w:highlight w:val="none"/>
        </w:rPr>
        <w:t>S</w:t>
      </w:r>
      <w:r>
        <w:rPr>
          <w:color w:val="auto"/>
          <w:highlight w:val="none"/>
        </w:rPr>
        <w:t>。项目污水处理站日处理污水量约</w:t>
      </w:r>
      <w:r>
        <w:rPr>
          <w:rFonts w:hint="eastAsia" w:eastAsia="Times New Roman"/>
          <w:color w:val="auto"/>
          <w:highlight w:val="none"/>
        </w:rPr>
        <w:t>11.484</w:t>
      </w:r>
      <w:r>
        <w:rPr>
          <w:rFonts w:eastAsia="Times New Roman"/>
          <w:color w:val="auto"/>
          <w:highlight w:val="none"/>
        </w:rPr>
        <w:t>m</w:t>
      </w:r>
      <w:r>
        <w:rPr>
          <w:rFonts w:eastAsia="Times New Roman"/>
          <w:color w:val="auto"/>
          <w:highlight w:val="none"/>
          <w:vertAlign w:val="superscript"/>
        </w:rPr>
        <w:t>3</w:t>
      </w:r>
      <w:r>
        <w:rPr>
          <w:rFonts w:eastAsia="Times New Roman"/>
          <w:color w:val="auto"/>
          <w:highlight w:val="none"/>
        </w:rPr>
        <w:t>/d</w:t>
      </w:r>
      <w:r>
        <w:rPr>
          <w:color w:val="auto"/>
          <w:highlight w:val="none"/>
        </w:rPr>
        <w:t>，按进水</w:t>
      </w:r>
      <w:r>
        <w:rPr>
          <w:rFonts w:eastAsia="Times New Roman"/>
          <w:color w:val="auto"/>
          <w:highlight w:val="none"/>
        </w:rPr>
        <w:t>BOD</w:t>
      </w:r>
      <w:r>
        <w:rPr>
          <w:rFonts w:eastAsia="Times New Roman"/>
          <w:color w:val="auto"/>
          <w:highlight w:val="none"/>
          <w:vertAlign w:val="subscript"/>
        </w:rPr>
        <w:t>5</w:t>
      </w:r>
      <w:r>
        <w:rPr>
          <w:color w:val="auto"/>
          <w:highlight w:val="none"/>
        </w:rPr>
        <w:t>浓度为</w:t>
      </w:r>
      <w:r>
        <w:rPr>
          <w:rFonts w:eastAsia="Times New Roman"/>
          <w:color w:val="auto"/>
          <w:highlight w:val="none"/>
        </w:rPr>
        <w:t>150mg/L</w:t>
      </w:r>
      <w:r>
        <w:rPr>
          <w:color w:val="auto"/>
          <w:highlight w:val="none"/>
        </w:rPr>
        <w:t>，出水</w:t>
      </w:r>
      <w:r>
        <w:rPr>
          <w:rFonts w:eastAsia="Times New Roman"/>
          <w:color w:val="auto"/>
          <w:highlight w:val="none"/>
        </w:rPr>
        <w:t>BOD</w:t>
      </w:r>
      <w:r>
        <w:rPr>
          <w:rFonts w:eastAsia="Times New Roman"/>
          <w:color w:val="auto"/>
          <w:highlight w:val="none"/>
          <w:vertAlign w:val="subscript"/>
        </w:rPr>
        <w:t>5</w:t>
      </w:r>
      <w:r>
        <w:rPr>
          <w:color w:val="auto"/>
          <w:highlight w:val="none"/>
        </w:rPr>
        <w:t>浓度为</w:t>
      </w:r>
      <w:r>
        <w:rPr>
          <w:rFonts w:eastAsia="Times New Roman"/>
          <w:color w:val="auto"/>
          <w:highlight w:val="none"/>
        </w:rPr>
        <w:t>7.5mg/L</w:t>
      </w:r>
      <w:r>
        <w:rPr>
          <w:color w:val="auto"/>
          <w:highlight w:val="none"/>
        </w:rPr>
        <w:t>计，则</w:t>
      </w:r>
      <w:r>
        <w:rPr>
          <w:rFonts w:eastAsia="Times New Roman"/>
          <w:color w:val="auto"/>
          <w:highlight w:val="none"/>
        </w:rPr>
        <w:t>BOD</w:t>
      </w:r>
      <w:r>
        <w:rPr>
          <w:rFonts w:eastAsia="Times New Roman"/>
          <w:color w:val="auto"/>
          <w:highlight w:val="none"/>
          <w:vertAlign w:val="subscript"/>
        </w:rPr>
        <w:t>5</w:t>
      </w:r>
      <w:r>
        <w:rPr>
          <w:color w:val="auto"/>
          <w:highlight w:val="none"/>
        </w:rPr>
        <w:t>处理量为</w:t>
      </w:r>
      <w:r>
        <w:rPr>
          <w:rFonts w:hint="eastAsia"/>
          <w:color w:val="auto"/>
          <w:highlight w:val="none"/>
        </w:rPr>
        <w:t>628749</w:t>
      </w:r>
      <w:r>
        <w:rPr>
          <w:rFonts w:hint="eastAsia"/>
          <w:color w:val="auto"/>
          <w:highlight w:val="none"/>
          <w:lang w:val="en-US" w:eastAsia="zh-CN"/>
        </w:rPr>
        <w:t>g</w:t>
      </w:r>
      <w:r>
        <w:rPr>
          <w:rFonts w:eastAsia="Times New Roman"/>
          <w:color w:val="auto"/>
          <w:highlight w:val="none"/>
        </w:rPr>
        <w:t>/a</w:t>
      </w:r>
      <w:r>
        <w:rPr>
          <w:color w:val="auto"/>
          <w:highlight w:val="none"/>
        </w:rPr>
        <w:t>。因此，本项目污水处理站</w:t>
      </w:r>
      <w:r>
        <w:rPr>
          <w:rFonts w:eastAsia="Times New Roman"/>
          <w:color w:val="auto"/>
          <w:highlight w:val="none"/>
        </w:rPr>
        <w:t>NH</w:t>
      </w:r>
      <w:r>
        <w:rPr>
          <w:rFonts w:eastAsia="Times New Roman"/>
          <w:color w:val="auto"/>
          <w:highlight w:val="none"/>
          <w:vertAlign w:val="subscript"/>
        </w:rPr>
        <w:t>3</w:t>
      </w:r>
      <w:r>
        <w:rPr>
          <w:color w:val="auto"/>
          <w:highlight w:val="none"/>
        </w:rPr>
        <w:t>的产生量为</w:t>
      </w:r>
      <w:r>
        <w:rPr>
          <w:rFonts w:hint="eastAsia"/>
          <w:color w:val="auto"/>
          <w:highlight w:val="none"/>
        </w:rPr>
        <w:t>0.0019</w:t>
      </w:r>
      <w:r>
        <w:rPr>
          <w:rFonts w:eastAsia="Times New Roman"/>
          <w:color w:val="auto"/>
          <w:highlight w:val="none"/>
        </w:rPr>
        <w:t>t/a</w:t>
      </w:r>
      <w:r>
        <w:rPr>
          <w:color w:val="auto"/>
          <w:highlight w:val="none"/>
        </w:rPr>
        <w:t>，</w:t>
      </w:r>
      <w:r>
        <w:rPr>
          <w:rFonts w:eastAsia="Times New Roman"/>
          <w:color w:val="auto"/>
          <w:highlight w:val="none"/>
        </w:rPr>
        <w:t>H</w:t>
      </w:r>
      <w:r>
        <w:rPr>
          <w:rFonts w:eastAsia="Times New Roman"/>
          <w:color w:val="auto"/>
          <w:highlight w:val="none"/>
          <w:vertAlign w:val="subscript"/>
        </w:rPr>
        <w:t>2</w:t>
      </w:r>
      <w:r>
        <w:rPr>
          <w:rFonts w:eastAsia="Times New Roman"/>
          <w:color w:val="auto"/>
          <w:highlight w:val="none"/>
        </w:rPr>
        <w:t>S</w:t>
      </w:r>
      <w:r>
        <w:rPr>
          <w:color w:val="auto"/>
          <w:highlight w:val="none"/>
        </w:rPr>
        <w:t>的产生量为</w:t>
      </w:r>
      <w:r>
        <w:rPr>
          <w:rFonts w:hint="eastAsia" w:eastAsia="Times New Roman"/>
          <w:color w:val="auto"/>
          <w:highlight w:val="none"/>
        </w:rPr>
        <w:t>0.0001</w:t>
      </w:r>
      <w:r>
        <w:rPr>
          <w:rFonts w:eastAsia="Times New Roman"/>
          <w:color w:val="auto"/>
          <w:highlight w:val="none"/>
        </w:rPr>
        <w:t>t/a</w:t>
      </w:r>
      <w:r>
        <w:rPr>
          <w:color w:val="auto"/>
          <w:highlight w:val="none"/>
        </w:rPr>
        <w:t>。</w:t>
      </w:r>
    </w:p>
    <w:p w14:paraId="7FDB26DC">
      <w:pPr>
        <w:ind w:firstLine="480" w:firstLineChars="200"/>
        <w:rPr>
          <w:rFonts w:eastAsia="黑体"/>
          <w:color w:val="auto"/>
          <w:highlight w:val="none"/>
        </w:rPr>
      </w:pPr>
      <w:r>
        <w:rPr>
          <w:color w:val="auto"/>
          <w:highlight w:val="none"/>
        </w:rPr>
        <w:t>机场排放各类废气汇总见</w:t>
      </w:r>
      <w:r>
        <w:rPr>
          <w:rFonts w:hint="eastAsia"/>
          <w:color w:val="auto"/>
          <w:highlight w:val="none"/>
          <w:lang w:val="en-US" w:eastAsia="zh-CN"/>
        </w:rPr>
        <w:t>下</w:t>
      </w:r>
      <w:r>
        <w:rPr>
          <w:color w:val="auto"/>
          <w:highlight w:val="none"/>
        </w:rPr>
        <w:t>表</w:t>
      </w:r>
      <w:r>
        <w:rPr>
          <w:rFonts w:hint="eastAsia"/>
          <w:color w:val="auto"/>
          <w:highlight w:val="none"/>
          <w:lang w:eastAsia="zh-CN"/>
        </w:rPr>
        <w:t>：</w:t>
      </w:r>
    </w:p>
    <w:p w14:paraId="409AD15D">
      <w:pPr>
        <w:spacing w:after="3"/>
        <w:ind w:left="10" w:right="240" w:hanging="10"/>
        <w:jc w:val="center"/>
        <w:rPr>
          <w:rFonts w:eastAsia="Times New Roman"/>
          <w:b/>
          <w:color w:val="auto"/>
          <w:highlight w:val="none"/>
        </w:rPr>
      </w:pPr>
      <w:r>
        <w:rPr>
          <w:rFonts w:eastAsia="黑体"/>
          <w:color w:val="auto"/>
          <w:highlight w:val="none"/>
        </w:rPr>
        <w:t>表</w:t>
      </w:r>
      <w:r>
        <w:rPr>
          <w:rFonts w:hint="eastAsia"/>
          <w:b/>
          <w:color w:val="auto"/>
          <w:highlight w:val="none"/>
          <w:lang w:eastAsia="zh-CN"/>
        </w:rPr>
        <w:t>3.5</w:t>
      </w:r>
      <w:r>
        <w:rPr>
          <w:rFonts w:hint="eastAsia"/>
          <w:b/>
          <w:color w:val="auto"/>
          <w:highlight w:val="none"/>
          <w:lang w:val="en-US" w:eastAsia="zh-CN"/>
        </w:rPr>
        <w:t>-14</w:t>
      </w:r>
      <w:r>
        <w:rPr>
          <w:color w:val="auto"/>
          <w:highlight w:val="none"/>
        </w:rPr>
        <w:t xml:space="preserve"> </w:t>
      </w:r>
      <w:r>
        <w:rPr>
          <w:rFonts w:eastAsia="黑体"/>
          <w:color w:val="auto"/>
          <w:highlight w:val="none"/>
        </w:rPr>
        <w:t>废气污染物汇总表（</w:t>
      </w:r>
      <w:r>
        <w:rPr>
          <w:rFonts w:eastAsia="Times New Roman"/>
          <w:b/>
          <w:color w:val="auto"/>
          <w:highlight w:val="none"/>
        </w:rPr>
        <w:t>t/a</w:t>
      </w:r>
      <w:r>
        <w:rPr>
          <w:rFonts w:eastAsia="黑体"/>
          <w:color w:val="auto"/>
          <w:highlight w:val="none"/>
        </w:rPr>
        <w:t>）</w:t>
      </w:r>
    </w:p>
    <w:tbl>
      <w:tblPr>
        <w:tblStyle w:val="5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9"/>
        <w:gridCol w:w="843"/>
        <w:gridCol w:w="794"/>
        <w:gridCol w:w="976"/>
        <w:gridCol w:w="1126"/>
        <w:gridCol w:w="864"/>
        <w:gridCol w:w="811"/>
        <w:gridCol w:w="845"/>
        <w:gridCol w:w="846"/>
      </w:tblGrid>
      <w:tr w14:paraId="2AE0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pct"/>
            <w:vAlign w:val="center"/>
          </w:tcPr>
          <w:p w14:paraId="7665108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污染物</w:t>
            </w:r>
          </w:p>
          <w:p w14:paraId="51427A83">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污染源</w:t>
            </w:r>
          </w:p>
        </w:tc>
        <w:tc>
          <w:tcPr>
            <w:tcW w:w="477" w:type="pct"/>
            <w:vAlign w:val="center"/>
          </w:tcPr>
          <w:p w14:paraId="0AAD5A51">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SO</w:t>
            </w:r>
            <w:r>
              <w:rPr>
                <w:rFonts w:hint="default"/>
                <w:color w:val="auto"/>
                <w:sz w:val="21"/>
                <w:szCs w:val="21"/>
                <w:highlight w:val="none"/>
                <w:vertAlign w:val="subscript"/>
              </w:rPr>
              <w:t>2</w:t>
            </w:r>
          </w:p>
        </w:tc>
        <w:tc>
          <w:tcPr>
            <w:tcW w:w="449" w:type="pct"/>
            <w:vAlign w:val="center"/>
          </w:tcPr>
          <w:p w14:paraId="37287A14">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CO</w:t>
            </w:r>
          </w:p>
        </w:tc>
        <w:tc>
          <w:tcPr>
            <w:tcW w:w="552" w:type="pct"/>
            <w:vAlign w:val="center"/>
          </w:tcPr>
          <w:p w14:paraId="68A64BD4">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NO</w:t>
            </w:r>
            <w:r>
              <w:rPr>
                <w:rFonts w:hint="default"/>
                <w:color w:val="auto"/>
                <w:sz w:val="21"/>
                <w:szCs w:val="21"/>
                <w:highlight w:val="none"/>
                <w:vertAlign w:val="subscript"/>
              </w:rPr>
              <w:t>X</w:t>
            </w:r>
          </w:p>
        </w:tc>
        <w:tc>
          <w:tcPr>
            <w:tcW w:w="637" w:type="pct"/>
            <w:vAlign w:val="center"/>
          </w:tcPr>
          <w:p w14:paraId="758BC39F">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NMHC</w:t>
            </w:r>
          </w:p>
        </w:tc>
        <w:tc>
          <w:tcPr>
            <w:tcW w:w="489" w:type="pct"/>
            <w:vAlign w:val="center"/>
          </w:tcPr>
          <w:p w14:paraId="3E08F00A">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颗粒物</w:t>
            </w:r>
          </w:p>
        </w:tc>
        <w:tc>
          <w:tcPr>
            <w:tcW w:w="459" w:type="pct"/>
            <w:vAlign w:val="center"/>
          </w:tcPr>
          <w:p w14:paraId="797C3124">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油烟</w:t>
            </w:r>
          </w:p>
        </w:tc>
        <w:tc>
          <w:tcPr>
            <w:tcW w:w="478" w:type="pct"/>
            <w:vAlign w:val="center"/>
          </w:tcPr>
          <w:p w14:paraId="73870D7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NH</w:t>
            </w:r>
            <w:r>
              <w:rPr>
                <w:rFonts w:hint="default"/>
                <w:color w:val="auto"/>
                <w:sz w:val="21"/>
                <w:szCs w:val="21"/>
                <w:highlight w:val="none"/>
                <w:vertAlign w:val="subscript"/>
              </w:rPr>
              <w:t>3</w:t>
            </w:r>
          </w:p>
        </w:tc>
        <w:tc>
          <w:tcPr>
            <w:tcW w:w="478" w:type="pct"/>
            <w:vAlign w:val="center"/>
          </w:tcPr>
          <w:p w14:paraId="1B869027">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H</w:t>
            </w:r>
            <w:r>
              <w:rPr>
                <w:rFonts w:hint="default"/>
                <w:color w:val="auto"/>
                <w:sz w:val="21"/>
                <w:szCs w:val="21"/>
                <w:highlight w:val="none"/>
                <w:vertAlign w:val="subscript"/>
              </w:rPr>
              <w:t>2</w:t>
            </w:r>
            <w:r>
              <w:rPr>
                <w:rFonts w:hint="default"/>
                <w:color w:val="auto"/>
                <w:sz w:val="21"/>
                <w:szCs w:val="21"/>
                <w:highlight w:val="none"/>
              </w:rPr>
              <w:t>S</w:t>
            </w:r>
          </w:p>
        </w:tc>
      </w:tr>
      <w:tr w14:paraId="085F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pct"/>
            <w:vAlign w:val="center"/>
          </w:tcPr>
          <w:p w14:paraId="47D66E13">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飞机尾气</w:t>
            </w:r>
          </w:p>
        </w:tc>
        <w:tc>
          <w:tcPr>
            <w:tcW w:w="477" w:type="pct"/>
            <w:vAlign w:val="center"/>
          </w:tcPr>
          <w:p w14:paraId="546C225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449" w:type="pct"/>
            <w:vAlign w:val="center"/>
          </w:tcPr>
          <w:p w14:paraId="28D02978">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20.196</w:t>
            </w:r>
          </w:p>
        </w:tc>
        <w:tc>
          <w:tcPr>
            <w:tcW w:w="552" w:type="pct"/>
            <w:vAlign w:val="center"/>
          </w:tcPr>
          <w:p w14:paraId="1CB2DBFB">
            <w:pPr>
              <w:keepNext w:val="0"/>
              <w:keepLines w:val="0"/>
              <w:suppressLineNumbers w:val="0"/>
              <w:spacing w:before="0" w:beforeAutospacing="0" w:after="0" w:afterAutospacing="0" w:line="240" w:lineRule="atLeast"/>
              <w:ind w:left="0" w:right="0" w:firstLine="0"/>
              <w:jc w:val="center"/>
              <w:rPr>
                <w:rFonts w:hint="default" w:eastAsia="宋体"/>
                <w:color w:val="auto"/>
                <w:sz w:val="21"/>
                <w:szCs w:val="21"/>
                <w:highlight w:val="none"/>
                <w:lang w:val="en-US" w:eastAsia="zh-CN"/>
              </w:rPr>
            </w:pPr>
            <w:r>
              <w:rPr>
                <w:rFonts w:hint="default"/>
                <w:color w:val="auto"/>
                <w:sz w:val="21"/>
                <w:szCs w:val="21"/>
                <w:highlight w:val="none"/>
              </w:rPr>
              <w:t>11.237</w:t>
            </w:r>
          </w:p>
        </w:tc>
        <w:tc>
          <w:tcPr>
            <w:tcW w:w="637" w:type="pct"/>
            <w:vAlign w:val="center"/>
          </w:tcPr>
          <w:p w14:paraId="5284012D">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5.148</w:t>
            </w:r>
          </w:p>
        </w:tc>
        <w:tc>
          <w:tcPr>
            <w:tcW w:w="489" w:type="pct"/>
            <w:vAlign w:val="center"/>
          </w:tcPr>
          <w:p w14:paraId="0C5F53CA">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459" w:type="pct"/>
            <w:vAlign w:val="center"/>
          </w:tcPr>
          <w:p w14:paraId="7E928DDF">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478" w:type="pct"/>
            <w:vAlign w:val="center"/>
          </w:tcPr>
          <w:p w14:paraId="6E1D27B8">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478" w:type="pct"/>
            <w:vAlign w:val="center"/>
          </w:tcPr>
          <w:p w14:paraId="50FFEB9E">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r>
      <w:tr w14:paraId="5807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pct"/>
            <w:vAlign w:val="center"/>
          </w:tcPr>
          <w:p w14:paraId="01F4E7F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汽车尾气</w:t>
            </w:r>
          </w:p>
        </w:tc>
        <w:tc>
          <w:tcPr>
            <w:tcW w:w="477" w:type="pct"/>
            <w:vAlign w:val="center"/>
          </w:tcPr>
          <w:p w14:paraId="45392BEC">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449" w:type="pct"/>
            <w:vAlign w:val="center"/>
          </w:tcPr>
          <w:p w14:paraId="40894BD3">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eastAsia"/>
                <w:color w:val="auto"/>
                <w:sz w:val="21"/>
                <w:szCs w:val="21"/>
                <w:highlight w:val="none"/>
              </w:rPr>
              <w:t>0</w:t>
            </w:r>
            <w:r>
              <w:rPr>
                <w:rFonts w:hint="default"/>
                <w:color w:val="auto"/>
                <w:sz w:val="21"/>
                <w:szCs w:val="21"/>
                <w:highlight w:val="none"/>
              </w:rPr>
              <w:t>.446</w:t>
            </w:r>
          </w:p>
        </w:tc>
        <w:tc>
          <w:tcPr>
            <w:tcW w:w="552" w:type="pct"/>
            <w:vAlign w:val="center"/>
          </w:tcPr>
          <w:p w14:paraId="4CC245B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eastAsia"/>
                <w:color w:val="auto"/>
                <w:sz w:val="21"/>
                <w:szCs w:val="21"/>
                <w:highlight w:val="none"/>
              </w:rPr>
              <w:t>0</w:t>
            </w:r>
            <w:r>
              <w:rPr>
                <w:rFonts w:hint="default"/>
                <w:color w:val="auto"/>
                <w:sz w:val="21"/>
                <w:szCs w:val="21"/>
                <w:highlight w:val="none"/>
              </w:rPr>
              <w:t>.018</w:t>
            </w:r>
          </w:p>
        </w:tc>
        <w:tc>
          <w:tcPr>
            <w:tcW w:w="637" w:type="pct"/>
            <w:vAlign w:val="center"/>
          </w:tcPr>
          <w:p w14:paraId="3871E111">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eastAsia"/>
                <w:color w:val="auto"/>
                <w:sz w:val="21"/>
                <w:szCs w:val="21"/>
                <w:highlight w:val="none"/>
              </w:rPr>
              <w:t>0</w:t>
            </w:r>
            <w:r>
              <w:rPr>
                <w:rFonts w:hint="default"/>
                <w:color w:val="auto"/>
                <w:sz w:val="21"/>
                <w:szCs w:val="21"/>
                <w:highlight w:val="none"/>
              </w:rPr>
              <w:t>.044</w:t>
            </w:r>
          </w:p>
        </w:tc>
        <w:tc>
          <w:tcPr>
            <w:tcW w:w="489" w:type="pct"/>
            <w:vAlign w:val="center"/>
          </w:tcPr>
          <w:p w14:paraId="6F2F37D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459" w:type="pct"/>
            <w:vAlign w:val="center"/>
          </w:tcPr>
          <w:p w14:paraId="41149B3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478" w:type="pct"/>
            <w:vAlign w:val="center"/>
          </w:tcPr>
          <w:p w14:paraId="38CE16C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478" w:type="pct"/>
            <w:vAlign w:val="center"/>
          </w:tcPr>
          <w:p w14:paraId="58ABC120">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r>
      <w:tr w14:paraId="1322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pct"/>
            <w:vAlign w:val="center"/>
          </w:tcPr>
          <w:p w14:paraId="2F7278A4">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航煤挥发油气</w:t>
            </w:r>
          </w:p>
        </w:tc>
        <w:tc>
          <w:tcPr>
            <w:tcW w:w="477" w:type="pct"/>
            <w:vAlign w:val="center"/>
          </w:tcPr>
          <w:p w14:paraId="28163221">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449" w:type="pct"/>
            <w:vAlign w:val="center"/>
          </w:tcPr>
          <w:p w14:paraId="3D955DB5">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552" w:type="pct"/>
            <w:vAlign w:val="center"/>
          </w:tcPr>
          <w:p w14:paraId="3E80F08F">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637" w:type="pct"/>
            <w:vAlign w:val="center"/>
          </w:tcPr>
          <w:p w14:paraId="33E48B85">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eastAsia="zh-CN"/>
              </w:rPr>
            </w:pPr>
            <w:r>
              <w:rPr>
                <w:rFonts w:hint="default"/>
                <w:color w:val="auto"/>
                <w:sz w:val="21"/>
                <w:szCs w:val="21"/>
                <w:highlight w:val="none"/>
              </w:rPr>
              <w:t>0.04</w:t>
            </w:r>
            <w:r>
              <w:rPr>
                <w:rFonts w:hint="eastAsia"/>
                <w:color w:val="auto"/>
                <w:sz w:val="21"/>
                <w:szCs w:val="21"/>
                <w:highlight w:val="none"/>
                <w:lang w:val="en-US" w:eastAsia="zh-CN"/>
              </w:rPr>
              <w:t>6</w:t>
            </w:r>
          </w:p>
        </w:tc>
        <w:tc>
          <w:tcPr>
            <w:tcW w:w="489" w:type="pct"/>
            <w:vAlign w:val="center"/>
          </w:tcPr>
          <w:p w14:paraId="741D8D7C">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459" w:type="pct"/>
            <w:vAlign w:val="center"/>
          </w:tcPr>
          <w:p w14:paraId="2E25E58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478" w:type="pct"/>
            <w:vAlign w:val="center"/>
          </w:tcPr>
          <w:p w14:paraId="3DFEF5F4">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478" w:type="pct"/>
            <w:vAlign w:val="center"/>
          </w:tcPr>
          <w:p w14:paraId="6CA7180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r>
      <w:tr w14:paraId="2532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pct"/>
            <w:vAlign w:val="center"/>
          </w:tcPr>
          <w:p w14:paraId="1EA98F07">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食堂</w:t>
            </w:r>
          </w:p>
        </w:tc>
        <w:tc>
          <w:tcPr>
            <w:tcW w:w="477" w:type="pct"/>
            <w:vAlign w:val="center"/>
          </w:tcPr>
          <w:p w14:paraId="7942CEB7">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0.0006</w:t>
            </w:r>
          </w:p>
        </w:tc>
        <w:tc>
          <w:tcPr>
            <w:tcW w:w="449" w:type="pct"/>
            <w:vAlign w:val="center"/>
          </w:tcPr>
          <w:p w14:paraId="6150191A">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552" w:type="pct"/>
            <w:vAlign w:val="center"/>
          </w:tcPr>
          <w:p w14:paraId="3C2B6ADC">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0.006</w:t>
            </w:r>
          </w:p>
        </w:tc>
        <w:tc>
          <w:tcPr>
            <w:tcW w:w="637" w:type="pct"/>
            <w:vAlign w:val="center"/>
          </w:tcPr>
          <w:p w14:paraId="1563269B">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489" w:type="pct"/>
            <w:vAlign w:val="center"/>
          </w:tcPr>
          <w:p w14:paraId="2EA45380">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0.0007</w:t>
            </w:r>
          </w:p>
        </w:tc>
        <w:tc>
          <w:tcPr>
            <w:tcW w:w="459" w:type="pct"/>
            <w:vAlign w:val="center"/>
          </w:tcPr>
          <w:p w14:paraId="0273E131">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0.005</w:t>
            </w:r>
          </w:p>
        </w:tc>
        <w:tc>
          <w:tcPr>
            <w:tcW w:w="478" w:type="pct"/>
            <w:vAlign w:val="center"/>
          </w:tcPr>
          <w:p w14:paraId="39C4031F">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478" w:type="pct"/>
            <w:vAlign w:val="center"/>
          </w:tcPr>
          <w:p w14:paraId="6C321C35">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r>
      <w:tr w14:paraId="6BA3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pct"/>
            <w:vAlign w:val="center"/>
          </w:tcPr>
          <w:p w14:paraId="02993DC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污水处理站</w:t>
            </w:r>
          </w:p>
        </w:tc>
        <w:tc>
          <w:tcPr>
            <w:tcW w:w="477" w:type="pct"/>
            <w:vAlign w:val="center"/>
          </w:tcPr>
          <w:p w14:paraId="506A79A0">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449" w:type="pct"/>
            <w:vAlign w:val="center"/>
          </w:tcPr>
          <w:p w14:paraId="15432E13">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552" w:type="pct"/>
            <w:vAlign w:val="center"/>
          </w:tcPr>
          <w:p w14:paraId="48F1627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637" w:type="pct"/>
            <w:vAlign w:val="center"/>
          </w:tcPr>
          <w:p w14:paraId="5B5B3187">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489" w:type="pct"/>
            <w:vAlign w:val="center"/>
          </w:tcPr>
          <w:p w14:paraId="54989FFD">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459" w:type="pct"/>
            <w:vAlign w:val="center"/>
          </w:tcPr>
          <w:p w14:paraId="2301FBCD">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478" w:type="pct"/>
            <w:vAlign w:val="center"/>
          </w:tcPr>
          <w:p w14:paraId="6BACAC1A">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0.00</w:t>
            </w:r>
            <w:r>
              <w:rPr>
                <w:rFonts w:hint="eastAsia"/>
                <w:color w:val="auto"/>
                <w:sz w:val="21"/>
                <w:szCs w:val="21"/>
                <w:highlight w:val="none"/>
              </w:rPr>
              <w:t>19</w:t>
            </w:r>
          </w:p>
        </w:tc>
        <w:tc>
          <w:tcPr>
            <w:tcW w:w="478" w:type="pct"/>
            <w:vAlign w:val="center"/>
          </w:tcPr>
          <w:p w14:paraId="4504648B">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eastAsia="zh-CN"/>
              </w:rPr>
            </w:pPr>
            <w:r>
              <w:rPr>
                <w:rFonts w:hint="default"/>
                <w:color w:val="auto"/>
                <w:sz w:val="21"/>
                <w:szCs w:val="21"/>
                <w:highlight w:val="none"/>
              </w:rPr>
              <w:t>0.000</w:t>
            </w:r>
            <w:r>
              <w:rPr>
                <w:rFonts w:hint="eastAsia"/>
                <w:color w:val="auto"/>
                <w:sz w:val="21"/>
                <w:szCs w:val="21"/>
                <w:highlight w:val="none"/>
                <w:lang w:val="en-US" w:eastAsia="zh-CN"/>
              </w:rPr>
              <w:t>1</w:t>
            </w:r>
          </w:p>
        </w:tc>
      </w:tr>
      <w:tr w14:paraId="2009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pct"/>
            <w:vAlign w:val="center"/>
          </w:tcPr>
          <w:p w14:paraId="6477C59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合计</w:t>
            </w:r>
          </w:p>
        </w:tc>
        <w:tc>
          <w:tcPr>
            <w:tcW w:w="477" w:type="pct"/>
            <w:vAlign w:val="center"/>
          </w:tcPr>
          <w:p w14:paraId="361A9A2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0.0006</w:t>
            </w:r>
          </w:p>
        </w:tc>
        <w:tc>
          <w:tcPr>
            <w:tcW w:w="449" w:type="pct"/>
            <w:vAlign w:val="center"/>
          </w:tcPr>
          <w:p w14:paraId="65C938B7">
            <w:pPr>
              <w:keepNext w:val="0"/>
              <w:keepLines w:val="0"/>
              <w:suppressLineNumbers w:val="0"/>
              <w:spacing w:before="0" w:beforeAutospacing="0" w:after="0" w:afterAutospacing="0" w:line="240" w:lineRule="atLeast"/>
              <w:ind w:left="0" w:right="0" w:firstLine="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20.642</w:t>
            </w:r>
          </w:p>
        </w:tc>
        <w:tc>
          <w:tcPr>
            <w:tcW w:w="552" w:type="pct"/>
            <w:vAlign w:val="center"/>
          </w:tcPr>
          <w:p w14:paraId="754E032A">
            <w:pPr>
              <w:keepNext w:val="0"/>
              <w:keepLines w:val="0"/>
              <w:suppressLineNumbers w:val="0"/>
              <w:spacing w:before="0" w:beforeAutospacing="0" w:after="0" w:afterAutospacing="0" w:line="240" w:lineRule="atLeast"/>
              <w:ind w:left="0" w:right="0" w:firstLine="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11.261</w:t>
            </w:r>
          </w:p>
        </w:tc>
        <w:tc>
          <w:tcPr>
            <w:tcW w:w="637" w:type="pct"/>
            <w:vAlign w:val="center"/>
          </w:tcPr>
          <w:p w14:paraId="35D2E21A">
            <w:pPr>
              <w:keepNext w:val="0"/>
              <w:keepLines w:val="0"/>
              <w:suppressLineNumbers w:val="0"/>
              <w:spacing w:before="0" w:beforeAutospacing="0" w:after="0" w:afterAutospacing="0" w:line="240" w:lineRule="atLeast"/>
              <w:ind w:left="0" w:right="0" w:firstLine="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5.238</w:t>
            </w:r>
          </w:p>
        </w:tc>
        <w:tc>
          <w:tcPr>
            <w:tcW w:w="489" w:type="pct"/>
            <w:vAlign w:val="center"/>
          </w:tcPr>
          <w:p w14:paraId="217C38EA">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0.0007</w:t>
            </w:r>
          </w:p>
        </w:tc>
        <w:tc>
          <w:tcPr>
            <w:tcW w:w="459" w:type="pct"/>
            <w:vAlign w:val="center"/>
          </w:tcPr>
          <w:p w14:paraId="3C3709FF">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0.005</w:t>
            </w:r>
          </w:p>
        </w:tc>
        <w:tc>
          <w:tcPr>
            <w:tcW w:w="478" w:type="pct"/>
            <w:vAlign w:val="center"/>
          </w:tcPr>
          <w:p w14:paraId="31E3843E">
            <w:pPr>
              <w:keepNext w:val="0"/>
              <w:keepLines w:val="0"/>
              <w:suppressLineNumbers w:val="0"/>
              <w:spacing w:before="0" w:beforeAutospacing="0" w:after="0" w:afterAutospacing="0" w:line="240" w:lineRule="atLeast"/>
              <w:ind w:left="0" w:right="0" w:firstLine="0"/>
              <w:jc w:val="center"/>
              <w:rPr>
                <w:rFonts w:hint="default" w:eastAsia="宋体"/>
                <w:color w:val="auto"/>
                <w:sz w:val="21"/>
                <w:szCs w:val="21"/>
                <w:highlight w:val="none"/>
                <w:lang w:val="en-US" w:eastAsia="zh-CN"/>
              </w:rPr>
            </w:pPr>
            <w:r>
              <w:rPr>
                <w:rFonts w:hint="default"/>
                <w:color w:val="auto"/>
                <w:sz w:val="21"/>
                <w:szCs w:val="21"/>
                <w:highlight w:val="none"/>
              </w:rPr>
              <w:t>0.00</w:t>
            </w:r>
            <w:r>
              <w:rPr>
                <w:rFonts w:hint="eastAsia"/>
                <w:color w:val="auto"/>
                <w:sz w:val="21"/>
                <w:szCs w:val="21"/>
                <w:highlight w:val="none"/>
                <w:lang w:val="en-US" w:eastAsia="zh-CN"/>
              </w:rPr>
              <w:t>19</w:t>
            </w:r>
          </w:p>
        </w:tc>
        <w:tc>
          <w:tcPr>
            <w:tcW w:w="478" w:type="pct"/>
            <w:vAlign w:val="center"/>
          </w:tcPr>
          <w:p w14:paraId="26C86860">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eastAsia="zh-CN"/>
              </w:rPr>
            </w:pPr>
            <w:r>
              <w:rPr>
                <w:rFonts w:hint="default"/>
                <w:color w:val="auto"/>
                <w:sz w:val="21"/>
                <w:szCs w:val="21"/>
                <w:highlight w:val="none"/>
              </w:rPr>
              <w:t>0.000</w:t>
            </w:r>
            <w:r>
              <w:rPr>
                <w:rFonts w:hint="eastAsia"/>
                <w:color w:val="auto"/>
                <w:sz w:val="21"/>
                <w:szCs w:val="21"/>
                <w:highlight w:val="none"/>
                <w:lang w:val="en-US" w:eastAsia="zh-CN"/>
              </w:rPr>
              <w:t>1</w:t>
            </w:r>
          </w:p>
        </w:tc>
      </w:tr>
    </w:tbl>
    <w:p w14:paraId="0C068162">
      <w:pPr>
        <w:pageBreakBefore w:val="0"/>
        <w:widowControl/>
        <w:kinsoku/>
        <w:wordWrap/>
        <w:overflowPunct/>
        <w:autoSpaceDE w:val="0"/>
        <w:autoSpaceDN w:val="0"/>
        <w:bidi w:val="0"/>
        <w:ind w:firstLine="480" w:firstLineChars="200"/>
        <w:jc w:val="left"/>
        <w:rPr>
          <w:rFonts w:hint="eastAsia" w:ascii="Times New Roman" w:hAnsi="Times New Roman" w:eastAsia="宋体" w:cs="Times New Roman"/>
          <w:color w:val="auto"/>
          <w:szCs w:val="24"/>
          <w:highlight w:val="none"/>
          <w:lang w:eastAsia="zh-CN"/>
        </w:rPr>
      </w:pPr>
    </w:p>
    <w:p w14:paraId="3D9A2071">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运营期废水</w:t>
      </w:r>
    </w:p>
    <w:p w14:paraId="229E4595">
      <w:pPr>
        <w:pageBreakBefore w:val="0"/>
        <w:kinsoku/>
        <w:wordWrap/>
        <w:overflowPunct/>
        <w:bidi w:val="0"/>
        <w:spacing w:line="360" w:lineRule="auto"/>
        <w:ind w:firstLine="482" w:firstLineChars="200"/>
        <w:rPr>
          <w:rFonts w:ascii="Times New Roman" w:hAnsi="Times New Roman" w:eastAsia="宋体" w:cs="Times New Roman"/>
          <w:b/>
          <w:bCs/>
          <w:color w:val="auto"/>
          <w:kern w:val="2"/>
          <w:sz w:val="24"/>
          <w:szCs w:val="21"/>
          <w:highlight w:val="none"/>
          <w:lang w:val="en-US" w:eastAsia="zh-CN" w:bidi="ar-SA"/>
        </w:rPr>
      </w:pPr>
      <w:r>
        <w:rPr>
          <w:rFonts w:ascii="Times New Roman" w:hAnsi="Times New Roman" w:eastAsia="宋体" w:cs="Times New Roman"/>
          <w:b/>
          <w:bCs/>
          <w:color w:val="auto"/>
          <w:kern w:val="2"/>
          <w:sz w:val="24"/>
          <w:szCs w:val="21"/>
          <w:highlight w:val="none"/>
          <w:lang w:val="en-US" w:eastAsia="zh-CN" w:bidi="ar-SA"/>
        </w:rPr>
        <w:t>（</w:t>
      </w:r>
      <w:r>
        <w:rPr>
          <w:rFonts w:ascii="Times New Roman" w:hAnsi="Times New Roman" w:eastAsia="Times New Roman" w:cs="Times New Roman"/>
          <w:b/>
          <w:bCs/>
          <w:color w:val="auto"/>
          <w:kern w:val="2"/>
          <w:sz w:val="24"/>
          <w:szCs w:val="21"/>
          <w:highlight w:val="none"/>
          <w:lang w:val="en-US" w:eastAsia="zh-CN" w:bidi="ar-SA"/>
        </w:rPr>
        <w:t>1</w:t>
      </w:r>
      <w:r>
        <w:rPr>
          <w:rFonts w:ascii="Times New Roman" w:hAnsi="Times New Roman" w:eastAsia="宋体" w:cs="Times New Roman"/>
          <w:b/>
          <w:bCs/>
          <w:color w:val="auto"/>
          <w:kern w:val="2"/>
          <w:sz w:val="24"/>
          <w:szCs w:val="21"/>
          <w:highlight w:val="none"/>
          <w:lang w:val="en-US" w:eastAsia="zh-CN" w:bidi="ar-SA"/>
        </w:rPr>
        <w:t>）用排水分析</w:t>
      </w:r>
    </w:p>
    <w:p w14:paraId="31BD66E5">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机场用水量及污水排放量在可研单位对项目预计用水量的基础上，类比相同规模和级别的机场资料进行预测估算。机场给水主要为生活、生产、消防及绿化用水，其中生活、生产用水量较小，绿化用水量较大。</w:t>
      </w:r>
    </w:p>
    <w:p w14:paraId="316FB048">
      <w:pPr>
        <w:pageBreakBefore w:val="0"/>
        <w:widowControl/>
        <w:kinsoku/>
        <w:wordWrap/>
        <w:overflowPunct/>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根据资料，本期机场高峰日用供水量为32.76m</w:t>
      </w:r>
      <w:r>
        <w:rPr>
          <w:rFonts w:hint="eastAsia" w:cs="Times New Roman"/>
          <w:color w:val="auto"/>
          <w:szCs w:val="21"/>
          <w:highlight w:val="none"/>
          <w:vertAlign w:val="superscript"/>
          <w:lang w:val="en-US" w:eastAsia="zh-CN"/>
        </w:rPr>
        <w:t>3</w:t>
      </w:r>
      <w:r>
        <w:rPr>
          <w:rFonts w:hint="eastAsia" w:cs="Times New Roman"/>
          <w:color w:val="auto"/>
          <w:szCs w:val="21"/>
          <w:highlight w:val="none"/>
          <w:lang w:val="en-US" w:eastAsia="zh-CN"/>
        </w:rPr>
        <w:t>/d，生活污水最大排放量以扣除锅炉房蒸发用水、绿化及浇洒道路用水量的90%计算，估算约为11.484m</w:t>
      </w:r>
      <w:r>
        <w:rPr>
          <w:rFonts w:hint="eastAsia" w:cs="Times New Roman"/>
          <w:color w:val="auto"/>
          <w:szCs w:val="21"/>
          <w:highlight w:val="none"/>
          <w:vertAlign w:val="superscript"/>
          <w:lang w:val="en-US" w:eastAsia="zh-CN"/>
        </w:rPr>
        <w:t>3</w:t>
      </w:r>
      <w:r>
        <w:rPr>
          <w:rFonts w:hint="eastAsia" w:cs="Times New Roman"/>
          <w:color w:val="auto"/>
          <w:szCs w:val="21"/>
          <w:highlight w:val="none"/>
          <w:lang w:val="en-US" w:eastAsia="zh-CN"/>
        </w:rPr>
        <w:t>/d（约合4191.66t/a）。</w:t>
      </w:r>
    </w:p>
    <w:p w14:paraId="3946E032">
      <w:pPr>
        <w:pageBreakBefore w:val="0"/>
        <w:widowControl/>
        <w:kinsoku/>
        <w:wordWrap/>
        <w:overflowPunct/>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加油区在加油过程存在油品跑、冒、滴、漏，项目需对区域的初期雨水进行收集。根据新疆维吾尔自治区气象服务中心出具的《精河通用机场气象资料分析报告》，精河县平均年降水量116.3mm，降雨最多月为8月，平均最大月降雨量为17.2mm，历史最大月降雨量40mm。因此，按历时15min，径流系数取0.9（各种屋面、混凝土或沥青立面），则初期雨水流量约为4.5m</w:t>
      </w:r>
      <w:r>
        <w:rPr>
          <w:rFonts w:hint="eastAsia" w:cs="Times New Roman"/>
          <w:color w:val="auto"/>
          <w:szCs w:val="21"/>
          <w:highlight w:val="none"/>
          <w:vertAlign w:val="superscript"/>
          <w:lang w:val="en-US" w:eastAsia="zh-CN"/>
        </w:rPr>
        <w:t>3</w:t>
      </w:r>
      <w:r>
        <w:rPr>
          <w:rFonts w:hint="eastAsia" w:cs="Times New Roman"/>
          <w:color w:val="auto"/>
          <w:szCs w:val="21"/>
          <w:highlight w:val="none"/>
          <w:lang w:val="en-US" w:eastAsia="zh-CN"/>
        </w:rPr>
        <w:t>/次。初期雨水经隔油池隔油处理后进入污水处理站进行处理。</w:t>
      </w:r>
    </w:p>
    <w:p w14:paraId="7DA50BF6">
      <w:pPr>
        <w:pageBreakBefore w:val="0"/>
        <w:widowControl/>
        <w:kinsoku/>
        <w:wordWrap/>
        <w:overflowPunct/>
        <w:bidi w:val="0"/>
        <w:ind w:firstLine="482" w:firstLineChars="200"/>
        <w:jc w:val="both"/>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w:t>
      </w:r>
      <w:r>
        <w:rPr>
          <w:rFonts w:ascii="Times New Roman" w:hAnsi="Times New Roman" w:eastAsia="Times New Roman" w:cs="Times New Roman"/>
          <w:b/>
          <w:bCs/>
          <w:color w:val="auto"/>
          <w:szCs w:val="21"/>
          <w:highlight w:val="none"/>
        </w:rPr>
        <w:t>2</w:t>
      </w:r>
      <w:r>
        <w:rPr>
          <w:rFonts w:ascii="Times New Roman" w:hAnsi="Times New Roman" w:eastAsia="宋体" w:cs="Times New Roman"/>
          <w:b/>
          <w:bCs/>
          <w:color w:val="auto"/>
          <w:szCs w:val="21"/>
          <w:highlight w:val="none"/>
        </w:rPr>
        <w:t>）水污染源</w:t>
      </w:r>
    </w:p>
    <w:p w14:paraId="10C9F44E">
      <w:pPr>
        <w:ind w:firstLine="480" w:firstLineChars="200"/>
        <w:rPr>
          <w:color w:val="auto"/>
          <w:highlight w:val="none"/>
        </w:rPr>
      </w:pPr>
      <w:r>
        <w:rPr>
          <w:color w:val="auto"/>
          <w:highlight w:val="none"/>
        </w:rPr>
        <w:t>本机场运营后废水包括生活污水和生产废水，主要是生活污水，占总污水量的</w:t>
      </w:r>
      <w:r>
        <w:rPr>
          <w:rFonts w:eastAsia="Times New Roman"/>
          <w:color w:val="auto"/>
          <w:highlight w:val="none"/>
        </w:rPr>
        <w:t>97%</w:t>
      </w:r>
      <w:r>
        <w:rPr>
          <w:color w:val="auto"/>
          <w:highlight w:val="none"/>
        </w:rPr>
        <w:t>以上。</w:t>
      </w:r>
    </w:p>
    <w:p w14:paraId="219C7BD4">
      <w:pPr>
        <w:ind w:firstLine="480" w:firstLineChars="200"/>
        <w:rPr>
          <w:color w:val="auto"/>
          <w:highlight w:val="none"/>
        </w:rPr>
      </w:pPr>
      <w:r>
        <w:rPr>
          <w:color w:val="auto"/>
          <w:highlight w:val="none"/>
        </w:rPr>
        <w:t>机场内生活污水主要</w:t>
      </w:r>
      <w:r>
        <w:rPr>
          <w:rFonts w:hint="eastAsia"/>
          <w:color w:val="auto"/>
          <w:highlight w:val="none"/>
          <w:lang w:eastAsia="zh-CN"/>
        </w:rPr>
        <w:t>来自</w:t>
      </w:r>
      <w:r>
        <w:rPr>
          <w:color w:val="auto"/>
          <w:highlight w:val="none"/>
        </w:rPr>
        <w:t>机场内航站区、工作办公区、职工食堂等，生活污水中主要污染物为</w:t>
      </w:r>
      <w:r>
        <w:rPr>
          <w:rFonts w:eastAsia="Times New Roman"/>
          <w:color w:val="auto"/>
          <w:highlight w:val="none"/>
        </w:rPr>
        <w:t>COD</w:t>
      </w:r>
      <w:r>
        <w:rPr>
          <w:color w:val="auto"/>
          <w:highlight w:val="none"/>
        </w:rPr>
        <w:t>、</w:t>
      </w:r>
      <w:r>
        <w:rPr>
          <w:rFonts w:eastAsia="Times New Roman"/>
          <w:color w:val="auto"/>
          <w:highlight w:val="none"/>
        </w:rPr>
        <w:t>BOD</w:t>
      </w:r>
      <w:r>
        <w:rPr>
          <w:rFonts w:eastAsia="Times New Roman"/>
          <w:color w:val="auto"/>
          <w:highlight w:val="none"/>
          <w:vertAlign w:val="subscript"/>
        </w:rPr>
        <w:t>5</w:t>
      </w:r>
      <w:r>
        <w:rPr>
          <w:color w:val="auto"/>
          <w:highlight w:val="none"/>
        </w:rPr>
        <w:t>、氨氮、悬浮物等。生产废水主要来自洗车作业、</w:t>
      </w:r>
      <w:r>
        <w:rPr>
          <w:rFonts w:hint="eastAsia"/>
          <w:color w:val="auto"/>
          <w:highlight w:val="none"/>
          <w:lang w:val="en-US" w:eastAsia="zh-CN"/>
        </w:rPr>
        <w:t>油车棚</w:t>
      </w:r>
      <w:r>
        <w:rPr>
          <w:color w:val="auto"/>
          <w:highlight w:val="none"/>
        </w:rPr>
        <w:t>，车辆冲洗废水。生产废水同初期雨水需经隔油处理后通过管道进入机场污水管网，最终进入污水处理站处理。</w:t>
      </w:r>
    </w:p>
    <w:p w14:paraId="67A795A4">
      <w:pPr>
        <w:ind w:firstLine="480" w:firstLineChars="200"/>
        <w:rPr>
          <w:color w:val="auto"/>
          <w:highlight w:val="none"/>
        </w:rPr>
      </w:pPr>
      <w:r>
        <w:rPr>
          <w:color w:val="auto"/>
          <w:highlight w:val="none"/>
        </w:rPr>
        <w:t>本期机场新建一座污水处理站，新建污水处理站设计采用</w:t>
      </w:r>
      <w:r>
        <w:rPr>
          <w:rFonts w:eastAsia="Times New Roman"/>
          <w:color w:val="auto"/>
          <w:highlight w:val="none"/>
        </w:rPr>
        <w:t>1</w:t>
      </w:r>
      <w:r>
        <w:rPr>
          <w:color w:val="auto"/>
          <w:highlight w:val="none"/>
        </w:rPr>
        <w:t>套处理能力为</w:t>
      </w:r>
      <w:r>
        <w:rPr>
          <w:rFonts w:hint="eastAsia" w:eastAsia="宋体"/>
          <w:color w:val="auto"/>
          <w:highlight w:val="none"/>
          <w:lang w:val="en-US" w:eastAsia="zh-CN"/>
        </w:rPr>
        <w:t>5</w:t>
      </w:r>
      <w:r>
        <w:rPr>
          <w:rFonts w:eastAsia="Times New Roman"/>
          <w:color w:val="auto"/>
          <w:highlight w:val="none"/>
        </w:rPr>
        <w:t>m</w:t>
      </w:r>
      <w:r>
        <w:rPr>
          <w:rFonts w:eastAsia="Times New Roman"/>
          <w:color w:val="auto"/>
          <w:highlight w:val="none"/>
          <w:vertAlign w:val="superscript"/>
        </w:rPr>
        <w:t>3</w:t>
      </w:r>
      <w:r>
        <w:rPr>
          <w:rFonts w:eastAsia="Times New Roman"/>
          <w:color w:val="auto"/>
          <w:highlight w:val="none"/>
        </w:rPr>
        <w:t>/h</w:t>
      </w:r>
      <w:r>
        <w:rPr>
          <w:color w:val="auto"/>
          <w:highlight w:val="none"/>
        </w:rPr>
        <w:t>的一体化</w:t>
      </w:r>
      <w:r>
        <w:rPr>
          <w:rFonts w:eastAsia="Times New Roman"/>
          <w:color w:val="auto"/>
          <w:highlight w:val="none"/>
        </w:rPr>
        <w:t>MBR</w:t>
      </w:r>
      <w:r>
        <w:rPr>
          <w:color w:val="auto"/>
          <w:highlight w:val="none"/>
        </w:rPr>
        <w:t>污水处理设施。</w:t>
      </w:r>
    </w:p>
    <w:p w14:paraId="4D2898A6">
      <w:pPr>
        <w:ind w:firstLine="480" w:firstLineChars="200"/>
        <w:rPr>
          <w:color w:val="auto"/>
          <w:highlight w:val="none"/>
        </w:rPr>
      </w:pPr>
      <w:r>
        <w:rPr>
          <w:color w:val="auto"/>
          <w:highlight w:val="none"/>
        </w:rPr>
        <w:t>膜生物反应器（</w:t>
      </w:r>
      <w:r>
        <w:rPr>
          <w:rFonts w:eastAsia="Times New Roman"/>
          <w:color w:val="auto"/>
          <w:highlight w:val="none"/>
        </w:rPr>
        <w:t>MBR</w:t>
      </w:r>
      <w:r>
        <w:rPr>
          <w:color w:val="auto"/>
          <w:highlight w:val="none"/>
        </w:rPr>
        <w:t>）工艺是高效膜分离技术与生化技术相结合的新型污水处理技术，它利用膜分离技术取代了二沉池进行固液分离；和传统生化处理技术相比，它具有高效节能、出水水质良好且稳定、占地小、投资省、抗水质负荷冲击能力强等特点。处理后的</w:t>
      </w:r>
      <w:r>
        <w:rPr>
          <w:rFonts w:hint="eastAsia"/>
          <w:color w:val="auto"/>
          <w:highlight w:val="none"/>
          <w:lang w:eastAsia="zh-CN"/>
        </w:rPr>
        <w:t>出水水质</w:t>
      </w:r>
      <w:r>
        <w:rPr>
          <w:color w:val="auto"/>
          <w:highlight w:val="none"/>
        </w:rPr>
        <w:t>可以达到《城市污水再生利用城市杂用水水质》（GB/T18920-2020）中相应回用水水质标准。</w:t>
      </w:r>
    </w:p>
    <w:p w14:paraId="755C5660">
      <w:pPr>
        <w:pageBreakBefore w:val="0"/>
        <w:widowControl/>
        <w:kinsoku/>
        <w:wordWrap/>
        <w:overflowPunct/>
        <w:bidi w:val="0"/>
        <w:ind w:firstLine="480" w:firstLineChars="200"/>
        <w:jc w:val="both"/>
        <w:rPr>
          <w:rFonts w:ascii="Times New Roman" w:hAnsi="Times New Roman" w:eastAsia="宋体" w:cs="Times New Roman"/>
          <w:color w:val="auto"/>
          <w:szCs w:val="18"/>
          <w:highlight w:val="none"/>
        </w:rPr>
      </w:pPr>
      <w:r>
        <w:rPr>
          <w:color w:val="auto"/>
          <w:highlight w:val="none"/>
        </w:rPr>
        <w:t>经MBR工艺处理后的污水采用二氧化氯进行消毒后，其水质达到杂用水水质标准后作为中水进入中</w:t>
      </w:r>
      <w:r>
        <w:rPr>
          <w:rFonts w:hint="eastAsia" w:eastAsia="宋体"/>
          <w:color w:val="auto"/>
          <w:highlight w:val="none"/>
          <w:lang w:eastAsia="zh-CN"/>
        </w:rPr>
        <w:t>水池</w:t>
      </w:r>
      <w:r>
        <w:rPr>
          <w:color w:val="auto"/>
          <w:highlight w:val="none"/>
        </w:rPr>
        <w:t>（</w:t>
      </w:r>
      <w:r>
        <w:rPr>
          <w:rFonts w:hint="eastAsia"/>
          <w:color w:val="auto"/>
          <w:highlight w:val="none"/>
          <w:lang w:val="en-US" w:eastAsia="zh-CN"/>
        </w:rPr>
        <w:t>1</w:t>
      </w:r>
      <w:r>
        <w:rPr>
          <w:color w:val="auto"/>
          <w:highlight w:val="none"/>
        </w:rPr>
        <w:t>座2000m</w:t>
      </w:r>
      <w:r>
        <w:rPr>
          <w:color w:val="auto"/>
          <w:highlight w:val="none"/>
          <w:vertAlign w:val="superscript"/>
        </w:rPr>
        <w:t>3</w:t>
      </w:r>
      <w:r>
        <w:rPr>
          <w:color w:val="auto"/>
          <w:highlight w:val="none"/>
        </w:rPr>
        <w:t>），并通过洒水车将水供给机场浇洒道路或者绿化浇灌；冬季处理后的中水储存于中</w:t>
      </w:r>
      <w:r>
        <w:rPr>
          <w:rFonts w:hint="eastAsia" w:eastAsia="宋体"/>
          <w:color w:val="auto"/>
          <w:highlight w:val="none"/>
          <w:lang w:eastAsia="zh-CN"/>
        </w:rPr>
        <w:t>水池</w:t>
      </w:r>
      <w:r>
        <w:rPr>
          <w:color w:val="auto"/>
          <w:highlight w:val="none"/>
        </w:rPr>
        <w:t>中，待到下一年春夏季节进行使用，所有污水不外排</w:t>
      </w:r>
      <w:r>
        <w:rPr>
          <w:rFonts w:ascii="Times New Roman" w:hAnsi="Times New Roman" w:eastAsia="宋体" w:cs="Times New Roman"/>
          <w:color w:val="auto"/>
          <w:szCs w:val="18"/>
          <w:highlight w:val="none"/>
        </w:rPr>
        <w:t>。</w:t>
      </w:r>
    </w:p>
    <w:p w14:paraId="46A1EFD5">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运营期固废</w:t>
      </w:r>
    </w:p>
    <w:p w14:paraId="27E83464">
      <w:pPr>
        <w:ind w:firstLine="480" w:firstLineChars="200"/>
        <w:rPr>
          <w:color w:val="auto"/>
          <w:highlight w:val="none"/>
        </w:rPr>
      </w:pPr>
      <w:r>
        <w:rPr>
          <w:color w:val="auto"/>
          <w:highlight w:val="none"/>
        </w:rPr>
        <w:t>机场固体污染物主要由航空垃圾和生产、生活垃圾组成，航空垃圾主要为旅客在飞机上及航站楼内所产生的各种污染物；生活</w:t>
      </w:r>
      <w:r>
        <w:rPr>
          <w:rFonts w:hint="eastAsia"/>
          <w:color w:val="auto"/>
          <w:highlight w:val="none"/>
          <w:lang w:val="en-US" w:eastAsia="zh-CN"/>
        </w:rPr>
        <w:t>垃圾</w:t>
      </w:r>
      <w:r>
        <w:rPr>
          <w:color w:val="auto"/>
          <w:highlight w:val="none"/>
        </w:rPr>
        <w:t>主要由机场办公、餐饮、住宿等所产生。此外，还有污泥</w:t>
      </w:r>
      <w:r>
        <w:rPr>
          <w:rFonts w:hint="eastAsia" w:eastAsia="宋体"/>
          <w:color w:val="auto"/>
          <w:highlight w:val="none"/>
          <w:lang w:eastAsia="zh-CN"/>
        </w:rPr>
        <w:t>、</w:t>
      </w:r>
      <w:r>
        <w:rPr>
          <w:color w:val="auto"/>
          <w:highlight w:val="none"/>
        </w:rPr>
        <w:t>污油、油泥等。</w:t>
      </w:r>
    </w:p>
    <w:p w14:paraId="592FDB35">
      <w:pPr>
        <w:ind w:firstLine="480" w:firstLineChars="200"/>
        <w:outlineLvl w:val="3"/>
        <w:rPr>
          <w:rFonts w:hint="eastAsia" w:eastAsia="宋体"/>
          <w:color w:val="auto"/>
          <w:highlight w:val="none"/>
          <w:lang w:eastAsia="zh-CN"/>
        </w:rPr>
      </w:pPr>
      <w:r>
        <w:rPr>
          <w:color w:val="auto"/>
          <w:highlight w:val="none"/>
        </w:rPr>
        <w:t>（</w:t>
      </w:r>
      <w:r>
        <w:rPr>
          <w:rFonts w:eastAsia="Times New Roman"/>
          <w:color w:val="auto"/>
          <w:highlight w:val="none"/>
        </w:rPr>
        <w:t>1</w:t>
      </w:r>
      <w:r>
        <w:rPr>
          <w:color w:val="auto"/>
          <w:highlight w:val="none"/>
        </w:rPr>
        <w:t>）航空垃圾</w:t>
      </w:r>
    </w:p>
    <w:p w14:paraId="7C4CF932">
      <w:pPr>
        <w:ind w:firstLine="480" w:firstLineChars="200"/>
        <w:rPr>
          <w:rFonts w:hint="eastAsia" w:eastAsia="宋体"/>
          <w:color w:val="auto"/>
          <w:highlight w:val="none"/>
          <w:lang w:eastAsia="zh-CN"/>
        </w:rPr>
      </w:pPr>
      <w:r>
        <w:rPr>
          <w:color w:val="auto"/>
          <w:highlight w:val="none"/>
        </w:rPr>
        <w:t>航空垃圾组成主要为：塑料杯、包装纸、易拉罐等，以有机物为主，占</w:t>
      </w:r>
      <w:r>
        <w:rPr>
          <w:rFonts w:eastAsia="Times New Roman"/>
          <w:color w:val="auto"/>
          <w:highlight w:val="none"/>
        </w:rPr>
        <w:t>71</w:t>
      </w:r>
      <w:r>
        <w:rPr>
          <w:rFonts w:hint="eastAsia" w:eastAsia="Times New Roman"/>
          <w:color w:val="auto"/>
          <w:highlight w:val="none"/>
        </w:rPr>
        <w:t>%</w:t>
      </w:r>
      <w:r>
        <w:rPr>
          <w:rFonts w:eastAsia="Times New Roman"/>
          <w:color w:val="auto"/>
          <w:highlight w:val="none"/>
        </w:rPr>
        <w:t>~79%</w:t>
      </w:r>
      <w:r>
        <w:rPr>
          <w:color w:val="auto"/>
          <w:highlight w:val="none"/>
        </w:rPr>
        <w:t>，其中纸类占</w:t>
      </w:r>
      <w:r>
        <w:rPr>
          <w:rFonts w:eastAsia="Times New Roman"/>
          <w:color w:val="auto"/>
          <w:highlight w:val="none"/>
        </w:rPr>
        <w:t>51</w:t>
      </w:r>
      <w:r>
        <w:rPr>
          <w:rFonts w:hint="eastAsia" w:eastAsia="Times New Roman"/>
          <w:color w:val="auto"/>
          <w:highlight w:val="none"/>
        </w:rPr>
        <w:t>%</w:t>
      </w:r>
      <w:r>
        <w:rPr>
          <w:rFonts w:eastAsia="Times New Roman"/>
          <w:color w:val="auto"/>
          <w:highlight w:val="none"/>
        </w:rPr>
        <w:t>~55%</w:t>
      </w:r>
      <w:r>
        <w:rPr>
          <w:color w:val="auto"/>
          <w:highlight w:val="none"/>
        </w:rPr>
        <w:t>，塑料类占</w:t>
      </w:r>
      <w:r>
        <w:rPr>
          <w:rFonts w:eastAsia="Times New Roman"/>
          <w:color w:val="auto"/>
          <w:highlight w:val="none"/>
        </w:rPr>
        <w:t>17</w:t>
      </w:r>
      <w:r>
        <w:rPr>
          <w:rFonts w:hint="eastAsia" w:eastAsia="Times New Roman"/>
          <w:color w:val="auto"/>
          <w:highlight w:val="none"/>
        </w:rPr>
        <w:t>%</w:t>
      </w:r>
      <w:r>
        <w:rPr>
          <w:rFonts w:eastAsia="Times New Roman"/>
          <w:color w:val="auto"/>
          <w:highlight w:val="none"/>
        </w:rPr>
        <w:t>~19%</w:t>
      </w:r>
      <w:r>
        <w:rPr>
          <w:color w:val="auto"/>
          <w:highlight w:val="none"/>
        </w:rPr>
        <w:t>；无机物占</w:t>
      </w:r>
      <w:r>
        <w:rPr>
          <w:rFonts w:eastAsia="Times New Roman"/>
          <w:color w:val="auto"/>
          <w:highlight w:val="none"/>
        </w:rPr>
        <w:t>21</w:t>
      </w:r>
      <w:r>
        <w:rPr>
          <w:rFonts w:hint="eastAsia" w:eastAsia="Times New Roman"/>
          <w:color w:val="auto"/>
          <w:highlight w:val="none"/>
        </w:rPr>
        <w:t>%</w:t>
      </w:r>
      <w:r>
        <w:rPr>
          <w:rFonts w:eastAsia="Times New Roman"/>
          <w:color w:val="auto"/>
          <w:highlight w:val="none"/>
        </w:rPr>
        <w:t>~29%</w:t>
      </w:r>
      <w:r>
        <w:rPr>
          <w:color w:val="auto"/>
          <w:highlight w:val="none"/>
        </w:rPr>
        <w:t>，主要为金属类，如易拉罐、铝箔等。航空垃圾可燃性好，热值高。</w:t>
      </w:r>
    </w:p>
    <w:p w14:paraId="55C2CAF2">
      <w:pPr>
        <w:ind w:firstLine="480" w:firstLineChars="200"/>
        <w:rPr>
          <w:rFonts w:eastAsia="黑体"/>
          <w:color w:val="auto"/>
          <w:highlight w:val="none"/>
        </w:rPr>
      </w:pPr>
      <w:r>
        <w:rPr>
          <w:color w:val="auto"/>
          <w:highlight w:val="none"/>
        </w:rPr>
        <w:t>航空垃圾的主要组分见</w:t>
      </w:r>
      <w:r>
        <w:rPr>
          <w:rFonts w:hint="eastAsia"/>
          <w:color w:val="auto"/>
          <w:highlight w:val="none"/>
          <w:lang w:val="en-US" w:eastAsia="zh-CN"/>
        </w:rPr>
        <w:t>下</w:t>
      </w:r>
      <w:r>
        <w:rPr>
          <w:color w:val="auto"/>
          <w:highlight w:val="none"/>
        </w:rPr>
        <w:t>表</w:t>
      </w:r>
      <w:r>
        <w:rPr>
          <w:rFonts w:hint="eastAsia"/>
          <w:color w:val="auto"/>
          <w:highlight w:val="none"/>
          <w:lang w:val="en-US" w:eastAsia="zh-CN"/>
        </w:rPr>
        <w:t>：</w:t>
      </w:r>
    </w:p>
    <w:p w14:paraId="4976A708">
      <w:pPr>
        <w:spacing w:after="3"/>
        <w:ind w:left="10" w:right="251" w:hanging="10"/>
        <w:jc w:val="center"/>
        <w:rPr>
          <w:rFonts w:hint="eastAsia" w:eastAsia="黑体"/>
          <w:color w:val="auto"/>
          <w:sz w:val="21"/>
          <w:szCs w:val="21"/>
          <w:highlight w:val="none"/>
          <w:lang w:eastAsia="zh-CN"/>
        </w:rPr>
      </w:pPr>
      <w:r>
        <w:rPr>
          <w:rFonts w:eastAsia="黑体"/>
          <w:color w:val="auto"/>
          <w:sz w:val="21"/>
          <w:szCs w:val="21"/>
          <w:highlight w:val="none"/>
        </w:rPr>
        <w:t>表</w:t>
      </w:r>
      <w:r>
        <w:rPr>
          <w:rFonts w:hint="eastAsia"/>
          <w:b/>
          <w:color w:val="auto"/>
          <w:sz w:val="21"/>
          <w:szCs w:val="21"/>
          <w:highlight w:val="none"/>
          <w:lang w:val="en-US" w:eastAsia="zh-CN"/>
        </w:rPr>
        <w:t>3.5-15</w:t>
      </w:r>
      <w:r>
        <w:rPr>
          <w:rFonts w:eastAsia="黑体"/>
          <w:color w:val="auto"/>
          <w:sz w:val="21"/>
          <w:szCs w:val="21"/>
          <w:highlight w:val="none"/>
        </w:rPr>
        <w:t>机场生活垃圾组成成分</w:t>
      </w:r>
    </w:p>
    <w:tbl>
      <w:tblPr>
        <w:tblStyle w:val="5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4843"/>
        <w:gridCol w:w="2643"/>
      </w:tblGrid>
      <w:tr w14:paraId="2808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3" w:type="pct"/>
            <w:vAlign w:val="center"/>
          </w:tcPr>
          <w:p w14:paraId="7BE1AA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1"/>
                <w:highlight w:val="none"/>
                <w:lang w:eastAsia="zh-CN"/>
              </w:rPr>
            </w:pPr>
            <w:r>
              <w:rPr>
                <w:rFonts w:hint="default"/>
                <w:color w:val="auto"/>
                <w:sz w:val="21"/>
                <w:szCs w:val="21"/>
                <w:highlight w:val="none"/>
              </w:rPr>
              <w:t>组成</w:t>
            </w:r>
          </w:p>
        </w:tc>
        <w:tc>
          <w:tcPr>
            <w:tcW w:w="2741" w:type="pct"/>
            <w:vAlign w:val="center"/>
          </w:tcPr>
          <w:p w14:paraId="5EF19B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1"/>
                <w:highlight w:val="none"/>
                <w:lang w:eastAsia="zh-CN"/>
              </w:rPr>
            </w:pPr>
            <w:r>
              <w:rPr>
                <w:rFonts w:hint="default"/>
                <w:color w:val="auto"/>
                <w:sz w:val="21"/>
                <w:szCs w:val="21"/>
                <w:highlight w:val="none"/>
              </w:rPr>
              <w:t>分类</w:t>
            </w:r>
          </w:p>
        </w:tc>
        <w:tc>
          <w:tcPr>
            <w:tcW w:w="1497" w:type="pct"/>
            <w:vAlign w:val="center"/>
          </w:tcPr>
          <w:p w14:paraId="48AE48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1"/>
                <w:highlight w:val="none"/>
                <w:lang w:eastAsia="zh-CN"/>
              </w:rPr>
            </w:pPr>
            <w:r>
              <w:rPr>
                <w:rFonts w:hint="default"/>
                <w:color w:val="auto"/>
                <w:sz w:val="21"/>
                <w:szCs w:val="21"/>
                <w:highlight w:val="none"/>
              </w:rPr>
              <w:t>含量（体积百分比）</w:t>
            </w:r>
          </w:p>
        </w:tc>
      </w:tr>
      <w:tr w14:paraId="1C04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3" w:type="pct"/>
            <w:vMerge w:val="restart"/>
            <w:vAlign w:val="center"/>
          </w:tcPr>
          <w:p w14:paraId="5C5D3E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2" w:right="0" w:firstLine="0"/>
              <w:jc w:val="center"/>
              <w:textAlignment w:val="auto"/>
              <w:rPr>
                <w:rFonts w:hint="eastAsia" w:eastAsia="宋体"/>
                <w:color w:val="auto"/>
                <w:sz w:val="21"/>
                <w:szCs w:val="21"/>
                <w:highlight w:val="none"/>
                <w:lang w:eastAsia="zh-CN"/>
              </w:rPr>
            </w:pPr>
            <w:r>
              <w:rPr>
                <w:rFonts w:hint="default"/>
                <w:color w:val="auto"/>
                <w:sz w:val="21"/>
                <w:szCs w:val="21"/>
                <w:highlight w:val="none"/>
              </w:rPr>
              <w:t>有机物</w:t>
            </w:r>
          </w:p>
        </w:tc>
        <w:tc>
          <w:tcPr>
            <w:tcW w:w="2741" w:type="pct"/>
            <w:vAlign w:val="center"/>
          </w:tcPr>
          <w:p w14:paraId="24E490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34" w:right="0" w:firstLine="0"/>
              <w:jc w:val="center"/>
              <w:textAlignment w:val="auto"/>
              <w:rPr>
                <w:rFonts w:hint="eastAsia" w:eastAsia="宋体"/>
                <w:color w:val="auto"/>
                <w:sz w:val="21"/>
                <w:szCs w:val="21"/>
                <w:highlight w:val="none"/>
                <w:lang w:eastAsia="zh-CN"/>
              </w:rPr>
            </w:pPr>
            <w:r>
              <w:rPr>
                <w:rFonts w:hint="default"/>
                <w:color w:val="auto"/>
                <w:sz w:val="21"/>
                <w:szCs w:val="21"/>
                <w:highlight w:val="none"/>
              </w:rPr>
              <w:t>塑料类（塑料类、刀、叉、塑料袋、盒）</w:t>
            </w:r>
          </w:p>
        </w:tc>
        <w:tc>
          <w:tcPr>
            <w:tcW w:w="1497" w:type="pct"/>
            <w:vAlign w:val="center"/>
          </w:tcPr>
          <w:p w14:paraId="29EA9E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1"/>
                <w:highlight w:val="none"/>
                <w:lang w:eastAsia="zh-CN"/>
              </w:rPr>
            </w:pPr>
            <w:r>
              <w:rPr>
                <w:rFonts w:hint="default" w:eastAsia="Times New Roman"/>
                <w:color w:val="auto"/>
                <w:sz w:val="21"/>
                <w:szCs w:val="21"/>
                <w:highlight w:val="none"/>
              </w:rPr>
              <w:t>17%~19%</w:t>
            </w:r>
          </w:p>
        </w:tc>
      </w:tr>
      <w:tr w14:paraId="2FC56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3" w:type="pct"/>
            <w:vMerge w:val="continue"/>
            <w:vAlign w:val="center"/>
          </w:tcPr>
          <w:p w14:paraId="1B564FE7">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240" w:lineRule="auto"/>
              <w:ind w:left="0" w:right="0" w:firstLine="0"/>
              <w:jc w:val="center"/>
              <w:textAlignment w:val="auto"/>
              <w:rPr>
                <w:rFonts w:hint="default"/>
                <w:color w:val="auto"/>
                <w:sz w:val="21"/>
                <w:szCs w:val="21"/>
                <w:highlight w:val="none"/>
              </w:rPr>
            </w:pPr>
          </w:p>
        </w:tc>
        <w:tc>
          <w:tcPr>
            <w:tcW w:w="2741" w:type="pct"/>
            <w:vAlign w:val="center"/>
          </w:tcPr>
          <w:p w14:paraId="1A50CA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1"/>
                <w:highlight w:val="none"/>
                <w:lang w:eastAsia="zh-CN"/>
              </w:rPr>
            </w:pPr>
            <w:r>
              <w:rPr>
                <w:rFonts w:hint="default"/>
                <w:color w:val="auto"/>
                <w:sz w:val="21"/>
                <w:szCs w:val="21"/>
                <w:highlight w:val="none"/>
              </w:rPr>
              <w:t>纸张类（包装纸、板纸、纸袋等）</w:t>
            </w:r>
          </w:p>
        </w:tc>
        <w:tc>
          <w:tcPr>
            <w:tcW w:w="1497" w:type="pct"/>
            <w:vAlign w:val="center"/>
          </w:tcPr>
          <w:p w14:paraId="30C557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1"/>
                <w:highlight w:val="none"/>
                <w:lang w:eastAsia="zh-CN"/>
              </w:rPr>
            </w:pPr>
            <w:r>
              <w:rPr>
                <w:rFonts w:hint="default" w:eastAsia="Times New Roman"/>
                <w:color w:val="auto"/>
                <w:sz w:val="21"/>
                <w:szCs w:val="21"/>
                <w:highlight w:val="none"/>
              </w:rPr>
              <w:t>51%~55%</w:t>
            </w:r>
          </w:p>
        </w:tc>
      </w:tr>
      <w:tr w14:paraId="5B9F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3" w:type="pct"/>
            <w:vMerge w:val="continue"/>
            <w:vAlign w:val="center"/>
          </w:tcPr>
          <w:p w14:paraId="43DFEB53">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240" w:lineRule="auto"/>
              <w:ind w:left="0" w:right="0" w:firstLine="0"/>
              <w:jc w:val="center"/>
              <w:textAlignment w:val="auto"/>
              <w:rPr>
                <w:rFonts w:hint="default"/>
                <w:color w:val="auto"/>
                <w:sz w:val="21"/>
                <w:szCs w:val="21"/>
                <w:highlight w:val="none"/>
              </w:rPr>
            </w:pPr>
          </w:p>
        </w:tc>
        <w:tc>
          <w:tcPr>
            <w:tcW w:w="2741" w:type="pct"/>
            <w:vAlign w:val="center"/>
          </w:tcPr>
          <w:p w14:paraId="5B2D32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1"/>
                <w:highlight w:val="none"/>
                <w:lang w:eastAsia="zh-CN"/>
              </w:rPr>
            </w:pPr>
            <w:r>
              <w:rPr>
                <w:rFonts w:hint="default"/>
                <w:color w:val="auto"/>
                <w:sz w:val="21"/>
                <w:szCs w:val="21"/>
                <w:highlight w:val="none"/>
              </w:rPr>
              <w:t>其他（剩余食品、牙签、骨头等）</w:t>
            </w:r>
          </w:p>
        </w:tc>
        <w:tc>
          <w:tcPr>
            <w:tcW w:w="1497" w:type="pct"/>
            <w:vAlign w:val="center"/>
          </w:tcPr>
          <w:p w14:paraId="48793D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1"/>
                <w:highlight w:val="none"/>
                <w:lang w:eastAsia="zh-CN"/>
              </w:rPr>
            </w:pPr>
            <w:r>
              <w:rPr>
                <w:rFonts w:hint="default" w:eastAsia="Times New Roman"/>
                <w:color w:val="auto"/>
                <w:sz w:val="21"/>
                <w:szCs w:val="21"/>
                <w:highlight w:val="none"/>
              </w:rPr>
              <w:t>3%~5%</w:t>
            </w:r>
          </w:p>
        </w:tc>
      </w:tr>
      <w:tr w14:paraId="7ED6A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3" w:type="pct"/>
            <w:vMerge w:val="continue"/>
            <w:vAlign w:val="center"/>
          </w:tcPr>
          <w:p w14:paraId="74E9D8E6">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240" w:lineRule="auto"/>
              <w:ind w:left="0" w:right="0" w:firstLine="0"/>
              <w:jc w:val="center"/>
              <w:textAlignment w:val="auto"/>
              <w:rPr>
                <w:rFonts w:hint="default"/>
                <w:color w:val="auto"/>
                <w:sz w:val="21"/>
                <w:szCs w:val="21"/>
                <w:highlight w:val="none"/>
              </w:rPr>
            </w:pPr>
          </w:p>
        </w:tc>
        <w:tc>
          <w:tcPr>
            <w:tcW w:w="2741" w:type="pct"/>
            <w:vAlign w:val="center"/>
          </w:tcPr>
          <w:p w14:paraId="7209CE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1"/>
                <w:highlight w:val="none"/>
                <w:lang w:eastAsia="zh-CN"/>
              </w:rPr>
            </w:pPr>
            <w:r>
              <w:rPr>
                <w:rFonts w:hint="default"/>
                <w:color w:val="auto"/>
                <w:sz w:val="21"/>
                <w:szCs w:val="21"/>
                <w:highlight w:val="none"/>
              </w:rPr>
              <w:t>小计</w:t>
            </w:r>
          </w:p>
        </w:tc>
        <w:tc>
          <w:tcPr>
            <w:tcW w:w="1497" w:type="pct"/>
            <w:vAlign w:val="center"/>
          </w:tcPr>
          <w:p w14:paraId="74F9E7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1"/>
                <w:highlight w:val="none"/>
                <w:lang w:eastAsia="zh-CN"/>
              </w:rPr>
            </w:pPr>
            <w:r>
              <w:rPr>
                <w:rFonts w:hint="default" w:eastAsia="Times New Roman"/>
                <w:color w:val="auto"/>
                <w:sz w:val="21"/>
                <w:szCs w:val="21"/>
                <w:highlight w:val="none"/>
              </w:rPr>
              <w:t>71%~79%</w:t>
            </w:r>
          </w:p>
        </w:tc>
      </w:tr>
      <w:tr w14:paraId="6E9C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3" w:type="pct"/>
            <w:vMerge w:val="restart"/>
            <w:vAlign w:val="center"/>
          </w:tcPr>
          <w:p w14:paraId="591389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2" w:right="0" w:firstLine="0"/>
              <w:jc w:val="center"/>
              <w:textAlignment w:val="auto"/>
              <w:rPr>
                <w:rFonts w:hint="eastAsia" w:eastAsia="宋体"/>
                <w:color w:val="auto"/>
                <w:sz w:val="21"/>
                <w:szCs w:val="21"/>
                <w:highlight w:val="none"/>
                <w:lang w:eastAsia="zh-CN"/>
              </w:rPr>
            </w:pPr>
            <w:r>
              <w:rPr>
                <w:rFonts w:hint="default"/>
                <w:color w:val="auto"/>
                <w:sz w:val="21"/>
                <w:szCs w:val="21"/>
                <w:highlight w:val="none"/>
              </w:rPr>
              <w:t>无机物</w:t>
            </w:r>
          </w:p>
        </w:tc>
        <w:tc>
          <w:tcPr>
            <w:tcW w:w="2741" w:type="pct"/>
            <w:vAlign w:val="center"/>
          </w:tcPr>
          <w:p w14:paraId="1977F2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1"/>
                <w:highlight w:val="none"/>
                <w:lang w:eastAsia="zh-CN"/>
              </w:rPr>
            </w:pPr>
            <w:r>
              <w:rPr>
                <w:rFonts w:hint="default"/>
                <w:color w:val="auto"/>
                <w:sz w:val="21"/>
                <w:szCs w:val="21"/>
                <w:highlight w:val="none"/>
              </w:rPr>
              <w:t>金属类（易拉罐、铝铂等）</w:t>
            </w:r>
          </w:p>
        </w:tc>
        <w:tc>
          <w:tcPr>
            <w:tcW w:w="1497" w:type="pct"/>
            <w:vAlign w:val="center"/>
          </w:tcPr>
          <w:p w14:paraId="39677A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1"/>
                <w:highlight w:val="none"/>
                <w:lang w:eastAsia="zh-CN"/>
              </w:rPr>
            </w:pPr>
            <w:r>
              <w:rPr>
                <w:rFonts w:hint="default" w:eastAsia="Times New Roman"/>
                <w:color w:val="auto"/>
                <w:sz w:val="21"/>
                <w:szCs w:val="21"/>
                <w:highlight w:val="none"/>
              </w:rPr>
              <w:t>20%~26%</w:t>
            </w:r>
          </w:p>
        </w:tc>
      </w:tr>
      <w:tr w14:paraId="3495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3" w:type="pct"/>
            <w:vMerge w:val="continue"/>
            <w:vAlign w:val="center"/>
          </w:tcPr>
          <w:p w14:paraId="1CED891D">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240" w:lineRule="auto"/>
              <w:ind w:left="0" w:right="0" w:firstLine="0"/>
              <w:jc w:val="center"/>
              <w:textAlignment w:val="auto"/>
              <w:rPr>
                <w:rFonts w:hint="default"/>
                <w:color w:val="auto"/>
                <w:sz w:val="21"/>
                <w:szCs w:val="21"/>
                <w:highlight w:val="none"/>
              </w:rPr>
            </w:pPr>
          </w:p>
        </w:tc>
        <w:tc>
          <w:tcPr>
            <w:tcW w:w="2741" w:type="pct"/>
            <w:vAlign w:val="center"/>
          </w:tcPr>
          <w:p w14:paraId="3B4465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1"/>
                <w:highlight w:val="none"/>
                <w:lang w:eastAsia="zh-CN"/>
              </w:rPr>
            </w:pPr>
            <w:r>
              <w:rPr>
                <w:rFonts w:hint="default"/>
                <w:color w:val="auto"/>
                <w:sz w:val="21"/>
                <w:szCs w:val="21"/>
                <w:highlight w:val="none"/>
              </w:rPr>
              <w:t>其他（玻璃等）</w:t>
            </w:r>
          </w:p>
        </w:tc>
        <w:tc>
          <w:tcPr>
            <w:tcW w:w="1497" w:type="pct"/>
            <w:vAlign w:val="center"/>
          </w:tcPr>
          <w:p w14:paraId="6E78AF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1"/>
                <w:highlight w:val="none"/>
                <w:lang w:eastAsia="zh-CN"/>
              </w:rPr>
            </w:pPr>
            <w:r>
              <w:rPr>
                <w:rFonts w:hint="default" w:eastAsia="Times New Roman"/>
                <w:color w:val="auto"/>
                <w:sz w:val="21"/>
                <w:szCs w:val="21"/>
                <w:highlight w:val="none"/>
              </w:rPr>
              <w:t>1%~3%</w:t>
            </w:r>
          </w:p>
        </w:tc>
      </w:tr>
      <w:tr w14:paraId="1362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3" w:type="pct"/>
            <w:vMerge w:val="continue"/>
            <w:vAlign w:val="center"/>
          </w:tcPr>
          <w:p w14:paraId="0B18967D">
            <w:pPr>
              <w:keepNext w:val="0"/>
              <w:keepLines w:val="0"/>
              <w:pageBreakBefore w:val="0"/>
              <w:widowControl w:val="0"/>
              <w:suppressLineNumbers w:val="0"/>
              <w:kinsoku/>
              <w:wordWrap/>
              <w:overflowPunct/>
              <w:topLinePunct w:val="0"/>
              <w:autoSpaceDE/>
              <w:autoSpaceDN/>
              <w:bidi w:val="0"/>
              <w:adjustRightInd/>
              <w:snapToGrid/>
              <w:spacing w:before="0" w:beforeAutospacing="0" w:after="160" w:afterAutospacing="0" w:line="240" w:lineRule="auto"/>
              <w:ind w:left="0" w:right="0" w:firstLine="0"/>
              <w:jc w:val="center"/>
              <w:textAlignment w:val="auto"/>
              <w:rPr>
                <w:rFonts w:hint="default"/>
                <w:color w:val="auto"/>
                <w:sz w:val="21"/>
                <w:szCs w:val="21"/>
                <w:highlight w:val="none"/>
              </w:rPr>
            </w:pPr>
          </w:p>
        </w:tc>
        <w:tc>
          <w:tcPr>
            <w:tcW w:w="2741" w:type="pct"/>
            <w:vAlign w:val="center"/>
          </w:tcPr>
          <w:p w14:paraId="18B529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1"/>
                <w:highlight w:val="none"/>
                <w:lang w:eastAsia="zh-CN"/>
              </w:rPr>
            </w:pPr>
            <w:r>
              <w:rPr>
                <w:rFonts w:hint="default"/>
                <w:color w:val="auto"/>
                <w:sz w:val="21"/>
                <w:szCs w:val="21"/>
                <w:highlight w:val="none"/>
              </w:rPr>
              <w:t>小计</w:t>
            </w:r>
          </w:p>
        </w:tc>
        <w:tc>
          <w:tcPr>
            <w:tcW w:w="1497" w:type="pct"/>
            <w:vAlign w:val="center"/>
          </w:tcPr>
          <w:p w14:paraId="1B88A2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1"/>
                <w:highlight w:val="none"/>
                <w:lang w:eastAsia="zh-CN"/>
              </w:rPr>
            </w:pPr>
            <w:r>
              <w:rPr>
                <w:rFonts w:hint="default" w:eastAsia="Times New Roman"/>
                <w:color w:val="auto"/>
                <w:sz w:val="21"/>
                <w:szCs w:val="21"/>
                <w:highlight w:val="none"/>
              </w:rPr>
              <w:t>21%~29%</w:t>
            </w:r>
          </w:p>
        </w:tc>
      </w:tr>
    </w:tbl>
    <w:p w14:paraId="3430F046">
      <w:pPr>
        <w:ind w:firstLine="480" w:firstLineChars="200"/>
        <w:rPr>
          <w:color w:val="auto"/>
          <w:highlight w:val="none"/>
        </w:rPr>
      </w:pPr>
      <w:r>
        <w:rPr>
          <w:color w:val="auto"/>
          <w:highlight w:val="none"/>
        </w:rPr>
        <w:t>根据可研，</w:t>
      </w:r>
      <w:r>
        <w:rPr>
          <w:rFonts w:eastAsia="Times New Roman"/>
          <w:color w:val="auto"/>
          <w:highlight w:val="none"/>
        </w:rPr>
        <w:t>203</w:t>
      </w:r>
      <w:r>
        <w:rPr>
          <w:rFonts w:hint="eastAsia" w:eastAsia="宋体"/>
          <w:color w:val="auto"/>
          <w:highlight w:val="none"/>
          <w:lang w:val="en-US" w:eastAsia="zh-CN"/>
        </w:rPr>
        <w:t>0</w:t>
      </w:r>
      <w:r>
        <w:rPr>
          <w:color w:val="auto"/>
          <w:highlight w:val="none"/>
        </w:rPr>
        <w:t>年旅客吞吐量为</w:t>
      </w:r>
      <w:r>
        <w:rPr>
          <w:rFonts w:hint="eastAsia" w:eastAsia="Times New Roman"/>
          <w:color w:val="auto"/>
          <w:highlight w:val="none"/>
        </w:rPr>
        <w:t>6312</w:t>
      </w:r>
      <w:r>
        <w:rPr>
          <w:rFonts w:eastAsia="Times New Roman"/>
          <w:color w:val="auto"/>
          <w:highlight w:val="none"/>
        </w:rPr>
        <w:t>0</w:t>
      </w:r>
      <w:r>
        <w:rPr>
          <w:color w:val="auto"/>
          <w:highlight w:val="none"/>
        </w:rPr>
        <w:t>人次，按旅客人均每天垃圾产生量为</w:t>
      </w:r>
      <w:r>
        <w:rPr>
          <w:rFonts w:eastAsia="Times New Roman"/>
          <w:color w:val="auto"/>
          <w:highlight w:val="none"/>
        </w:rPr>
        <w:t>0.02kg/</w:t>
      </w:r>
      <w:r>
        <w:rPr>
          <w:color w:val="auto"/>
          <w:highlight w:val="none"/>
        </w:rPr>
        <w:t>人，</w:t>
      </w:r>
      <w:r>
        <w:rPr>
          <w:rFonts w:hint="eastAsia"/>
          <w:color w:val="auto"/>
          <w:highlight w:val="none"/>
          <w:lang w:val="en-US" w:eastAsia="zh-CN"/>
        </w:rPr>
        <w:t>预计</w:t>
      </w:r>
      <w:r>
        <w:rPr>
          <w:rFonts w:eastAsia="Times New Roman"/>
          <w:color w:val="auto"/>
          <w:highlight w:val="none"/>
        </w:rPr>
        <w:t>203</w:t>
      </w:r>
      <w:r>
        <w:rPr>
          <w:rFonts w:hint="eastAsia" w:eastAsia="宋体"/>
          <w:color w:val="auto"/>
          <w:highlight w:val="none"/>
          <w:lang w:val="en-US" w:eastAsia="zh-CN"/>
        </w:rPr>
        <w:t>0</w:t>
      </w:r>
      <w:r>
        <w:rPr>
          <w:color w:val="auto"/>
          <w:highlight w:val="none"/>
        </w:rPr>
        <w:t>年机场航空垃圾产生量约为</w:t>
      </w:r>
      <w:r>
        <w:rPr>
          <w:rFonts w:hint="eastAsia"/>
          <w:color w:val="auto"/>
          <w:highlight w:val="none"/>
        </w:rPr>
        <w:t>1.2624</w:t>
      </w:r>
      <w:r>
        <w:rPr>
          <w:rFonts w:eastAsia="Times New Roman"/>
          <w:color w:val="auto"/>
          <w:highlight w:val="none"/>
        </w:rPr>
        <w:t>t/a</w:t>
      </w:r>
      <w:r>
        <w:rPr>
          <w:color w:val="auto"/>
          <w:highlight w:val="none"/>
        </w:rPr>
        <w:t>。航空垃圾采用垃圾箱收集于垃圾站，达到运输吨位后，</w:t>
      </w:r>
      <w:r>
        <w:rPr>
          <w:color w:val="auto"/>
          <w:szCs w:val="22"/>
          <w:highlight w:val="none"/>
        </w:rPr>
        <w:t>由</w:t>
      </w:r>
      <w:r>
        <w:rPr>
          <w:color w:val="auto"/>
          <w:highlight w:val="none"/>
        </w:rPr>
        <w:t>精河县环卫管理部门统一收集清运。</w:t>
      </w:r>
    </w:p>
    <w:p w14:paraId="245434EB">
      <w:pPr>
        <w:widowControl/>
        <w:spacing w:after="154" w:line="259" w:lineRule="auto"/>
        <w:ind w:right="6"/>
        <w:jc w:val="left"/>
        <w:outlineLvl w:val="3"/>
        <w:rPr>
          <w:rFonts w:hint="eastAsia" w:eastAsia="宋体"/>
          <w:color w:val="auto"/>
          <w:highlight w:val="none"/>
          <w:lang w:eastAsia="zh-CN"/>
        </w:rPr>
      </w:pPr>
      <w:r>
        <w:rPr>
          <w:rFonts w:hint="eastAsia"/>
          <w:color w:val="auto"/>
          <w:highlight w:val="none"/>
        </w:rPr>
        <w:t>（2）</w:t>
      </w:r>
      <w:r>
        <w:rPr>
          <w:color w:val="auto"/>
          <w:highlight w:val="none"/>
        </w:rPr>
        <w:t>生活垃圾</w:t>
      </w:r>
    </w:p>
    <w:p w14:paraId="2F798E94">
      <w:pPr>
        <w:ind w:firstLine="480" w:firstLineChars="200"/>
        <w:rPr>
          <w:color w:val="auto"/>
          <w:highlight w:val="none"/>
        </w:rPr>
      </w:pPr>
      <w:r>
        <w:rPr>
          <w:color w:val="auto"/>
          <w:highlight w:val="none"/>
        </w:rPr>
        <w:t>生活垃圾主要为纸类、塑料类、厨房下脚料等，其特点是有机物含量高。机场工作人员</w:t>
      </w:r>
      <w:r>
        <w:rPr>
          <w:rFonts w:hint="eastAsia"/>
          <w:color w:val="auto"/>
          <w:highlight w:val="none"/>
          <w:lang w:val="en-US" w:eastAsia="zh-CN"/>
        </w:rPr>
        <w:t>30</w:t>
      </w:r>
      <w:r>
        <w:rPr>
          <w:color w:val="auto"/>
          <w:highlight w:val="none"/>
        </w:rPr>
        <w:t>人，按照垃圾产生量平均每人每天</w:t>
      </w:r>
      <w:r>
        <w:rPr>
          <w:rFonts w:eastAsia="Times New Roman"/>
          <w:color w:val="auto"/>
          <w:highlight w:val="none"/>
        </w:rPr>
        <w:t>0.5kg</w:t>
      </w:r>
      <w:r>
        <w:rPr>
          <w:color w:val="auto"/>
          <w:highlight w:val="none"/>
        </w:rPr>
        <w:t>计算，</w:t>
      </w:r>
      <w:r>
        <w:rPr>
          <w:rFonts w:eastAsia="Times New Roman"/>
          <w:color w:val="auto"/>
          <w:highlight w:val="none"/>
        </w:rPr>
        <w:t>203</w:t>
      </w:r>
      <w:r>
        <w:rPr>
          <w:rFonts w:hint="eastAsia" w:eastAsia="宋体"/>
          <w:color w:val="auto"/>
          <w:highlight w:val="none"/>
          <w:lang w:val="en-US" w:eastAsia="zh-CN"/>
        </w:rPr>
        <w:t>0</w:t>
      </w:r>
      <w:r>
        <w:rPr>
          <w:color w:val="auto"/>
          <w:highlight w:val="none"/>
        </w:rPr>
        <w:t>年生活垃圾产生量约为</w:t>
      </w:r>
      <w:r>
        <w:rPr>
          <w:rFonts w:hint="eastAsia"/>
          <w:color w:val="auto"/>
          <w:highlight w:val="none"/>
          <w:lang w:val="en-US" w:eastAsia="zh-CN"/>
        </w:rPr>
        <w:t>15</w:t>
      </w:r>
      <w:r>
        <w:rPr>
          <w:rFonts w:eastAsia="Times New Roman"/>
          <w:color w:val="auto"/>
          <w:highlight w:val="none"/>
        </w:rPr>
        <w:t>kg/d</w:t>
      </w:r>
      <w:r>
        <w:rPr>
          <w:color w:val="auto"/>
          <w:highlight w:val="none"/>
        </w:rPr>
        <w:t>，估算全年生活垃圾产生量</w:t>
      </w:r>
      <w:r>
        <w:rPr>
          <w:rFonts w:hint="eastAsia"/>
          <w:color w:val="auto"/>
          <w:highlight w:val="none"/>
          <w:lang w:val="en-US" w:eastAsia="zh-CN"/>
        </w:rPr>
        <w:t>5.475</w:t>
      </w:r>
      <w:r>
        <w:rPr>
          <w:rFonts w:eastAsia="Times New Roman"/>
          <w:color w:val="auto"/>
          <w:highlight w:val="none"/>
        </w:rPr>
        <w:t>t/a</w:t>
      </w:r>
      <w:r>
        <w:rPr>
          <w:color w:val="auto"/>
          <w:highlight w:val="none"/>
        </w:rPr>
        <w:t>。生活垃圾存储于垃圾</w:t>
      </w:r>
      <w:r>
        <w:rPr>
          <w:rFonts w:hint="eastAsia" w:ascii="Times New Roman" w:eastAsia="宋体"/>
          <w:color w:val="auto"/>
          <w:highlight w:val="none"/>
          <w:lang w:val="en-US" w:eastAsia="zh-CN"/>
        </w:rPr>
        <w:t>收集</w:t>
      </w:r>
      <w:r>
        <w:rPr>
          <w:color w:val="auto"/>
          <w:highlight w:val="none"/>
        </w:rPr>
        <w:t>站，</w:t>
      </w:r>
      <w:r>
        <w:rPr>
          <w:color w:val="auto"/>
          <w:szCs w:val="22"/>
          <w:highlight w:val="none"/>
        </w:rPr>
        <w:t>由</w:t>
      </w:r>
      <w:r>
        <w:rPr>
          <w:color w:val="auto"/>
          <w:highlight w:val="none"/>
        </w:rPr>
        <w:t>精河县环卫管理部门统一收集清运。</w:t>
      </w:r>
    </w:p>
    <w:p w14:paraId="0553EB14">
      <w:pPr>
        <w:widowControl/>
        <w:spacing w:after="154" w:line="259" w:lineRule="auto"/>
        <w:ind w:right="6"/>
        <w:jc w:val="left"/>
        <w:outlineLvl w:val="3"/>
        <w:rPr>
          <w:rFonts w:hint="eastAsia" w:eastAsia="宋体"/>
          <w:color w:val="auto"/>
          <w:highlight w:val="none"/>
          <w:lang w:eastAsia="zh-CN"/>
        </w:rPr>
      </w:pPr>
      <w:r>
        <w:rPr>
          <w:rFonts w:hint="eastAsia"/>
          <w:color w:val="auto"/>
          <w:highlight w:val="none"/>
        </w:rPr>
        <w:t>（3）</w:t>
      </w:r>
      <w:r>
        <w:rPr>
          <w:color w:val="auto"/>
          <w:highlight w:val="none"/>
        </w:rPr>
        <w:t>污水处理站污泥</w:t>
      </w:r>
    </w:p>
    <w:p w14:paraId="79C7E439">
      <w:pPr>
        <w:ind w:firstLine="480" w:firstLineChars="200"/>
        <w:rPr>
          <w:color w:val="auto"/>
          <w:highlight w:val="none"/>
        </w:rPr>
      </w:pPr>
      <w:r>
        <w:rPr>
          <w:color w:val="auto"/>
          <w:highlight w:val="none"/>
        </w:rPr>
        <w:t>机场污水处理过程中产生的污泥以有机组分为主，还含有丰富的氮、磷。本项目污水处理采用一体化</w:t>
      </w:r>
      <w:r>
        <w:rPr>
          <w:rFonts w:eastAsia="Times New Roman"/>
          <w:color w:val="auto"/>
          <w:highlight w:val="none"/>
        </w:rPr>
        <w:t>MBR</w:t>
      </w:r>
      <w:r>
        <w:rPr>
          <w:color w:val="auto"/>
          <w:highlight w:val="none"/>
        </w:rPr>
        <w:t>污水处理设施，该工艺污泥产生量较小。产生污泥量可按去除每公斤</w:t>
      </w:r>
      <w:r>
        <w:rPr>
          <w:rFonts w:eastAsia="Times New Roman"/>
          <w:color w:val="auto"/>
          <w:highlight w:val="none"/>
        </w:rPr>
        <w:t>BOD</w:t>
      </w:r>
      <w:r>
        <w:rPr>
          <w:rFonts w:eastAsia="Times New Roman"/>
          <w:color w:val="auto"/>
          <w:highlight w:val="none"/>
          <w:vertAlign w:val="subscript"/>
        </w:rPr>
        <w:t>5</w:t>
      </w:r>
      <w:r>
        <w:rPr>
          <w:color w:val="auto"/>
          <w:highlight w:val="none"/>
        </w:rPr>
        <w:t>产生</w:t>
      </w:r>
      <w:r>
        <w:rPr>
          <w:rFonts w:eastAsia="Times New Roman"/>
          <w:color w:val="auto"/>
          <w:highlight w:val="none"/>
        </w:rPr>
        <w:t>0.35</w:t>
      </w:r>
      <w:r>
        <w:rPr>
          <w:rFonts w:hint="eastAsia" w:eastAsia="Times New Roman"/>
          <w:color w:val="auto"/>
          <w:highlight w:val="none"/>
        </w:rPr>
        <w:t>kg</w:t>
      </w:r>
      <w:r>
        <w:rPr>
          <w:rFonts w:eastAsia="Times New Roman"/>
          <w:color w:val="auto"/>
          <w:highlight w:val="none"/>
        </w:rPr>
        <w:t>~0.4kg</w:t>
      </w:r>
      <w:r>
        <w:rPr>
          <w:color w:val="auto"/>
          <w:highlight w:val="none"/>
        </w:rPr>
        <w:t>干污泥计算，</w:t>
      </w:r>
      <w:r>
        <w:rPr>
          <w:rFonts w:hint="eastAsia"/>
          <w:color w:val="auto"/>
          <w:highlight w:val="none"/>
          <w:lang w:val="en-US" w:eastAsia="zh-CN"/>
        </w:rPr>
        <w:t>本项目</w:t>
      </w:r>
      <w:r>
        <w:rPr>
          <w:rFonts w:eastAsia="Times New Roman"/>
          <w:color w:val="auto"/>
          <w:highlight w:val="none"/>
        </w:rPr>
        <w:t>BOD</w:t>
      </w:r>
      <w:r>
        <w:rPr>
          <w:rFonts w:eastAsia="Times New Roman"/>
          <w:color w:val="auto"/>
          <w:highlight w:val="none"/>
          <w:vertAlign w:val="subscript"/>
        </w:rPr>
        <w:t>5</w:t>
      </w:r>
      <w:r>
        <w:rPr>
          <w:color w:val="auto"/>
          <w:highlight w:val="none"/>
        </w:rPr>
        <w:t>处理量为</w:t>
      </w:r>
      <w:r>
        <w:rPr>
          <w:rFonts w:hint="eastAsia"/>
          <w:color w:val="auto"/>
          <w:highlight w:val="none"/>
          <w:lang w:val="en-US" w:eastAsia="zh-CN"/>
        </w:rPr>
        <w:t>628749g/a，则</w:t>
      </w:r>
      <w:r>
        <w:rPr>
          <w:color w:val="auto"/>
          <w:highlight w:val="none"/>
        </w:rPr>
        <w:t>污泥产生量约为</w:t>
      </w:r>
      <w:r>
        <w:rPr>
          <w:rFonts w:hint="eastAsia" w:eastAsia="Times New Roman"/>
          <w:color w:val="auto"/>
          <w:highlight w:val="none"/>
        </w:rPr>
        <w:t>0.251</w:t>
      </w:r>
      <w:r>
        <w:rPr>
          <w:rFonts w:hint="eastAsia" w:eastAsia="宋体"/>
          <w:color w:val="auto"/>
          <w:highlight w:val="none"/>
          <w:lang w:val="en-US" w:eastAsia="zh-CN"/>
        </w:rPr>
        <w:t>5</w:t>
      </w:r>
      <w:r>
        <w:rPr>
          <w:rFonts w:eastAsia="Times New Roman"/>
          <w:color w:val="auto"/>
          <w:highlight w:val="none"/>
        </w:rPr>
        <w:t>t/a</w:t>
      </w:r>
      <w:r>
        <w:rPr>
          <w:color w:val="auto"/>
          <w:highlight w:val="none"/>
        </w:rPr>
        <w:t>。</w:t>
      </w:r>
      <w:r>
        <w:rPr>
          <w:rFonts w:hint="eastAsia" w:ascii="Times New Roman" w:eastAsia="宋体"/>
          <w:color w:val="auto"/>
          <w:highlight w:val="none"/>
          <w:lang w:val="en-US" w:eastAsia="zh-CN"/>
        </w:rPr>
        <w:t>委托场外有处置能力的单位</w:t>
      </w:r>
      <w:r>
        <w:rPr>
          <w:color w:val="auto"/>
          <w:highlight w:val="none"/>
        </w:rPr>
        <w:t>定期</w:t>
      </w:r>
      <w:r>
        <w:rPr>
          <w:rFonts w:hint="eastAsia" w:ascii="Times New Roman" w:eastAsia="宋体"/>
          <w:color w:val="auto"/>
          <w:highlight w:val="none"/>
          <w:lang w:val="en-US" w:eastAsia="zh-CN"/>
        </w:rPr>
        <w:t>进行减量化、无害化处置</w:t>
      </w:r>
      <w:r>
        <w:rPr>
          <w:color w:val="auto"/>
          <w:highlight w:val="none"/>
        </w:rPr>
        <w:t>。</w:t>
      </w:r>
    </w:p>
    <w:p w14:paraId="2054C55C">
      <w:pPr>
        <w:keepNext w:val="0"/>
        <w:keepLines w:val="0"/>
        <w:pageBreakBefore w:val="0"/>
        <w:widowControl/>
        <w:kinsoku/>
        <w:wordWrap/>
        <w:overflowPunct/>
        <w:topLinePunct w:val="0"/>
        <w:autoSpaceDE/>
        <w:autoSpaceDN/>
        <w:bidi w:val="0"/>
        <w:adjustRightInd/>
        <w:snapToGrid/>
        <w:spacing w:after="154" w:line="260" w:lineRule="auto"/>
        <w:ind w:right="6" w:firstLine="420"/>
        <w:jc w:val="left"/>
        <w:textAlignment w:val="auto"/>
        <w:outlineLvl w:val="3"/>
        <w:rPr>
          <w:color w:val="auto"/>
          <w:highlight w:val="none"/>
        </w:rPr>
      </w:pPr>
      <w:r>
        <w:rPr>
          <w:rFonts w:hint="eastAsia"/>
          <w:color w:val="auto"/>
          <w:highlight w:val="none"/>
        </w:rPr>
        <w:t>（4）</w:t>
      </w:r>
      <w:r>
        <w:rPr>
          <w:color w:val="auto"/>
          <w:highlight w:val="none"/>
        </w:rPr>
        <w:t>污油</w:t>
      </w:r>
      <w:r>
        <w:rPr>
          <w:rFonts w:hint="eastAsia"/>
          <w:color w:val="auto"/>
          <w:highlight w:val="none"/>
        </w:rPr>
        <w:t>、油泥</w:t>
      </w:r>
    </w:p>
    <w:p w14:paraId="06F91665">
      <w:pPr>
        <w:ind w:firstLine="480" w:firstLineChars="200"/>
        <w:rPr>
          <w:color w:val="auto"/>
          <w:highlight w:val="none"/>
        </w:rPr>
      </w:pPr>
      <w:r>
        <w:rPr>
          <w:color w:val="auto"/>
          <w:highlight w:val="none"/>
        </w:rPr>
        <w:t>由于航油品质较高，储运过程基本没有油泥产生，主要是</w:t>
      </w:r>
      <w:r>
        <w:rPr>
          <w:rFonts w:hint="eastAsia"/>
          <w:color w:val="auto"/>
          <w:highlight w:val="none"/>
        </w:rPr>
        <w:t>加油</w:t>
      </w:r>
      <w:r>
        <w:rPr>
          <w:rFonts w:hint="eastAsia" w:ascii="Times New Roman" w:eastAsia="宋体"/>
          <w:color w:val="auto"/>
          <w:highlight w:val="none"/>
          <w:lang w:val="en-US" w:eastAsia="zh-CN"/>
        </w:rPr>
        <w:t>区的</w:t>
      </w:r>
      <w:r>
        <w:rPr>
          <w:rFonts w:hint="eastAsia"/>
          <w:color w:val="auto"/>
          <w:highlight w:val="none"/>
          <w:lang w:val="en-US" w:eastAsia="zh-CN"/>
        </w:rPr>
        <w:t>2辆油罐车加油过程跑冒滴漏</w:t>
      </w:r>
      <w:r>
        <w:rPr>
          <w:color w:val="auto"/>
          <w:highlight w:val="none"/>
        </w:rPr>
        <w:t>产生的少量油泥。年产生污油量约</w:t>
      </w:r>
      <w:r>
        <w:rPr>
          <w:rFonts w:eastAsia="Times New Roman"/>
          <w:color w:val="auto"/>
          <w:highlight w:val="none"/>
        </w:rPr>
        <w:t>0.5t/a</w:t>
      </w:r>
      <w:r>
        <w:rPr>
          <w:color w:val="auto"/>
          <w:highlight w:val="none"/>
        </w:rPr>
        <w:t>。</w:t>
      </w:r>
      <w:r>
        <w:rPr>
          <w:rFonts w:hint="eastAsia"/>
          <w:color w:val="auto"/>
          <w:highlight w:val="none"/>
        </w:rPr>
        <w:t>根据《国家危险废物名录（2025年版）》</w:t>
      </w:r>
      <w:r>
        <w:rPr>
          <w:color w:val="auto"/>
          <w:highlight w:val="none"/>
        </w:rPr>
        <w:t>，</w:t>
      </w:r>
      <w:r>
        <w:rPr>
          <w:rFonts w:hint="eastAsia"/>
          <w:color w:val="auto"/>
          <w:highlight w:val="none"/>
        </w:rPr>
        <w:t>该</w:t>
      </w:r>
      <w:r>
        <w:rPr>
          <w:color w:val="auto"/>
          <w:highlight w:val="none"/>
        </w:rPr>
        <w:t>油泥属</w:t>
      </w:r>
      <w:r>
        <w:rPr>
          <w:rFonts w:eastAsia="Times New Roman"/>
          <w:color w:val="auto"/>
          <w:highlight w:val="none"/>
        </w:rPr>
        <w:t>HW08</w:t>
      </w:r>
      <w:r>
        <w:rPr>
          <w:rFonts w:eastAsiaTheme="minorEastAsia"/>
          <w:color w:val="auto"/>
          <w:highlight w:val="none"/>
        </w:rPr>
        <w:t>，危废代码900-</w:t>
      </w:r>
      <w:r>
        <w:rPr>
          <w:rFonts w:hint="eastAsia" w:eastAsiaTheme="minorEastAsia"/>
          <w:color w:val="auto"/>
          <w:highlight w:val="none"/>
          <w:lang w:val="en-US" w:eastAsia="zh-CN"/>
        </w:rPr>
        <w:t>221</w:t>
      </w:r>
      <w:r>
        <w:rPr>
          <w:rFonts w:eastAsiaTheme="minorEastAsia"/>
          <w:color w:val="auto"/>
          <w:highlight w:val="none"/>
        </w:rPr>
        <w:t>-08</w:t>
      </w:r>
      <w:r>
        <w:rPr>
          <w:rFonts w:hint="eastAsia"/>
          <w:color w:val="auto"/>
          <w:highlight w:val="none"/>
        </w:rPr>
        <w:t>，应按危险废物处理处置。</w:t>
      </w:r>
    </w:p>
    <w:p w14:paraId="49F84A91">
      <w:pPr>
        <w:keepNext w:val="0"/>
        <w:keepLines w:val="0"/>
        <w:pageBreakBefore w:val="0"/>
        <w:widowControl/>
        <w:kinsoku/>
        <w:wordWrap/>
        <w:overflowPunct/>
        <w:topLinePunct w:val="0"/>
        <w:autoSpaceDE/>
        <w:autoSpaceDN/>
        <w:bidi w:val="0"/>
        <w:adjustRightInd/>
        <w:snapToGrid/>
        <w:spacing w:after="154" w:line="260" w:lineRule="auto"/>
        <w:ind w:right="6" w:firstLine="420"/>
        <w:jc w:val="left"/>
        <w:textAlignment w:val="auto"/>
        <w:outlineLvl w:val="3"/>
        <w:rPr>
          <w:rFonts w:hint="eastAsia"/>
          <w:color w:val="auto"/>
          <w:highlight w:val="none"/>
        </w:rPr>
      </w:pPr>
      <w:r>
        <w:rPr>
          <w:rFonts w:hint="eastAsia"/>
          <w:color w:val="auto"/>
          <w:highlight w:val="none"/>
        </w:rPr>
        <w:t>（5）废机油</w:t>
      </w:r>
    </w:p>
    <w:p w14:paraId="12C0C166">
      <w:pPr>
        <w:ind w:firstLine="480" w:firstLineChars="200"/>
        <w:rPr>
          <w:color w:val="auto"/>
          <w:highlight w:val="none"/>
        </w:rPr>
      </w:pPr>
      <w:r>
        <w:rPr>
          <w:color w:val="auto"/>
          <w:highlight w:val="none"/>
        </w:rPr>
        <w:t>机械维修会产生少量废机油，约</w:t>
      </w:r>
      <w:r>
        <w:rPr>
          <w:rFonts w:eastAsia="Times New Roman"/>
          <w:color w:val="auto"/>
          <w:highlight w:val="none"/>
        </w:rPr>
        <w:t>0.01t/a</w:t>
      </w:r>
      <w:r>
        <w:rPr>
          <w:rFonts w:eastAsiaTheme="minorEastAsia"/>
          <w:color w:val="auto"/>
          <w:highlight w:val="none"/>
        </w:rPr>
        <w:t>，</w:t>
      </w:r>
      <w:r>
        <w:rPr>
          <w:snapToGrid w:val="0"/>
          <w:color w:val="auto"/>
          <w:spacing w:val="4"/>
          <w:szCs w:val="22"/>
          <w:highlight w:val="none"/>
        </w:rPr>
        <w:t>属于</w:t>
      </w:r>
      <w:r>
        <w:rPr>
          <w:rFonts w:hint="eastAsia"/>
          <w:snapToGrid w:val="0"/>
          <w:color w:val="auto"/>
          <w:spacing w:val="4"/>
          <w:szCs w:val="22"/>
          <w:highlight w:val="none"/>
        </w:rPr>
        <w:t>《国家危险废物名录（2025年版）》</w:t>
      </w:r>
      <w:r>
        <w:rPr>
          <w:snapToGrid w:val="0"/>
          <w:color w:val="auto"/>
          <w:spacing w:val="4"/>
          <w:szCs w:val="22"/>
          <w:highlight w:val="none"/>
        </w:rPr>
        <w:t>HW08类危险废物（</w:t>
      </w:r>
      <w:r>
        <w:rPr>
          <w:color w:val="auto"/>
          <w:highlight w:val="none"/>
        </w:rPr>
        <w:t>900-214-08车辆、轮船及其它机械维修过程中产生的废发动机油、制动器油、自动变速器油、齿轮油等废润滑油）。</w:t>
      </w:r>
    </w:p>
    <w:p w14:paraId="00B93D4A">
      <w:pPr>
        <w:ind w:firstLine="480" w:firstLineChars="200"/>
        <w:rPr>
          <w:color w:val="auto"/>
          <w:highlight w:val="none"/>
        </w:rPr>
      </w:pPr>
      <w:r>
        <w:rPr>
          <w:color w:val="auto"/>
          <w:highlight w:val="none"/>
        </w:rPr>
        <w:t>本项目</w:t>
      </w:r>
      <w:r>
        <w:rPr>
          <w:rFonts w:hint="eastAsia"/>
          <w:color w:val="auto"/>
          <w:highlight w:val="none"/>
          <w:lang w:val="en-US" w:eastAsia="zh-CN"/>
        </w:rPr>
        <w:t>在场内设置</w:t>
      </w:r>
      <w:r>
        <w:rPr>
          <w:rFonts w:hint="eastAsia"/>
          <w:color w:val="auto"/>
          <w:highlight w:val="none"/>
        </w:rPr>
        <w:t>危废贮存点</w:t>
      </w:r>
      <w:r>
        <w:rPr>
          <w:color w:val="auto"/>
          <w:highlight w:val="none"/>
        </w:rPr>
        <w:t>，用于项目产生的少量危险废物暂存。危险废物最终委托有资质的单位</w:t>
      </w:r>
      <w:r>
        <w:rPr>
          <w:rFonts w:hint="eastAsia"/>
          <w:color w:val="auto"/>
          <w:highlight w:val="none"/>
          <w:lang w:val="en-US" w:eastAsia="zh-CN"/>
        </w:rPr>
        <w:t>拉运、</w:t>
      </w:r>
      <w:r>
        <w:rPr>
          <w:color w:val="auto"/>
          <w:highlight w:val="none"/>
        </w:rPr>
        <w:t>处理。</w:t>
      </w:r>
    </w:p>
    <w:p w14:paraId="17E98D50">
      <w:pPr>
        <w:ind w:firstLine="480" w:firstLineChars="200"/>
        <w:rPr>
          <w:rFonts w:hint="eastAsia" w:eastAsia="宋体"/>
          <w:color w:val="auto"/>
          <w:highlight w:val="none"/>
          <w:lang w:eastAsia="zh-CN"/>
        </w:rPr>
      </w:pPr>
      <w:r>
        <w:rPr>
          <w:color w:val="auto"/>
          <w:highlight w:val="none"/>
        </w:rPr>
        <w:t>固体废物产生量及处理方式汇总见</w:t>
      </w:r>
      <w:r>
        <w:rPr>
          <w:rFonts w:hint="eastAsia"/>
          <w:color w:val="auto"/>
          <w:highlight w:val="none"/>
          <w:lang w:val="en-US" w:eastAsia="zh-CN"/>
        </w:rPr>
        <w:t>下</w:t>
      </w:r>
      <w:r>
        <w:rPr>
          <w:color w:val="auto"/>
          <w:highlight w:val="none"/>
        </w:rPr>
        <w:t>表</w:t>
      </w:r>
      <w:r>
        <w:rPr>
          <w:rFonts w:hint="eastAsia"/>
          <w:color w:val="auto"/>
          <w:highlight w:val="none"/>
          <w:lang w:val="en-US" w:eastAsia="zh-CN"/>
        </w:rPr>
        <w:t>：</w:t>
      </w:r>
    </w:p>
    <w:p w14:paraId="4F97ADED">
      <w:pPr>
        <w:spacing w:after="3"/>
        <w:ind w:left="10" w:right="251" w:hanging="10"/>
        <w:jc w:val="center"/>
        <w:rPr>
          <w:color w:val="auto"/>
          <w:sz w:val="21"/>
          <w:szCs w:val="21"/>
          <w:highlight w:val="none"/>
        </w:rPr>
      </w:pPr>
      <w:r>
        <w:rPr>
          <w:rFonts w:eastAsia="黑体"/>
          <w:color w:val="auto"/>
          <w:sz w:val="21"/>
          <w:szCs w:val="21"/>
          <w:highlight w:val="none"/>
        </w:rPr>
        <w:t>表</w:t>
      </w:r>
      <w:r>
        <w:rPr>
          <w:rFonts w:hint="eastAsia"/>
          <w:b/>
          <w:color w:val="auto"/>
          <w:sz w:val="21"/>
          <w:szCs w:val="21"/>
          <w:highlight w:val="none"/>
          <w:lang w:val="en-US" w:eastAsia="zh-CN"/>
        </w:rPr>
        <w:t>3.5-16</w:t>
      </w:r>
      <w:r>
        <w:rPr>
          <w:color w:val="auto"/>
          <w:sz w:val="21"/>
          <w:szCs w:val="21"/>
          <w:highlight w:val="none"/>
        </w:rPr>
        <w:t xml:space="preserve"> </w:t>
      </w:r>
      <w:r>
        <w:rPr>
          <w:rFonts w:eastAsia="黑体"/>
          <w:color w:val="auto"/>
          <w:sz w:val="21"/>
          <w:szCs w:val="21"/>
          <w:highlight w:val="none"/>
        </w:rPr>
        <w:t>固体废物排放汇总表</w:t>
      </w:r>
      <w:r>
        <w:rPr>
          <w:rFonts w:eastAsia="Times New Roman"/>
          <w:b/>
          <w:color w:val="auto"/>
          <w:sz w:val="21"/>
          <w:szCs w:val="21"/>
          <w:highlight w:val="none"/>
        </w:rPr>
        <w:t xml:space="preserve"> </w:t>
      </w:r>
    </w:p>
    <w:tbl>
      <w:tblPr>
        <w:tblStyle w:val="5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413"/>
        <w:gridCol w:w="1613"/>
        <w:gridCol w:w="1617"/>
        <w:gridCol w:w="1030"/>
        <w:gridCol w:w="2528"/>
      </w:tblGrid>
      <w:tr w14:paraId="7870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blHeader/>
        </w:trPr>
        <w:tc>
          <w:tcPr>
            <w:tcW w:w="358" w:type="pct"/>
            <w:vAlign w:val="center"/>
          </w:tcPr>
          <w:p w14:paraId="111B1D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序号</w:t>
            </w:r>
          </w:p>
        </w:tc>
        <w:tc>
          <w:tcPr>
            <w:tcW w:w="800" w:type="pct"/>
            <w:vAlign w:val="center"/>
          </w:tcPr>
          <w:p w14:paraId="06AF43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种类</w:t>
            </w:r>
          </w:p>
        </w:tc>
        <w:tc>
          <w:tcPr>
            <w:tcW w:w="913" w:type="pct"/>
            <w:vAlign w:val="center"/>
          </w:tcPr>
          <w:p w14:paraId="70FB6B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来源</w:t>
            </w:r>
          </w:p>
        </w:tc>
        <w:tc>
          <w:tcPr>
            <w:tcW w:w="915" w:type="pct"/>
            <w:vAlign w:val="center"/>
          </w:tcPr>
          <w:p w14:paraId="3B5117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主要组分及性质</w:t>
            </w:r>
          </w:p>
        </w:tc>
        <w:tc>
          <w:tcPr>
            <w:tcW w:w="583" w:type="pct"/>
            <w:vAlign w:val="center"/>
          </w:tcPr>
          <w:p w14:paraId="4287D8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发生量</w:t>
            </w:r>
          </w:p>
          <w:p w14:paraId="15BAFA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（t/a</w:t>
            </w:r>
            <w:r>
              <w:rPr>
                <w:rFonts w:hint="eastAsia" w:eastAsiaTheme="minorEastAsia"/>
                <w:color w:val="auto"/>
                <w:sz w:val="21"/>
                <w:szCs w:val="21"/>
                <w:highlight w:val="none"/>
                <w:lang w:eastAsia="zh-CN"/>
              </w:rPr>
              <w:t>)</w:t>
            </w:r>
          </w:p>
        </w:tc>
        <w:tc>
          <w:tcPr>
            <w:tcW w:w="1431" w:type="pct"/>
            <w:vAlign w:val="center"/>
          </w:tcPr>
          <w:p w14:paraId="62D20E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处理处置</w:t>
            </w:r>
          </w:p>
        </w:tc>
      </w:tr>
      <w:tr w14:paraId="223D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358" w:type="pct"/>
            <w:vAlign w:val="center"/>
          </w:tcPr>
          <w:p w14:paraId="34EC7E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1</w:t>
            </w:r>
          </w:p>
        </w:tc>
        <w:tc>
          <w:tcPr>
            <w:tcW w:w="800" w:type="pct"/>
            <w:vAlign w:val="center"/>
          </w:tcPr>
          <w:p w14:paraId="4BBE8C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航空垃圾</w:t>
            </w:r>
          </w:p>
        </w:tc>
        <w:tc>
          <w:tcPr>
            <w:tcW w:w="913" w:type="pct"/>
            <w:vAlign w:val="center"/>
          </w:tcPr>
          <w:p w14:paraId="7F4942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飞行途中及候机楼</w:t>
            </w:r>
          </w:p>
        </w:tc>
        <w:tc>
          <w:tcPr>
            <w:tcW w:w="915" w:type="pct"/>
            <w:vAlign w:val="center"/>
          </w:tcPr>
          <w:p w14:paraId="5BD1D2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有机物为主，一般固体废物</w:t>
            </w:r>
          </w:p>
        </w:tc>
        <w:tc>
          <w:tcPr>
            <w:tcW w:w="583" w:type="pct"/>
            <w:vAlign w:val="center"/>
          </w:tcPr>
          <w:p w14:paraId="29EDDB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1.2624</w:t>
            </w:r>
          </w:p>
        </w:tc>
        <w:tc>
          <w:tcPr>
            <w:tcW w:w="1431" w:type="pct"/>
            <w:vMerge w:val="restart"/>
            <w:vAlign w:val="center"/>
          </w:tcPr>
          <w:p w14:paraId="1D780B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新建1座约50m</w:t>
            </w:r>
            <w:r>
              <w:rPr>
                <w:rFonts w:hint="default" w:eastAsiaTheme="minorEastAsia"/>
                <w:color w:val="auto"/>
                <w:sz w:val="21"/>
                <w:szCs w:val="21"/>
                <w:highlight w:val="none"/>
                <w:vertAlign w:val="superscript"/>
              </w:rPr>
              <w:t>2</w:t>
            </w:r>
            <w:r>
              <w:rPr>
                <w:rFonts w:hint="default" w:eastAsiaTheme="minorEastAsia"/>
                <w:color w:val="auto"/>
                <w:sz w:val="21"/>
                <w:szCs w:val="21"/>
                <w:highlight w:val="none"/>
              </w:rPr>
              <w:t>的垃圾站及配套设施。收集后由精河县环卫管理部门统一清运</w:t>
            </w:r>
          </w:p>
        </w:tc>
      </w:tr>
      <w:tr w14:paraId="6EBB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58" w:type="pct"/>
            <w:vAlign w:val="center"/>
          </w:tcPr>
          <w:p w14:paraId="4CFB34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2</w:t>
            </w:r>
          </w:p>
        </w:tc>
        <w:tc>
          <w:tcPr>
            <w:tcW w:w="800" w:type="pct"/>
            <w:vAlign w:val="center"/>
          </w:tcPr>
          <w:p w14:paraId="7031AE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生活垃圾</w:t>
            </w:r>
          </w:p>
        </w:tc>
        <w:tc>
          <w:tcPr>
            <w:tcW w:w="913" w:type="pct"/>
            <w:vAlign w:val="center"/>
          </w:tcPr>
          <w:p w14:paraId="7DDA19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办公、生活活动</w:t>
            </w:r>
          </w:p>
        </w:tc>
        <w:tc>
          <w:tcPr>
            <w:tcW w:w="915" w:type="pct"/>
            <w:vAlign w:val="center"/>
          </w:tcPr>
          <w:p w14:paraId="4DBAC4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有机物为主，一般固体废物</w:t>
            </w:r>
          </w:p>
        </w:tc>
        <w:tc>
          <w:tcPr>
            <w:tcW w:w="583" w:type="pct"/>
            <w:vAlign w:val="center"/>
          </w:tcPr>
          <w:p w14:paraId="402415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lang w:val="en-US" w:eastAsia="zh-CN"/>
              </w:rPr>
            </w:pPr>
            <w:r>
              <w:rPr>
                <w:rFonts w:hint="eastAsia" w:eastAsiaTheme="minorEastAsia"/>
                <w:color w:val="auto"/>
                <w:sz w:val="21"/>
                <w:szCs w:val="21"/>
                <w:highlight w:val="none"/>
                <w:lang w:val="en-US" w:eastAsia="zh-CN"/>
              </w:rPr>
              <w:t>5.4750</w:t>
            </w:r>
          </w:p>
        </w:tc>
        <w:tc>
          <w:tcPr>
            <w:tcW w:w="1431" w:type="pct"/>
            <w:vMerge w:val="continue"/>
            <w:vAlign w:val="center"/>
          </w:tcPr>
          <w:p w14:paraId="1BDF99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p>
        </w:tc>
      </w:tr>
      <w:tr w14:paraId="1572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358" w:type="pct"/>
            <w:vAlign w:val="center"/>
          </w:tcPr>
          <w:p w14:paraId="067194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3</w:t>
            </w:r>
          </w:p>
        </w:tc>
        <w:tc>
          <w:tcPr>
            <w:tcW w:w="800" w:type="pct"/>
            <w:vAlign w:val="center"/>
          </w:tcPr>
          <w:p w14:paraId="6A2523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污泥</w:t>
            </w:r>
          </w:p>
        </w:tc>
        <w:tc>
          <w:tcPr>
            <w:tcW w:w="913" w:type="pct"/>
            <w:vAlign w:val="center"/>
          </w:tcPr>
          <w:p w14:paraId="5C2A1B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污水处理过程</w:t>
            </w:r>
          </w:p>
        </w:tc>
        <w:tc>
          <w:tcPr>
            <w:tcW w:w="915" w:type="pct"/>
            <w:vAlign w:val="center"/>
          </w:tcPr>
          <w:p w14:paraId="709EF8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一般固体废物</w:t>
            </w:r>
          </w:p>
        </w:tc>
        <w:tc>
          <w:tcPr>
            <w:tcW w:w="583" w:type="pct"/>
            <w:vAlign w:val="center"/>
          </w:tcPr>
          <w:p w14:paraId="533209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lang w:val="en-US" w:eastAsia="zh-CN"/>
              </w:rPr>
            </w:pPr>
            <w:r>
              <w:rPr>
                <w:rFonts w:hint="default" w:eastAsiaTheme="minorEastAsia"/>
                <w:color w:val="auto"/>
                <w:sz w:val="21"/>
                <w:szCs w:val="21"/>
                <w:highlight w:val="none"/>
              </w:rPr>
              <w:t>0.2515</w:t>
            </w:r>
          </w:p>
        </w:tc>
        <w:tc>
          <w:tcPr>
            <w:tcW w:w="1431" w:type="pct"/>
            <w:vAlign w:val="center"/>
          </w:tcPr>
          <w:p w14:paraId="1D8268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eastAsia" w:eastAsiaTheme="minorEastAsia"/>
                <w:color w:val="auto"/>
                <w:sz w:val="21"/>
                <w:szCs w:val="21"/>
                <w:highlight w:val="none"/>
              </w:rPr>
              <w:t>委托场外有处置能力的单位定期进行减量化、无害化处置</w:t>
            </w:r>
          </w:p>
        </w:tc>
      </w:tr>
      <w:tr w14:paraId="6914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358" w:type="pct"/>
            <w:vAlign w:val="center"/>
          </w:tcPr>
          <w:p w14:paraId="3EE37A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4</w:t>
            </w:r>
          </w:p>
        </w:tc>
        <w:tc>
          <w:tcPr>
            <w:tcW w:w="800" w:type="pct"/>
            <w:vAlign w:val="center"/>
          </w:tcPr>
          <w:p w14:paraId="1E2701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eastAsia" w:eastAsiaTheme="minorEastAsia"/>
                <w:color w:val="auto"/>
                <w:sz w:val="21"/>
                <w:szCs w:val="21"/>
                <w:highlight w:val="none"/>
              </w:rPr>
              <w:t>污油、油泥</w:t>
            </w:r>
          </w:p>
        </w:tc>
        <w:tc>
          <w:tcPr>
            <w:tcW w:w="913" w:type="pct"/>
            <w:vAlign w:val="center"/>
          </w:tcPr>
          <w:p w14:paraId="33C789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lang w:val="en-US" w:eastAsia="zh-CN"/>
              </w:rPr>
            </w:pPr>
            <w:r>
              <w:rPr>
                <w:rFonts w:hint="eastAsia" w:eastAsiaTheme="minorEastAsia"/>
                <w:color w:val="auto"/>
                <w:sz w:val="21"/>
                <w:szCs w:val="21"/>
                <w:highlight w:val="none"/>
                <w:lang w:val="en-US" w:eastAsia="zh-CN"/>
              </w:rPr>
              <w:t>加油区/油车棚</w:t>
            </w:r>
          </w:p>
        </w:tc>
        <w:tc>
          <w:tcPr>
            <w:tcW w:w="915" w:type="pct"/>
            <w:vAlign w:val="center"/>
          </w:tcPr>
          <w:p w14:paraId="54E1FF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危险废物</w:t>
            </w:r>
          </w:p>
        </w:tc>
        <w:tc>
          <w:tcPr>
            <w:tcW w:w="583" w:type="pct"/>
            <w:vAlign w:val="center"/>
          </w:tcPr>
          <w:p w14:paraId="1713C7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0.5</w:t>
            </w:r>
          </w:p>
        </w:tc>
        <w:tc>
          <w:tcPr>
            <w:tcW w:w="1431" w:type="pct"/>
            <w:vMerge w:val="restart"/>
            <w:vAlign w:val="center"/>
          </w:tcPr>
          <w:p w14:paraId="213D0F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eastAsia="宋体"/>
                <w:color w:val="auto"/>
                <w:sz w:val="21"/>
                <w:szCs w:val="21"/>
                <w:highlight w:val="none"/>
                <w:lang w:eastAsia="zh-CN"/>
              </w:rPr>
            </w:pPr>
            <w:r>
              <w:rPr>
                <w:rFonts w:hint="default" w:eastAsia="宋体"/>
                <w:color w:val="auto"/>
                <w:kern w:val="0"/>
                <w:sz w:val="21"/>
                <w:szCs w:val="20"/>
                <w:highlight w:val="none"/>
              </w:rPr>
              <w:t>在危废贮存点内暂存，委托有资质的单位处理</w:t>
            </w:r>
          </w:p>
        </w:tc>
      </w:tr>
      <w:tr w14:paraId="2D7F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358" w:type="pct"/>
            <w:vAlign w:val="center"/>
          </w:tcPr>
          <w:p w14:paraId="2264DA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5</w:t>
            </w:r>
          </w:p>
        </w:tc>
        <w:tc>
          <w:tcPr>
            <w:tcW w:w="800" w:type="pct"/>
            <w:vAlign w:val="center"/>
          </w:tcPr>
          <w:p w14:paraId="5F0A5B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废机油</w:t>
            </w:r>
          </w:p>
        </w:tc>
        <w:tc>
          <w:tcPr>
            <w:tcW w:w="913" w:type="pct"/>
            <w:vAlign w:val="center"/>
          </w:tcPr>
          <w:p w14:paraId="505192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维修间</w:t>
            </w:r>
          </w:p>
        </w:tc>
        <w:tc>
          <w:tcPr>
            <w:tcW w:w="915" w:type="pct"/>
            <w:vAlign w:val="center"/>
          </w:tcPr>
          <w:p w14:paraId="6E88A9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危险废物</w:t>
            </w:r>
          </w:p>
        </w:tc>
        <w:tc>
          <w:tcPr>
            <w:tcW w:w="583" w:type="pct"/>
            <w:vAlign w:val="center"/>
          </w:tcPr>
          <w:p w14:paraId="70CA75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default" w:eastAsiaTheme="minorEastAsia"/>
                <w:color w:val="auto"/>
                <w:sz w:val="21"/>
                <w:szCs w:val="21"/>
                <w:highlight w:val="none"/>
              </w:rPr>
              <w:t>0.01</w:t>
            </w:r>
          </w:p>
        </w:tc>
        <w:tc>
          <w:tcPr>
            <w:tcW w:w="1431" w:type="pct"/>
            <w:vMerge w:val="continue"/>
            <w:vAlign w:val="center"/>
          </w:tcPr>
          <w:p w14:paraId="7DF8E2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p>
        </w:tc>
      </w:tr>
    </w:tbl>
    <w:p w14:paraId="5325CA7A">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运营期生态</w:t>
      </w:r>
      <w:r>
        <w:rPr>
          <w:rFonts w:hint="eastAsia" w:cs="Times New Roman"/>
          <w:b/>
          <w:bCs/>
          <w:color w:val="auto"/>
          <w:kern w:val="2"/>
          <w:sz w:val="24"/>
          <w:szCs w:val="24"/>
          <w:highlight w:val="none"/>
          <w:lang w:val="en-US" w:eastAsia="zh-CN" w:bidi="ar-SA"/>
        </w:rPr>
        <w:t>影响因素</w:t>
      </w:r>
    </w:p>
    <w:p w14:paraId="5F00B95D">
      <w:pPr>
        <w:pageBreakBefore w:val="0"/>
        <w:widowControl/>
        <w:kinsoku/>
        <w:wordWrap/>
        <w:overflowPunct/>
        <w:autoSpaceDE w:val="0"/>
        <w:autoSpaceDN w:val="0"/>
        <w:bidi w:val="0"/>
        <w:ind w:firstLine="480" w:firstLineChars="200"/>
        <w:jc w:val="left"/>
        <w:rPr>
          <w:color w:val="auto"/>
          <w:highlight w:val="none"/>
        </w:rPr>
      </w:pPr>
      <w:r>
        <w:rPr>
          <w:rFonts w:hint="eastAsia" w:ascii="Times New Roman" w:hAnsi="Times New Roman" w:eastAsia="宋体" w:cs="Times New Roman"/>
          <w:color w:val="auto"/>
          <w:szCs w:val="21"/>
          <w:highlight w:val="none"/>
          <w:lang w:eastAsia="zh-CN"/>
        </w:rPr>
        <w:t>运营期主要生态影响因素为机场占地和</w:t>
      </w:r>
      <w:r>
        <w:rPr>
          <w:rFonts w:hint="eastAsia" w:cs="Times New Roman"/>
          <w:color w:val="auto"/>
          <w:szCs w:val="21"/>
          <w:highlight w:val="none"/>
          <w:lang w:val="en-US" w:eastAsia="zh-CN"/>
        </w:rPr>
        <w:t>航空器</w:t>
      </w:r>
      <w:r>
        <w:rPr>
          <w:rFonts w:hint="eastAsia" w:ascii="Times New Roman" w:hAnsi="Times New Roman" w:eastAsia="宋体" w:cs="Times New Roman"/>
          <w:color w:val="auto"/>
          <w:szCs w:val="21"/>
          <w:highlight w:val="none"/>
          <w:lang w:eastAsia="zh-CN"/>
        </w:rPr>
        <w:t>飞行活动对野生动</w:t>
      </w:r>
      <w:r>
        <w:rPr>
          <w:rFonts w:hint="eastAsia" w:cs="Times New Roman"/>
          <w:color w:val="auto"/>
          <w:szCs w:val="21"/>
          <w:highlight w:val="none"/>
          <w:lang w:eastAsia="zh-CN"/>
        </w:rPr>
        <w:t>、</w:t>
      </w:r>
      <w:r>
        <w:rPr>
          <w:rFonts w:hint="eastAsia" w:ascii="Times New Roman" w:hAnsi="Times New Roman" w:eastAsia="宋体" w:cs="Times New Roman"/>
          <w:color w:val="auto"/>
          <w:szCs w:val="21"/>
          <w:highlight w:val="none"/>
          <w:lang w:eastAsia="zh-CN"/>
        </w:rPr>
        <w:t>植物的影响、生态系统稳定性影响等</w:t>
      </w:r>
      <w:r>
        <w:rPr>
          <w:rFonts w:hint="eastAsia" w:cs="Times New Roman"/>
          <w:color w:val="auto"/>
          <w:szCs w:val="21"/>
          <w:highlight w:val="none"/>
          <w:lang w:eastAsia="zh-CN"/>
        </w:rPr>
        <w:t>。</w:t>
      </w:r>
    </w:p>
    <w:p w14:paraId="6FF6B6B0">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污染物排放汇总</w:t>
      </w:r>
    </w:p>
    <w:p w14:paraId="4D19721C">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cs="Times New Roman"/>
          <w:color w:val="auto"/>
          <w:szCs w:val="21"/>
          <w:highlight w:val="none"/>
          <w:lang w:eastAsia="zh-CN"/>
        </w:rPr>
        <w:t>项目</w:t>
      </w:r>
      <w:r>
        <w:rPr>
          <w:rFonts w:hint="eastAsia" w:cs="Times New Roman"/>
          <w:color w:val="auto"/>
          <w:szCs w:val="21"/>
          <w:highlight w:val="none"/>
          <w:lang w:val="en-US" w:eastAsia="zh-CN"/>
        </w:rPr>
        <w:t>运营期</w:t>
      </w:r>
      <w:r>
        <w:rPr>
          <w:rFonts w:ascii="Times New Roman" w:hAnsi="Times New Roman" w:eastAsia="宋体" w:cs="Times New Roman"/>
          <w:color w:val="auto"/>
          <w:szCs w:val="21"/>
          <w:highlight w:val="none"/>
        </w:rPr>
        <w:t>主要污染物排放情况参见</w:t>
      </w:r>
      <w:r>
        <w:rPr>
          <w:rFonts w:hint="eastAsia" w:cs="Times New Roman"/>
          <w:color w:val="auto"/>
          <w:szCs w:val="21"/>
          <w:highlight w:val="none"/>
          <w:lang w:val="en-US" w:eastAsia="zh-CN"/>
        </w:rPr>
        <w:t>下</w:t>
      </w:r>
      <w:r>
        <w:rPr>
          <w:rFonts w:ascii="Times New Roman" w:hAnsi="Times New Roman" w:eastAsia="宋体" w:cs="Times New Roman"/>
          <w:color w:val="auto"/>
          <w:szCs w:val="21"/>
          <w:highlight w:val="none"/>
        </w:rPr>
        <w:t>表。</w:t>
      </w:r>
    </w:p>
    <w:p w14:paraId="1353901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eastAsia="黑体" w:cs="Times New Roman"/>
          <w:b w:val="0"/>
          <w:bCs/>
          <w:color w:val="auto"/>
          <w:kern w:val="2"/>
          <w:sz w:val="21"/>
          <w:szCs w:val="21"/>
          <w:highlight w:val="none"/>
          <w:lang w:val="en-US" w:eastAsia="zh-CN" w:bidi="ar-SA"/>
        </w:rPr>
      </w:pPr>
      <w:r>
        <w:rPr>
          <w:rFonts w:ascii="Times New Roman" w:hAnsi="Times New Roman" w:eastAsia="黑体" w:cs="Times New Roman"/>
          <w:b w:val="0"/>
          <w:bCs/>
          <w:color w:val="auto"/>
          <w:kern w:val="2"/>
          <w:sz w:val="21"/>
          <w:szCs w:val="21"/>
          <w:highlight w:val="none"/>
          <w:lang w:val="en-US" w:eastAsia="zh-CN" w:bidi="ar-SA"/>
        </w:rPr>
        <w:t>表</w:t>
      </w:r>
      <w:r>
        <w:rPr>
          <w:rFonts w:hint="eastAsia" w:eastAsia="黑体" w:cs="Times New Roman"/>
          <w:b w:val="0"/>
          <w:bCs/>
          <w:color w:val="auto"/>
          <w:kern w:val="2"/>
          <w:sz w:val="21"/>
          <w:szCs w:val="21"/>
          <w:highlight w:val="none"/>
          <w:lang w:val="en-US" w:eastAsia="zh-CN" w:bidi="ar-SA"/>
        </w:rPr>
        <w:t>3.5</w:t>
      </w:r>
      <w:r>
        <w:rPr>
          <w:rFonts w:hint="eastAsia" w:ascii="Times New Roman" w:hAnsi="Times New Roman" w:eastAsia="黑体" w:cs="Times New Roman"/>
          <w:b w:val="0"/>
          <w:bCs/>
          <w:color w:val="auto"/>
          <w:kern w:val="2"/>
          <w:sz w:val="21"/>
          <w:szCs w:val="21"/>
          <w:highlight w:val="none"/>
          <w:lang w:val="en-US" w:eastAsia="zh-CN" w:bidi="ar-SA"/>
        </w:rPr>
        <w:t>-1</w:t>
      </w:r>
      <w:r>
        <w:rPr>
          <w:rFonts w:hint="eastAsia" w:eastAsia="黑体" w:cs="Times New Roman"/>
          <w:b w:val="0"/>
          <w:bCs/>
          <w:color w:val="auto"/>
          <w:kern w:val="2"/>
          <w:sz w:val="21"/>
          <w:szCs w:val="21"/>
          <w:highlight w:val="none"/>
          <w:lang w:val="en-US" w:eastAsia="zh-CN" w:bidi="ar-SA"/>
        </w:rPr>
        <w:t>7</w:t>
      </w:r>
      <w:r>
        <w:rPr>
          <w:rFonts w:ascii="Times New Roman" w:hAnsi="Times New Roman" w:eastAsia="黑体" w:cs="Times New Roman"/>
          <w:b w:val="0"/>
          <w:bCs/>
          <w:color w:val="auto"/>
          <w:kern w:val="2"/>
          <w:sz w:val="21"/>
          <w:szCs w:val="21"/>
          <w:highlight w:val="none"/>
          <w:lang w:val="en-US" w:eastAsia="zh-CN" w:bidi="ar-SA"/>
        </w:rPr>
        <w:t xml:space="preserve"> 运营期污染物排放汇总</w:t>
      </w:r>
      <w:r>
        <w:rPr>
          <w:rFonts w:hint="eastAsia" w:eastAsia="黑体" w:cs="Times New Roman"/>
          <w:b w:val="0"/>
          <w:bCs/>
          <w:color w:val="auto"/>
          <w:kern w:val="2"/>
          <w:sz w:val="21"/>
          <w:szCs w:val="21"/>
          <w:highlight w:val="none"/>
          <w:lang w:val="en-US" w:eastAsia="zh-CN" w:bidi="ar-SA"/>
        </w:rPr>
        <w:t>表</w:t>
      </w:r>
    </w:p>
    <w:tbl>
      <w:tblPr>
        <w:tblStyle w:val="5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1464"/>
        <w:gridCol w:w="1959"/>
        <w:gridCol w:w="2185"/>
        <w:gridCol w:w="2312"/>
      </w:tblGrid>
      <w:tr w14:paraId="2535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517" w:type="pct"/>
            <w:vAlign w:val="center"/>
          </w:tcPr>
          <w:p w14:paraId="746B03D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bookmarkStart w:id="224" w:name="_Hlk127736727"/>
            <w:r>
              <w:rPr>
                <w:rFonts w:hint="default"/>
                <w:color w:val="auto"/>
                <w:sz w:val="21"/>
                <w:szCs w:val="21"/>
                <w:highlight w:val="none"/>
              </w:rPr>
              <w:t>内容</w:t>
            </w:r>
          </w:p>
          <w:p w14:paraId="22F5A7DC">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类型</w:t>
            </w:r>
          </w:p>
        </w:tc>
        <w:tc>
          <w:tcPr>
            <w:tcW w:w="828" w:type="pct"/>
            <w:vAlign w:val="center"/>
          </w:tcPr>
          <w:p w14:paraId="019C8B0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排放源</w:t>
            </w:r>
          </w:p>
        </w:tc>
        <w:tc>
          <w:tcPr>
            <w:tcW w:w="1108" w:type="pct"/>
            <w:vAlign w:val="center"/>
          </w:tcPr>
          <w:p w14:paraId="5F9AFAFB">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污染物名称</w:t>
            </w:r>
          </w:p>
        </w:tc>
        <w:tc>
          <w:tcPr>
            <w:tcW w:w="1236" w:type="pct"/>
            <w:vAlign w:val="center"/>
          </w:tcPr>
          <w:p w14:paraId="06EAE79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产生量（t/a）</w:t>
            </w:r>
          </w:p>
        </w:tc>
        <w:tc>
          <w:tcPr>
            <w:tcW w:w="1308" w:type="pct"/>
            <w:vAlign w:val="center"/>
          </w:tcPr>
          <w:p w14:paraId="4ED8A67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排放量（t/a）</w:t>
            </w:r>
          </w:p>
        </w:tc>
      </w:tr>
      <w:tr w14:paraId="1C02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restart"/>
            <w:vAlign w:val="center"/>
          </w:tcPr>
          <w:p w14:paraId="0C26A104">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eastAsia"/>
                <w:color w:val="auto"/>
                <w:sz w:val="21"/>
                <w:szCs w:val="21"/>
                <w:highlight w:val="none"/>
              </w:rPr>
              <w:t>噪声</w:t>
            </w:r>
          </w:p>
        </w:tc>
        <w:tc>
          <w:tcPr>
            <w:tcW w:w="828" w:type="pct"/>
            <w:shd w:val="clear" w:color="auto" w:fill="auto"/>
            <w:vAlign w:val="center"/>
          </w:tcPr>
          <w:p w14:paraId="29040A42">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航空器</w:t>
            </w:r>
          </w:p>
        </w:tc>
        <w:tc>
          <w:tcPr>
            <w:tcW w:w="1108" w:type="pct"/>
            <w:shd w:val="clear" w:color="auto" w:fill="auto"/>
            <w:vAlign w:val="center"/>
          </w:tcPr>
          <w:p w14:paraId="375EE913">
            <w:pPr>
              <w:keepNext w:val="0"/>
              <w:keepLines w:val="0"/>
              <w:widowControl w:val="0"/>
              <w:suppressLineNumbers w:val="0"/>
              <w:spacing w:before="0" w:beforeAutospacing="0" w:after="0" w:afterAutospacing="0" w:line="240" w:lineRule="atLeast"/>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航空器噪声</w:t>
            </w:r>
          </w:p>
        </w:tc>
        <w:tc>
          <w:tcPr>
            <w:tcW w:w="1236" w:type="pct"/>
            <w:shd w:val="clear" w:color="auto" w:fill="auto"/>
            <w:vAlign w:val="center"/>
          </w:tcPr>
          <w:p w14:paraId="5677067E">
            <w:pPr>
              <w:keepNext w:val="0"/>
              <w:keepLines w:val="0"/>
              <w:widowControl w:val="0"/>
              <w:suppressLineNumbers w:val="0"/>
              <w:spacing w:before="0" w:beforeAutospacing="0" w:after="0" w:afterAutospacing="0" w:line="240" w:lineRule="atLeast"/>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
              </w:rPr>
              <w:t>84.0</w:t>
            </w:r>
            <w:r>
              <w:rPr>
                <w:rFonts w:hint="eastAsia" w:cs="Times New Roman"/>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100.1dB</w:t>
            </w:r>
          </w:p>
        </w:tc>
        <w:tc>
          <w:tcPr>
            <w:tcW w:w="1308" w:type="pct"/>
            <w:vAlign w:val="center"/>
          </w:tcPr>
          <w:p w14:paraId="6AF38885">
            <w:pPr>
              <w:keepNext w:val="0"/>
              <w:keepLines w:val="0"/>
              <w:widowControl w:val="0"/>
              <w:suppressLineNumbers w:val="0"/>
              <w:spacing w:before="0" w:beforeAutospacing="0" w:after="0" w:afterAutospacing="0" w:line="240" w:lineRule="atLeast"/>
              <w:ind w:left="0" w:leftChars="0" w:right="0" w:rightChars="0" w:firstLine="0" w:firstLineChars="0"/>
              <w:jc w:val="center"/>
              <w:rPr>
                <w:rFonts w:hint="default"/>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≤70dB</w:t>
            </w:r>
          </w:p>
        </w:tc>
      </w:tr>
      <w:tr w14:paraId="05EF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2B081D3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shd w:val="clear" w:color="auto" w:fill="auto"/>
            <w:vAlign w:val="center"/>
          </w:tcPr>
          <w:p w14:paraId="140F29F7">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场内</w:t>
            </w:r>
            <w:r>
              <w:rPr>
                <w:rFonts w:hint="eastAsia" w:ascii="Times New Roman" w:hAnsi="Times New Roman" w:eastAsia="宋体" w:cs="Times New Roman"/>
                <w:color w:val="auto"/>
                <w:kern w:val="2"/>
                <w:sz w:val="21"/>
                <w:szCs w:val="21"/>
                <w:highlight w:val="none"/>
                <w:lang w:val="en-US" w:eastAsia="zh-CN" w:bidi="ar-SA"/>
              </w:rPr>
              <w:t>设备</w:t>
            </w:r>
          </w:p>
        </w:tc>
        <w:tc>
          <w:tcPr>
            <w:tcW w:w="1108" w:type="pct"/>
            <w:shd w:val="clear" w:color="auto" w:fill="auto"/>
            <w:vAlign w:val="center"/>
          </w:tcPr>
          <w:p w14:paraId="6021BBF8">
            <w:pPr>
              <w:keepNext w:val="0"/>
              <w:keepLines w:val="0"/>
              <w:widowControl w:val="0"/>
              <w:suppressLineNumbers w:val="0"/>
              <w:spacing w:before="0" w:beforeAutospacing="0" w:after="0" w:afterAutospacing="0" w:line="240" w:lineRule="atLeast"/>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设备噪声</w:t>
            </w:r>
          </w:p>
        </w:tc>
        <w:tc>
          <w:tcPr>
            <w:tcW w:w="1236" w:type="pct"/>
            <w:shd w:val="clear" w:color="auto" w:fill="auto"/>
            <w:vAlign w:val="center"/>
          </w:tcPr>
          <w:p w14:paraId="0A42D225">
            <w:pPr>
              <w:keepNext w:val="0"/>
              <w:keepLines w:val="0"/>
              <w:widowControl w:val="0"/>
              <w:suppressLineNumbers w:val="0"/>
              <w:spacing w:before="0" w:beforeAutospacing="0" w:after="0" w:afterAutospacing="0" w:line="240" w:lineRule="atLeast"/>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
              </w:rPr>
              <w:t>70.0</w:t>
            </w:r>
            <w:r>
              <w:rPr>
                <w:rFonts w:hint="eastAsia" w:cs="Times New Roman"/>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110dB</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A</w:t>
            </w:r>
            <w:r>
              <w:rPr>
                <w:rFonts w:hint="eastAsia" w:cs="Times New Roman"/>
                <w:color w:val="auto"/>
                <w:kern w:val="2"/>
                <w:sz w:val="21"/>
                <w:szCs w:val="21"/>
                <w:highlight w:val="none"/>
                <w:lang w:val="en-US" w:eastAsia="zh-CN" w:bidi="ar"/>
              </w:rPr>
              <w:t>)</w:t>
            </w:r>
          </w:p>
        </w:tc>
        <w:tc>
          <w:tcPr>
            <w:tcW w:w="1308" w:type="pct"/>
            <w:vAlign w:val="center"/>
          </w:tcPr>
          <w:p w14:paraId="5460D04C">
            <w:pPr>
              <w:keepNext w:val="0"/>
              <w:keepLines w:val="0"/>
              <w:widowControl w:val="0"/>
              <w:suppressLineNumbers w:val="0"/>
              <w:spacing w:before="0" w:beforeAutospacing="0" w:after="0" w:afterAutospacing="0" w:line="240" w:lineRule="atLeast"/>
              <w:ind w:left="0" w:leftChars="0" w:right="0" w:rightChars="0" w:firstLine="0" w:firstLineChars="0"/>
              <w:jc w:val="center"/>
              <w:rPr>
                <w:rFonts w:hint="default"/>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
              </w:rPr>
              <w:t>≤50dB</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A</w:t>
            </w:r>
            <w:r>
              <w:rPr>
                <w:rFonts w:hint="eastAsia" w:cs="Times New Roman"/>
                <w:color w:val="auto"/>
                <w:kern w:val="2"/>
                <w:sz w:val="21"/>
                <w:szCs w:val="21"/>
                <w:highlight w:val="none"/>
                <w:lang w:val="en-US" w:eastAsia="zh-CN" w:bidi="ar"/>
              </w:rPr>
              <w:t>)</w:t>
            </w:r>
          </w:p>
        </w:tc>
      </w:tr>
      <w:tr w14:paraId="0463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restart"/>
            <w:vAlign w:val="center"/>
          </w:tcPr>
          <w:p w14:paraId="50768507">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eastAsia="zh-CN"/>
              </w:rPr>
            </w:pPr>
            <w:r>
              <w:rPr>
                <w:rFonts w:hint="eastAsia"/>
                <w:color w:val="auto"/>
                <w:sz w:val="21"/>
                <w:szCs w:val="21"/>
                <w:highlight w:val="none"/>
                <w:lang w:val="en-US" w:eastAsia="zh-CN"/>
              </w:rPr>
              <w:t>无组织废气</w:t>
            </w:r>
          </w:p>
        </w:tc>
        <w:tc>
          <w:tcPr>
            <w:tcW w:w="828" w:type="pct"/>
            <w:vMerge w:val="restart"/>
            <w:vAlign w:val="center"/>
          </w:tcPr>
          <w:p w14:paraId="6867AC8A">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飞机尾气</w:t>
            </w:r>
          </w:p>
        </w:tc>
        <w:tc>
          <w:tcPr>
            <w:tcW w:w="1108" w:type="pct"/>
            <w:vAlign w:val="center"/>
          </w:tcPr>
          <w:p w14:paraId="7F5D2134">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CO</w:t>
            </w:r>
          </w:p>
        </w:tc>
        <w:tc>
          <w:tcPr>
            <w:tcW w:w="1236" w:type="pct"/>
            <w:vAlign w:val="center"/>
          </w:tcPr>
          <w:p w14:paraId="6EA032F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20.196</w:t>
            </w:r>
          </w:p>
        </w:tc>
        <w:tc>
          <w:tcPr>
            <w:tcW w:w="1308" w:type="pct"/>
            <w:vAlign w:val="center"/>
          </w:tcPr>
          <w:p w14:paraId="1BC61C11">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20.196</w:t>
            </w:r>
          </w:p>
        </w:tc>
      </w:tr>
      <w:tr w14:paraId="7216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61A08C5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635E1056">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259B74EB">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eastAsia"/>
                <w:color w:val="auto"/>
                <w:sz w:val="21"/>
                <w:szCs w:val="21"/>
                <w:highlight w:val="none"/>
              </w:rPr>
              <w:t>N</w:t>
            </w:r>
            <w:r>
              <w:rPr>
                <w:rFonts w:hint="default"/>
                <w:color w:val="auto"/>
                <w:sz w:val="21"/>
                <w:szCs w:val="21"/>
                <w:highlight w:val="none"/>
              </w:rPr>
              <w:t>MHC</w:t>
            </w:r>
          </w:p>
        </w:tc>
        <w:tc>
          <w:tcPr>
            <w:tcW w:w="1236" w:type="pct"/>
            <w:vAlign w:val="center"/>
          </w:tcPr>
          <w:p w14:paraId="3463EA5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5.148</w:t>
            </w:r>
          </w:p>
        </w:tc>
        <w:tc>
          <w:tcPr>
            <w:tcW w:w="1308" w:type="pct"/>
            <w:vAlign w:val="center"/>
          </w:tcPr>
          <w:p w14:paraId="388300AF">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5.148</w:t>
            </w:r>
          </w:p>
        </w:tc>
      </w:tr>
      <w:tr w14:paraId="5F77E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2F509C6F">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11B7B59E">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0CFB93B0">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SO</w:t>
            </w:r>
            <w:r>
              <w:rPr>
                <w:rFonts w:hint="default"/>
                <w:color w:val="auto"/>
                <w:sz w:val="21"/>
                <w:szCs w:val="21"/>
                <w:highlight w:val="none"/>
                <w:vertAlign w:val="subscript"/>
              </w:rPr>
              <w:t>2</w:t>
            </w:r>
          </w:p>
        </w:tc>
        <w:tc>
          <w:tcPr>
            <w:tcW w:w="1236" w:type="pct"/>
            <w:vAlign w:val="center"/>
          </w:tcPr>
          <w:p w14:paraId="2D03A300">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1308" w:type="pct"/>
            <w:vAlign w:val="center"/>
          </w:tcPr>
          <w:p w14:paraId="35D83DA0">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r>
      <w:tr w14:paraId="3EC0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375AC20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6717B554">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54D92D3E">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NO</w:t>
            </w:r>
            <w:r>
              <w:rPr>
                <w:rFonts w:hint="default"/>
                <w:color w:val="auto"/>
                <w:sz w:val="21"/>
                <w:szCs w:val="21"/>
                <w:highlight w:val="none"/>
                <w:vertAlign w:val="subscript"/>
              </w:rPr>
              <w:t>X</w:t>
            </w:r>
          </w:p>
        </w:tc>
        <w:tc>
          <w:tcPr>
            <w:tcW w:w="1236" w:type="pct"/>
            <w:vAlign w:val="center"/>
          </w:tcPr>
          <w:p w14:paraId="46FEE0F7">
            <w:pPr>
              <w:keepNext w:val="0"/>
              <w:keepLines w:val="0"/>
              <w:suppressLineNumbers w:val="0"/>
              <w:spacing w:before="0" w:beforeAutospacing="0" w:after="0" w:afterAutospacing="0" w:line="240" w:lineRule="atLeast"/>
              <w:ind w:left="0" w:right="0" w:firstLine="0"/>
              <w:jc w:val="center"/>
              <w:rPr>
                <w:rFonts w:hint="default" w:eastAsia="宋体"/>
                <w:color w:val="auto"/>
                <w:sz w:val="21"/>
                <w:szCs w:val="21"/>
                <w:highlight w:val="none"/>
                <w:lang w:val="en-US" w:eastAsia="zh-CN"/>
              </w:rPr>
            </w:pPr>
            <w:r>
              <w:rPr>
                <w:rFonts w:hint="default"/>
                <w:color w:val="auto"/>
                <w:sz w:val="21"/>
                <w:szCs w:val="21"/>
                <w:highlight w:val="none"/>
              </w:rPr>
              <w:t>11.237</w:t>
            </w:r>
          </w:p>
        </w:tc>
        <w:tc>
          <w:tcPr>
            <w:tcW w:w="1308" w:type="pct"/>
            <w:vAlign w:val="center"/>
          </w:tcPr>
          <w:p w14:paraId="2A47AEE3">
            <w:pPr>
              <w:keepNext w:val="0"/>
              <w:keepLines w:val="0"/>
              <w:suppressLineNumbers w:val="0"/>
              <w:spacing w:before="0" w:beforeAutospacing="0" w:after="0" w:afterAutospacing="0" w:line="240" w:lineRule="atLeast"/>
              <w:ind w:left="0" w:right="0" w:firstLine="0"/>
              <w:jc w:val="center"/>
              <w:rPr>
                <w:rFonts w:hint="default" w:eastAsia="宋体"/>
                <w:color w:val="auto"/>
                <w:sz w:val="21"/>
                <w:szCs w:val="21"/>
                <w:highlight w:val="none"/>
                <w:lang w:val="en-US" w:eastAsia="zh-CN"/>
              </w:rPr>
            </w:pPr>
            <w:r>
              <w:rPr>
                <w:rFonts w:hint="default"/>
                <w:color w:val="auto"/>
                <w:sz w:val="21"/>
                <w:szCs w:val="21"/>
                <w:highlight w:val="none"/>
              </w:rPr>
              <w:t>11.237</w:t>
            </w:r>
          </w:p>
        </w:tc>
      </w:tr>
      <w:tr w14:paraId="71BD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4E036CFE">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restart"/>
            <w:vAlign w:val="center"/>
          </w:tcPr>
          <w:p w14:paraId="141E74BE">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汽车尾气</w:t>
            </w:r>
          </w:p>
        </w:tc>
        <w:tc>
          <w:tcPr>
            <w:tcW w:w="1108" w:type="pct"/>
            <w:vAlign w:val="center"/>
          </w:tcPr>
          <w:p w14:paraId="01D64A26">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CO</w:t>
            </w:r>
          </w:p>
        </w:tc>
        <w:tc>
          <w:tcPr>
            <w:tcW w:w="1236" w:type="pct"/>
            <w:vAlign w:val="center"/>
          </w:tcPr>
          <w:p w14:paraId="2B32DB95">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0.446</w:t>
            </w:r>
          </w:p>
        </w:tc>
        <w:tc>
          <w:tcPr>
            <w:tcW w:w="1308" w:type="pct"/>
            <w:vAlign w:val="center"/>
          </w:tcPr>
          <w:p w14:paraId="20CC9256">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0.446</w:t>
            </w:r>
          </w:p>
        </w:tc>
      </w:tr>
      <w:tr w14:paraId="2BD5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24F5148F">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45DF9271">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5DD44074">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NMHC</w:t>
            </w:r>
          </w:p>
        </w:tc>
        <w:tc>
          <w:tcPr>
            <w:tcW w:w="1236" w:type="pct"/>
            <w:vAlign w:val="center"/>
          </w:tcPr>
          <w:p w14:paraId="33E49AE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0.044</w:t>
            </w:r>
          </w:p>
        </w:tc>
        <w:tc>
          <w:tcPr>
            <w:tcW w:w="1308" w:type="pct"/>
            <w:vAlign w:val="center"/>
          </w:tcPr>
          <w:p w14:paraId="1F8B830B">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0.044</w:t>
            </w:r>
          </w:p>
        </w:tc>
      </w:tr>
      <w:tr w14:paraId="78024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452D6245">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5F07DFD6">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41B859FE">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NO</w:t>
            </w:r>
            <w:r>
              <w:rPr>
                <w:rFonts w:hint="default"/>
                <w:color w:val="auto"/>
                <w:sz w:val="21"/>
                <w:szCs w:val="21"/>
                <w:highlight w:val="none"/>
                <w:vertAlign w:val="subscript"/>
              </w:rPr>
              <w:t>X</w:t>
            </w:r>
          </w:p>
        </w:tc>
        <w:tc>
          <w:tcPr>
            <w:tcW w:w="1236" w:type="pct"/>
            <w:vAlign w:val="center"/>
          </w:tcPr>
          <w:p w14:paraId="3DC5CA97">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0.018</w:t>
            </w:r>
          </w:p>
        </w:tc>
        <w:tc>
          <w:tcPr>
            <w:tcW w:w="1308" w:type="pct"/>
            <w:vAlign w:val="center"/>
          </w:tcPr>
          <w:p w14:paraId="037C13AF">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0.018</w:t>
            </w:r>
          </w:p>
        </w:tc>
      </w:tr>
      <w:tr w14:paraId="2476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3A100CBA">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Align w:val="center"/>
          </w:tcPr>
          <w:p w14:paraId="721FF007">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val="en-US" w:eastAsia="zh-CN"/>
              </w:rPr>
            </w:pPr>
            <w:r>
              <w:rPr>
                <w:rFonts w:hint="eastAsia"/>
                <w:color w:val="auto"/>
                <w:sz w:val="21"/>
                <w:szCs w:val="21"/>
                <w:highlight w:val="none"/>
              </w:rPr>
              <w:t>油车棚</w:t>
            </w:r>
            <w:r>
              <w:rPr>
                <w:rFonts w:hint="eastAsia"/>
                <w:color w:val="auto"/>
                <w:sz w:val="21"/>
                <w:szCs w:val="21"/>
                <w:highlight w:val="none"/>
                <w:lang w:val="en-US" w:eastAsia="zh-CN"/>
              </w:rPr>
              <w:t>内罐式加油车</w:t>
            </w:r>
          </w:p>
        </w:tc>
        <w:tc>
          <w:tcPr>
            <w:tcW w:w="1108" w:type="pct"/>
            <w:vAlign w:val="center"/>
          </w:tcPr>
          <w:p w14:paraId="16EADD05">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NMHC</w:t>
            </w:r>
          </w:p>
        </w:tc>
        <w:tc>
          <w:tcPr>
            <w:tcW w:w="1236" w:type="pct"/>
            <w:vAlign w:val="center"/>
          </w:tcPr>
          <w:p w14:paraId="29E8CD7D">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eastAsia="zh-CN"/>
              </w:rPr>
            </w:pPr>
            <w:r>
              <w:rPr>
                <w:rFonts w:hint="default"/>
                <w:color w:val="auto"/>
                <w:sz w:val="21"/>
                <w:szCs w:val="21"/>
                <w:highlight w:val="none"/>
              </w:rPr>
              <w:t>0.04</w:t>
            </w:r>
            <w:r>
              <w:rPr>
                <w:rFonts w:hint="eastAsia"/>
                <w:color w:val="auto"/>
                <w:sz w:val="21"/>
                <w:szCs w:val="21"/>
                <w:highlight w:val="none"/>
                <w:lang w:val="en-US" w:eastAsia="zh-CN"/>
              </w:rPr>
              <w:t>6</w:t>
            </w:r>
          </w:p>
        </w:tc>
        <w:tc>
          <w:tcPr>
            <w:tcW w:w="1308" w:type="pct"/>
            <w:vAlign w:val="center"/>
          </w:tcPr>
          <w:p w14:paraId="2BF9908E">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eastAsia="zh-CN"/>
              </w:rPr>
            </w:pPr>
            <w:r>
              <w:rPr>
                <w:rFonts w:hint="default"/>
                <w:color w:val="auto"/>
                <w:sz w:val="21"/>
                <w:szCs w:val="21"/>
                <w:highlight w:val="none"/>
              </w:rPr>
              <w:t>0.04</w:t>
            </w:r>
            <w:r>
              <w:rPr>
                <w:rFonts w:hint="eastAsia"/>
                <w:color w:val="auto"/>
                <w:sz w:val="21"/>
                <w:szCs w:val="21"/>
                <w:highlight w:val="none"/>
                <w:lang w:val="en-US" w:eastAsia="zh-CN"/>
              </w:rPr>
              <w:t>6</w:t>
            </w:r>
          </w:p>
        </w:tc>
      </w:tr>
      <w:tr w14:paraId="63E8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3E107CC6">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Align w:val="center"/>
          </w:tcPr>
          <w:p w14:paraId="7657A93B">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食堂</w:t>
            </w:r>
          </w:p>
        </w:tc>
        <w:tc>
          <w:tcPr>
            <w:tcW w:w="1108" w:type="pct"/>
            <w:shd w:val="clear" w:color="auto" w:fill="auto"/>
            <w:vAlign w:val="center"/>
          </w:tcPr>
          <w:p w14:paraId="063D846C">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食堂</w:t>
            </w:r>
            <w:r>
              <w:rPr>
                <w:rFonts w:hint="default"/>
                <w:color w:val="auto"/>
                <w:sz w:val="21"/>
                <w:szCs w:val="21"/>
                <w:highlight w:val="none"/>
              </w:rPr>
              <w:t>油烟</w:t>
            </w:r>
          </w:p>
        </w:tc>
        <w:tc>
          <w:tcPr>
            <w:tcW w:w="1236" w:type="pct"/>
            <w:shd w:val="clear" w:color="auto" w:fill="auto"/>
            <w:vAlign w:val="center"/>
          </w:tcPr>
          <w:p w14:paraId="6AE2D4C6">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0.005</w:t>
            </w:r>
          </w:p>
        </w:tc>
        <w:tc>
          <w:tcPr>
            <w:tcW w:w="1308" w:type="pct"/>
            <w:shd w:val="clear" w:color="auto" w:fill="auto"/>
            <w:vAlign w:val="center"/>
          </w:tcPr>
          <w:p w14:paraId="239F0113">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0.005</w:t>
            </w:r>
          </w:p>
        </w:tc>
      </w:tr>
      <w:tr w14:paraId="33DB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37E08A9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restart"/>
            <w:vAlign w:val="center"/>
          </w:tcPr>
          <w:p w14:paraId="26F0F7A1">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污水处理站</w:t>
            </w:r>
          </w:p>
        </w:tc>
        <w:tc>
          <w:tcPr>
            <w:tcW w:w="1108" w:type="pct"/>
            <w:vAlign w:val="center"/>
          </w:tcPr>
          <w:p w14:paraId="0ADB4C3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NH</w:t>
            </w:r>
            <w:r>
              <w:rPr>
                <w:rFonts w:hint="default"/>
                <w:color w:val="auto"/>
                <w:sz w:val="21"/>
                <w:szCs w:val="21"/>
                <w:highlight w:val="none"/>
                <w:vertAlign w:val="subscript"/>
              </w:rPr>
              <w:t>3</w:t>
            </w:r>
          </w:p>
        </w:tc>
        <w:tc>
          <w:tcPr>
            <w:tcW w:w="1236" w:type="pct"/>
            <w:vAlign w:val="center"/>
          </w:tcPr>
          <w:p w14:paraId="0C129002">
            <w:pPr>
              <w:keepNext w:val="0"/>
              <w:keepLines w:val="0"/>
              <w:suppressLineNumbers w:val="0"/>
              <w:spacing w:before="0" w:beforeAutospacing="0" w:after="0" w:afterAutospacing="0" w:line="240" w:lineRule="atLeast"/>
              <w:ind w:left="0" w:right="0" w:firstLine="0"/>
              <w:jc w:val="center"/>
              <w:rPr>
                <w:rFonts w:hint="default" w:eastAsia="宋体"/>
                <w:color w:val="auto"/>
                <w:sz w:val="21"/>
                <w:szCs w:val="21"/>
                <w:highlight w:val="none"/>
                <w:lang w:val="en-US" w:eastAsia="zh-CN"/>
              </w:rPr>
            </w:pPr>
            <w:r>
              <w:rPr>
                <w:rFonts w:hint="default"/>
                <w:color w:val="auto"/>
                <w:sz w:val="21"/>
                <w:szCs w:val="21"/>
                <w:highlight w:val="none"/>
              </w:rPr>
              <w:t>0.00</w:t>
            </w:r>
            <w:r>
              <w:rPr>
                <w:rFonts w:hint="eastAsia"/>
                <w:color w:val="auto"/>
                <w:sz w:val="21"/>
                <w:szCs w:val="21"/>
                <w:highlight w:val="none"/>
                <w:lang w:val="en-US" w:eastAsia="zh-CN"/>
              </w:rPr>
              <w:t>19</w:t>
            </w:r>
          </w:p>
        </w:tc>
        <w:tc>
          <w:tcPr>
            <w:tcW w:w="1308" w:type="pct"/>
            <w:vAlign w:val="center"/>
          </w:tcPr>
          <w:p w14:paraId="2C7508F5">
            <w:pPr>
              <w:keepNext w:val="0"/>
              <w:keepLines w:val="0"/>
              <w:suppressLineNumbers w:val="0"/>
              <w:spacing w:before="0" w:beforeAutospacing="0" w:after="0" w:afterAutospacing="0" w:line="240" w:lineRule="atLeast"/>
              <w:ind w:left="0" w:right="0" w:firstLine="0"/>
              <w:jc w:val="center"/>
              <w:rPr>
                <w:rFonts w:hint="default" w:eastAsia="宋体"/>
                <w:color w:val="auto"/>
                <w:sz w:val="21"/>
                <w:szCs w:val="21"/>
                <w:highlight w:val="none"/>
                <w:lang w:val="en-US" w:eastAsia="zh-CN"/>
              </w:rPr>
            </w:pPr>
            <w:r>
              <w:rPr>
                <w:rFonts w:hint="default"/>
                <w:color w:val="auto"/>
                <w:sz w:val="21"/>
                <w:szCs w:val="21"/>
                <w:highlight w:val="none"/>
              </w:rPr>
              <w:t>0.00</w:t>
            </w:r>
            <w:r>
              <w:rPr>
                <w:rFonts w:hint="eastAsia"/>
                <w:color w:val="auto"/>
                <w:sz w:val="21"/>
                <w:szCs w:val="21"/>
                <w:highlight w:val="none"/>
                <w:lang w:val="en-US" w:eastAsia="zh-CN"/>
              </w:rPr>
              <w:t>19</w:t>
            </w:r>
          </w:p>
        </w:tc>
      </w:tr>
      <w:tr w14:paraId="1E10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08415B60">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455C4EB1">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4FA07C24">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H</w:t>
            </w:r>
            <w:r>
              <w:rPr>
                <w:rFonts w:hint="default"/>
                <w:color w:val="auto"/>
                <w:sz w:val="21"/>
                <w:szCs w:val="21"/>
                <w:highlight w:val="none"/>
                <w:vertAlign w:val="subscript"/>
              </w:rPr>
              <w:t>2</w:t>
            </w:r>
            <w:r>
              <w:rPr>
                <w:rFonts w:hint="default"/>
                <w:color w:val="auto"/>
                <w:sz w:val="21"/>
                <w:szCs w:val="21"/>
                <w:highlight w:val="none"/>
              </w:rPr>
              <w:t>S</w:t>
            </w:r>
          </w:p>
        </w:tc>
        <w:tc>
          <w:tcPr>
            <w:tcW w:w="1236" w:type="pct"/>
            <w:vAlign w:val="center"/>
          </w:tcPr>
          <w:p w14:paraId="1C57322B">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eastAsia="zh-CN"/>
              </w:rPr>
            </w:pPr>
            <w:r>
              <w:rPr>
                <w:rFonts w:hint="default"/>
                <w:color w:val="auto"/>
                <w:sz w:val="21"/>
                <w:szCs w:val="21"/>
                <w:highlight w:val="none"/>
              </w:rPr>
              <w:t>0.000</w:t>
            </w:r>
            <w:r>
              <w:rPr>
                <w:rFonts w:hint="eastAsia"/>
                <w:color w:val="auto"/>
                <w:sz w:val="21"/>
                <w:szCs w:val="21"/>
                <w:highlight w:val="none"/>
                <w:lang w:val="en-US" w:eastAsia="zh-CN"/>
              </w:rPr>
              <w:t>1</w:t>
            </w:r>
          </w:p>
        </w:tc>
        <w:tc>
          <w:tcPr>
            <w:tcW w:w="1308" w:type="pct"/>
            <w:vAlign w:val="center"/>
          </w:tcPr>
          <w:p w14:paraId="5490B58B">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eastAsia="zh-CN"/>
              </w:rPr>
            </w:pPr>
            <w:r>
              <w:rPr>
                <w:rFonts w:hint="default"/>
                <w:color w:val="auto"/>
                <w:sz w:val="21"/>
                <w:szCs w:val="21"/>
                <w:highlight w:val="none"/>
              </w:rPr>
              <w:t>0.000</w:t>
            </w:r>
            <w:r>
              <w:rPr>
                <w:rFonts w:hint="eastAsia"/>
                <w:color w:val="auto"/>
                <w:sz w:val="21"/>
                <w:szCs w:val="21"/>
                <w:highlight w:val="none"/>
                <w:lang w:val="en-US" w:eastAsia="zh-CN"/>
              </w:rPr>
              <w:t>1</w:t>
            </w:r>
          </w:p>
        </w:tc>
      </w:tr>
      <w:tr w14:paraId="15CD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restart"/>
            <w:vAlign w:val="center"/>
          </w:tcPr>
          <w:p w14:paraId="509AD2AA">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eastAsia="zh-CN"/>
              </w:rPr>
            </w:pPr>
            <w:r>
              <w:rPr>
                <w:rFonts w:hint="eastAsia"/>
                <w:color w:val="auto"/>
                <w:sz w:val="21"/>
                <w:szCs w:val="21"/>
                <w:highlight w:val="none"/>
                <w:lang w:val="en-US" w:eastAsia="zh-CN"/>
              </w:rPr>
              <w:t>废水</w:t>
            </w:r>
          </w:p>
        </w:tc>
        <w:tc>
          <w:tcPr>
            <w:tcW w:w="828" w:type="pct"/>
            <w:vMerge w:val="restart"/>
            <w:vAlign w:val="center"/>
          </w:tcPr>
          <w:p w14:paraId="78BA5650">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混合废水</w:t>
            </w:r>
          </w:p>
        </w:tc>
        <w:tc>
          <w:tcPr>
            <w:tcW w:w="1108" w:type="pct"/>
            <w:vAlign w:val="center"/>
          </w:tcPr>
          <w:p w14:paraId="2802165E">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废水量</w:t>
            </w:r>
          </w:p>
        </w:tc>
        <w:tc>
          <w:tcPr>
            <w:tcW w:w="1236" w:type="pct"/>
            <w:vAlign w:val="center"/>
          </w:tcPr>
          <w:p w14:paraId="652A661F">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eastAsia"/>
                <w:color w:val="auto"/>
                <w:sz w:val="21"/>
                <w:szCs w:val="21"/>
                <w:highlight w:val="none"/>
              </w:rPr>
              <w:t>4191.66</w:t>
            </w:r>
          </w:p>
        </w:tc>
        <w:tc>
          <w:tcPr>
            <w:tcW w:w="1308" w:type="pct"/>
            <w:vAlign w:val="center"/>
          </w:tcPr>
          <w:p w14:paraId="63D6B5FE">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0</w:t>
            </w:r>
          </w:p>
        </w:tc>
      </w:tr>
      <w:tr w14:paraId="642C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0F3C5AAF">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04180067">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6CE193C7">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SS</w:t>
            </w:r>
          </w:p>
        </w:tc>
        <w:tc>
          <w:tcPr>
            <w:tcW w:w="1236" w:type="pct"/>
            <w:vAlign w:val="center"/>
          </w:tcPr>
          <w:p w14:paraId="08CB5BC0">
            <w:pPr>
              <w:keepNext w:val="0"/>
              <w:keepLines w:val="0"/>
              <w:suppressLineNumbers w:val="0"/>
              <w:spacing w:before="0" w:beforeAutospacing="0" w:after="0" w:afterAutospacing="0" w:line="240" w:lineRule="atLeast"/>
              <w:ind w:left="0" w:right="0" w:firstLine="0"/>
              <w:jc w:val="center"/>
              <w:rPr>
                <w:rFonts w:hint="eastAsia"/>
                <w:color w:val="auto"/>
                <w:sz w:val="21"/>
                <w:szCs w:val="21"/>
                <w:highlight w:val="none"/>
              </w:rPr>
            </w:pPr>
            <w:r>
              <w:rPr>
                <w:rFonts w:hint="eastAsia"/>
                <w:color w:val="auto"/>
                <w:sz w:val="21"/>
                <w:szCs w:val="21"/>
                <w:highlight w:val="none"/>
                <w:lang w:val="en-US" w:eastAsia="zh-CN"/>
              </w:rPr>
              <w:t>1.6767</w:t>
            </w:r>
          </w:p>
        </w:tc>
        <w:tc>
          <w:tcPr>
            <w:tcW w:w="1308" w:type="pct"/>
            <w:vAlign w:val="center"/>
          </w:tcPr>
          <w:p w14:paraId="57F6F4FE">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0</w:t>
            </w:r>
          </w:p>
        </w:tc>
      </w:tr>
      <w:tr w14:paraId="2C71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59149114">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72E22D97">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496AF69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COD</w:t>
            </w:r>
          </w:p>
        </w:tc>
        <w:tc>
          <w:tcPr>
            <w:tcW w:w="1236" w:type="pct"/>
            <w:vAlign w:val="center"/>
          </w:tcPr>
          <w:p w14:paraId="41CB1DBD">
            <w:pPr>
              <w:keepNext w:val="0"/>
              <w:keepLines w:val="0"/>
              <w:suppressLineNumbers w:val="0"/>
              <w:spacing w:before="0" w:beforeAutospacing="0" w:after="0" w:afterAutospacing="0" w:line="240" w:lineRule="atLeast"/>
              <w:ind w:left="0" w:right="0" w:firstLine="0"/>
              <w:jc w:val="center"/>
              <w:rPr>
                <w:rFonts w:hint="eastAsia"/>
                <w:color w:val="auto"/>
                <w:sz w:val="21"/>
                <w:szCs w:val="21"/>
                <w:highlight w:val="none"/>
              </w:rPr>
            </w:pPr>
            <w:r>
              <w:rPr>
                <w:rFonts w:hint="eastAsia"/>
                <w:color w:val="auto"/>
                <w:sz w:val="21"/>
                <w:szCs w:val="21"/>
                <w:highlight w:val="none"/>
                <w:lang w:val="en-US" w:eastAsia="zh-CN"/>
              </w:rPr>
              <w:t>1.0898</w:t>
            </w:r>
          </w:p>
        </w:tc>
        <w:tc>
          <w:tcPr>
            <w:tcW w:w="1308" w:type="pct"/>
            <w:vAlign w:val="center"/>
          </w:tcPr>
          <w:p w14:paraId="3FAAE3A7">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0</w:t>
            </w:r>
          </w:p>
        </w:tc>
      </w:tr>
      <w:tr w14:paraId="0E5A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7E071BEC">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01900976">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6BD46FE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BOD</w:t>
            </w:r>
            <w:r>
              <w:rPr>
                <w:rFonts w:hint="default"/>
                <w:color w:val="auto"/>
                <w:sz w:val="21"/>
                <w:szCs w:val="21"/>
                <w:highlight w:val="none"/>
                <w:vertAlign w:val="subscript"/>
              </w:rPr>
              <w:t>5</w:t>
            </w:r>
          </w:p>
        </w:tc>
        <w:tc>
          <w:tcPr>
            <w:tcW w:w="1236" w:type="pct"/>
            <w:vAlign w:val="center"/>
          </w:tcPr>
          <w:p w14:paraId="209E3BA6">
            <w:pPr>
              <w:keepNext w:val="0"/>
              <w:keepLines w:val="0"/>
              <w:suppressLineNumbers w:val="0"/>
              <w:spacing w:before="0" w:beforeAutospacing="0" w:after="0" w:afterAutospacing="0" w:line="240" w:lineRule="atLeast"/>
              <w:ind w:left="0" w:right="0" w:firstLine="0"/>
              <w:jc w:val="center"/>
              <w:rPr>
                <w:rFonts w:hint="eastAsia"/>
                <w:color w:val="auto"/>
                <w:sz w:val="21"/>
                <w:szCs w:val="21"/>
                <w:highlight w:val="none"/>
              </w:rPr>
            </w:pPr>
            <w:r>
              <w:rPr>
                <w:rFonts w:hint="eastAsia"/>
                <w:color w:val="auto"/>
                <w:sz w:val="21"/>
                <w:szCs w:val="21"/>
                <w:highlight w:val="none"/>
                <w:lang w:val="en-US" w:eastAsia="zh-CN"/>
              </w:rPr>
              <w:t>0.6287</w:t>
            </w:r>
          </w:p>
        </w:tc>
        <w:tc>
          <w:tcPr>
            <w:tcW w:w="1308" w:type="pct"/>
            <w:vAlign w:val="center"/>
          </w:tcPr>
          <w:p w14:paraId="7102D45A">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0</w:t>
            </w:r>
          </w:p>
        </w:tc>
      </w:tr>
      <w:tr w14:paraId="2235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1470966D">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56EA1904">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7F26C25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氨氮</w:t>
            </w:r>
          </w:p>
        </w:tc>
        <w:tc>
          <w:tcPr>
            <w:tcW w:w="1236" w:type="pct"/>
            <w:vAlign w:val="center"/>
          </w:tcPr>
          <w:p w14:paraId="2850203D">
            <w:pPr>
              <w:keepNext w:val="0"/>
              <w:keepLines w:val="0"/>
              <w:suppressLineNumbers w:val="0"/>
              <w:spacing w:before="0" w:beforeAutospacing="0" w:after="0" w:afterAutospacing="0" w:line="240" w:lineRule="atLeast"/>
              <w:ind w:left="0" w:right="0" w:firstLine="0"/>
              <w:jc w:val="center"/>
              <w:rPr>
                <w:rFonts w:hint="eastAsia"/>
                <w:color w:val="auto"/>
                <w:sz w:val="21"/>
                <w:szCs w:val="21"/>
                <w:highlight w:val="none"/>
              </w:rPr>
            </w:pPr>
            <w:r>
              <w:rPr>
                <w:rFonts w:hint="eastAsia"/>
                <w:color w:val="auto"/>
                <w:sz w:val="21"/>
                <w:szCs w:val="21"/>
                <w:highlight w:val="none"/>
                <w:lang w:val="en-US" w:eastAsia="zh-CN"/>
              </w:rPr>
              <w:t>0.1677</w:t>
            </w:r>
          </w:p>
        </w:tc>
        <w:tc>
          <w:tcPr>
            <w:tcW w:w="1308" w:type="pct"/>
            <w:vAlign w:val="center"/>
          </w:tcPr>
          <w:p w14:paraId="21670FFF">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0</w:t>
            </w:r>
          </w:p>
        </w:tc>
      </w:tr>
      <w:tr w14:paraId="21B7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restart"/>
            <w:vAlign w:val="center"/>
          </w:tcPr>
          <w:p w14:paraId="515D0277">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固体废物</w:t>
            </w:r>
          </w:p>
        </w:tc>
        <w:tc>
          <w:tcPr>
            <w:tcW w:w="828" w:type="pct"/>
            <w:shd w:val="clear" w:color="auto" w:fill="auto"/>
            <w:vAlign w:val="center"/>
          </w:tcPr>
          <w:p w14:paraId="46C4C83F">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航空垃圾</w:t>
            </w:r>
          </w:p>
        </w:tc>
        <w:tc>
          <w:tcPr>
            <w:tcW w:w="1108" w:type="pct"/>
            <w:shd w:val="clear" w:color="auto" w:fill="auto"/>
            <w:vAlign w:val="center"/>
          </w:tcPr>
          <w:p w14:paraId="1451312D">
            <w:pPr>
              <w:keepNext w:val="0"/>
              <w:keepLines w:val="0"/>
              <w:suppressLineNumbers w:val="0"/>
              <w:spacing w:before="0" w:beforeAutospacing="0" w:after="0" w:afterAutospacing="0" w:line="240" w:lineRule="atLeast"/>
              <w:ind w:left="0" w:right="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航空器、航站区</w:t>
            </w:r>
          </w:p>
        </w:tc>
        <w:tc>
          <w:tcPr>
            <w:tcW w:w="1236" w:type="pct"/>
            <w:shd w:val="clear" w:color="auto" w:fill="auto"/>
            <w:vAlign w:val="center"/>
          </w:tcPr>
          <w:p w14:paraId="6247C16F">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1.2624</w:t>
            </w:r>
          </w:p>
        </w:tc>
        <w:tc>
          <w:tcPr>
            <w:tcW w:w="1308" w:type="pct"/>
            <w:shd w:val="clear" w:color="auto" w:fill="auto"/>
            <w:vAlign w:val="center"/>
          </w:tcPr>
          <w:p w14:paraId="056E229F">
            <w:pPr>
              <w:keepNext w:val="0"/>
              <w:keepLines w:val="0"/>
              <w:suppressLineNumbers w:val="0"/>
              <w:spacing w:before="0" w:beforeAutospacing="0" w:after="0" w:afterAutospacing="0" w:line="240" w:lineRule="atLeast"/>
              <w:ind w:left="0" w:right="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w:t>
            </w:r>
          </w:p>
        </w:tc>
      </w:tr>
      <w:tr w14:paraId="0BC3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6251ADED">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shd w:val="clear" w:color="auto" w:fill="auto"/>
            <w:vAlign w:val="center"/>
          </w:tcPr>
          <w:p w14:paraId="08B5812E">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生活垃圾</w:t>
            </w:r>
          </w:p>
        </w:tc>
        <w:tc>
          <w:tcPr>
            <w:tcW w:w="1108" w:type="pct"/>
            <w:shd w:val="clear" w:color="auto" w:fill="auto"/>
            <w:vAlign w:val="center"/>
          </w:tcPr>
          <w:p w14:paraId="14558032">
            <w:pPr>
              <w:keepNext w:val="0"/>
              <w:keepLines w:val="0"/>
              <w:suppressLineNumbers w:val="0"/>
              <w:spacing w:before="0" w:beforeAutospacing="0" w:after="0" w:afterAutospacing="0" w:line="240" w:lineRule="atLeast"/>
              <w:ind w:left="0" w:right="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办公</w:t>
            </w:r>
            <w:r>
              <w:rPr>
                <w:rFonts w:hint="eastAsia"/>
                <w:color w:val="auto"/>
                <w:sz w:val="21"/>
                <w:szCs w:val="21"/>
                <w:highlight w:val="none"/>
                <w:lang w:val="en-US" w:eastAsia="zh-CN"/>
              </w:rPr>
              <w:t>区</w:t>
            </w:r>
            <w:r>
              <w:rPr>
                <w:rFonts w:hint="default"/>
                <w:color w:val="auto"/>
                <w:sz w:val="21"/>
                <w:szCs w:val="21"/>
                <w:highlight w:val="none"/>
              </w:rPr>
              <w:t>、生活</w:t>
            </w:r>
            <w:r>
              <w:rPr>
                <w:rFonts w:hint="eastAsia"/>
                <w:color w:val="auto"/>
                <w:sz w:val="21"/>
                <w:szCs w:val="21"/>
                <w:highlight w:val="none"/>
                <w:lang w:val="en-US" w:eastAsia="zh-CN"/>
              </w:rPr>
              <w:t>区</w:t>
            </w:r>
          </w:p>
        </w:tc>
        <w:tc>
          <w:tcPr>
            <w:tcW w:w="1236" w:type="pct"/>
            <w:shd w:val="clear" w:color="auto" w:fill="auto"/>
            <w:vAlign w:val="center"/>
          </w:tcPr>
          <w:p w14:paraId="7673DE81">
            <w:pPr>
              <w:keepNext w:val="0"/>
              <w:keepLines w:val="0"/>
              <w:suppressLineNumbers w:val="0"/>
              <w:spacing w:before="0" w:beforeAutospacing="0" w:after="0" w:afterAutospacing="0" w:line="240" w:lineRule="atLeast"/>
              <w:ind w:left="0" w:right="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5.475</w:t>
            </w:r>
            <w:r>
              <w:rPr>
                <w:rFonts w:hint="eastAsia"/>
                <w:color w:val="auto"/>
                <w:sz w:val="21"/>
                <w:szCs w:val="21"/>
                <w:highlight w:val="none"/>
                <w:lang w:val="en-US" w:eastAsia="zh-CN"/>
              </w:rPr>
              <w:t>0</w:t>
            </w:r>
          </w:p>
        </w:tc>
        <w:tc>
          <w:tcPr>
            <w:tcW w:w="1308" w:type="pct"/>
            <w:shd w:val="clear" w:color="auto" w:fill="auto"/>
            <w:vAlign w:val="center"/>
          </w:tcPr>
          <w:p w14:paraId="64B1ECCB">
            <w:pPr>
              <w:keepNext w:val="0"/>
              <w:keepLines w:val="0"/>
              <w:suppressLineNumbers w:val="0"/>
              <w:spacing w:before="0" w:beforeAutospacing="0" w:after="0" w:afterAutospacing="0" w:line="240" w:lineRule="atLeast"/>
              <w:ind w:left="0" w:right="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w:t>
            </w:r>
          </w:p>
        </w:tc>
      </w:tr>
      <w:tr w14:paraId="3DB9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285890DF">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shd w:val="clear" w:color="auto" w:fill="auto"/>
            <w:vAlign w:val="center"/>
          </w:tcPr>
          <w:p w14:paraId="574EFAAD">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污水处理站</w:t>
            </w:r>
          </w:p>
        </w:tc>
        <w:tc>
          <w:tcPr>
            <w:tcW w:w="1108" w:type="pct"/>
            <w:shd w:val="clear" w:color="auto" w:fill="auto"/>
            <w:vAlign w:val="center"/>
          </w:tcPr>
          <w:p w14:paraId="235D83CD">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污泥</w:t>
            </w:r>
          </w:p>
        </w:tc>
        <w:tc>
          <w:tcPr>
            <w:tcW w:w="1236" w:type="pct"/>
            <w:shd w:val="clear" w:color="auto" w:fill="auto"/>
            <w:vAlign w:val="center"/>
          </w:tcPr>
          <w:p w14:paraId="2F6BE779">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0.2515</w:t>
            </w:r>
          </w:p>
        </w:tc>
        <w:tc>
          <w:tcPr>
            <w:tcW w:w="1308" w:type="pct"/>
            <w:shd w:val="clear" w:color="auto" w:fill="auto"/>
            <w:vAlign w:val="center"/>
          </w:tcPr>
          <w:p w14:paraId="4B6D2ECE">
            <w:pPr>
              <w:keepNext w:val="0"/>
              <w:keepLines w:val="0"/>
              <w:suppressLineNumbers w:val="0"/>
              <w:spacing w:before="0" w:beforeAutospacing="0" w:after="0" w:afterAutospacing="0" w:line="240" w:lineRule="atLeast"/>
              <w:ind w:left="0" w:right="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w:t>
            </w:r>
          </w:p>
        </w:tc>
      </w:tr>
      <w:tr w14:paraId="56D4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2A7A87EC">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Align w:val="center"/>
          </w:tcPr>
          <w:p w14:paraId="52A91508">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油车棚</w:t>
            </w:r>
          </w:p>
        </w:tc>
        <w:tc>
          <w:tcPr>
            <w:tcW w:w="1108" w:type="pct"/>
            <w:vAlign w:val="center"/>
          </w:tcPr>
          <w:p w14:paraId="0BB38C7B">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eastAsia"/>
                <w:color w:val="auto"/>
                <w:sz w:val="21"/>
                <w:szCs w:val="21"/>
                <w:highlight w:val="none"/>
              </w:rPr>
              <w:t>污油、油泥</w:t>
            </w:r>
          </w:p>
        </w:tc>
        <w:tc>
          <w:tcPr>
            <w:tcW w:w="1236" w:type="pct"/>
            <w:vAlign w:val="center"/>
          </w:tcPr>
          <w:p w14:paraId="5A152553">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0.5</w:t>
            </w:r>
          </w:p>
        </w:tc>
        <w:tc>
          <w:tcPr>
            <w:tcW w:w="1308" w:type="pct"/>
            <w:vAlign w:val="center"/>
          </w:tcPr>
          <w:p w14:paraId="28FF436E">
            <w:pPr>
              <w:keepNext w:val="0"/>
              <w:keepLines w:val="0"/>
              <w:suppressLineNumbers w:val="0"/>
              <w:spacing w:before="0" w:beforeAutospacing="0" w:after="0" w:afterAutospacing="0" w:line="240" w:lineRule="atLeast"/>
              <w:ind w:left="0" w:right="0" w:firstLine="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w:t>
            </w:r>
          </w:p>
        </w:tc>
      </w:tr>
      <w:tr w14:paraId="2EDC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33ABB1E7">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shd w:val="clear" w:color="auto" w:fill="auto"/>
            <w:vAlign w:val="center"/>
          </w:tcPr>
          <w:p w14:paraId="5BE371CF">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维修车间</w:t>
            </w:r>
          </w:p>
        </w:tc>
        <w:tc>
          <w:tcPr>
            <w:tcW w:w="1108" w:type="pct"/>
            <w:shd w:val="clear" w:color="auto" w:fill="auto"/>
            <w:vAlign w:val="center"/>
          </w:tcPr>
          <w:p w14:paraId="2E5124BF">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废机油</w:t>
            </w:r>
          </w:p>
        </w:tc>
        <w:tc>
          <w:tcPr>
            <w:tcW w:w="1236" w:type="pct"/>
            <w:shd w:val="clear" w:color="auto" w:fill="auto"/>
            <w:vAlign w:val="center"/>
          </w:tcPr>
          <w:p w14:paraId="0B4671C3">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0.01</w:t>
            </w:r>
          </w:p>
        </w:tc>
        <w:tc>
          <w:tcPr>
            <w:tcW w:w="1308" w:type="pct"/>
            <w:shd w:val="clear" w:color="auto" w:fill="auto"/>
            <w:vAlign w:val="center"/>
          </w:tcPr>
          <w:p w14:paraId="0CBDAE2C">
            <w:pPr>
              <w:keepNext w:val="0"/>
              <w:keepLines w:val="0"/>
              <w:suppressLineNumbers w:val="0"/>
              <w:spacing w:before="0" w:beforeAutospacing="0" w:after="0" w:afterAutospacing="0" w:line="240" w:lineRule="atLeast"/>
              <w:ind w:left="0" w:right="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w:t>
            </w:r>
          </w:p>
        </w:tc>
      </w:tr>
      <w:bookmarkEnd w:id="224"/>
    </w:tbl>
    <w:p w14:paraId="3316496A">
      <w:pPr>
        <w:pageBreakBefore w:val="0"/>
        <w:widowControl w:val="0"/>
        <w:kinsoku/>
        <w:wordWrap/>
        <w:overflowPunct/>
        <w:bidi w:val="0"/>
        <w:adjustRightInd w:val="0"/>
        <w:snapToGrid w:val="0"/>
        <w:spacing w:line="276" w:lineRule="auto"/>
        <w:jc w:val="center"/>
        <w:rPr>
          <w:rFonts w:hint="default" w:ascii="Times New Roman" w:hAnsi="Times New Roman" w:eastAsia="黑体" w:cs="Times New Roman"/>
          <w:b w:val="0"/>
          <w:bCs/>
          <w:color w:val="auto"/>
          <w:kern w:val="2"/>
          <w:sz w:val="21"/>
          <w:szCs w:val="21"/>
          <w:highlight w:val="none"/>
          <w:lang w:val="en-US" w:eastAsia="zh-CN" w:bidi="ar-SA"/>
        </w:rPr>
      </w:pPr>
    </w:p>
    <w:p w14:paraId="1F7BC4B4">
      <w:pPr>
        <w:keepNext/>
        <w:keepLines/>
        <w:pageBreakBefore w:val="0"/>
        <w:widowControl w:val="0"/>
        <w:numPr>
          <w:ilvl w:val="1"/>
          <w:numId w:val="10"/>
        </w:numPr>
        <w:kinsoku/>
        <w:overflowPunct/>
        <w:bidi w:val="0"/>
        <w:spacing w:line="360" w:lineRule="auto"/>
        <w:ind w:left="567" w:hanging="567"/>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25" w:name="_Toc20553"/>
      <w:bookmarkStart w:id="226" w:name="_Toc135735442"/>
      <w:r>
        <w:rPr>
          <w:rFonts w:hint="eastAsia" w:ascii="Times New Roman" w:hAnsi="Times New Roman" w:eastAsia="黑体" w:cs="Times New Roman"/>
          <w:bCs/>
          <w:color w:val="auto"/>
          <w:spacing w:val="0"/>
          <w:w w:val="100"/>
          <w:kern w:val="28"/>
          <w:sz w:val="30"/>
          <w:szCs w:val="30"/>
          <w:highlight w:val="none"/>
          <w:lang w:val="en-US" w:eastAsia="zh-CN" w:bidi="ar-SA"/>
        </w:rPr>
        <w:t>污染物排放总量控制</w:t>
      </w:r>
      <w:bookmarkEnd w:id="225"/>
    </w:p>
    <w:bookmarkEnd w:id="226"/>
    <w:p w14:paraId="799E2D46">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总量控制原则</w:t>
      </w:r>
    </w:p>
    <w:p w14:paraId="3B765D18">
      <w:pPr>
        <w:pageBreakBefore w:val="0"/>
        <w:widowControl/>
        <w:kinsoku/>
        <w:wordWrap/>
        <w:overflowPunct/>
        <w:bidi w:val="0"/>
        <w:adjustRightInd w:val="0"/>
        <w:snapToGrid w:val="0"/>
        <w:ind w:firstLine="480" w:firstLineChars="200"/>
        <w:jc w:val="lef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对污染物排放总量进行控制的原则是：将给定区域内污染源的污染物排放负荷控制在一定数量之内，使环境质量可以达到规定的环境目标。污染物总量控制方案的确定，在考虑污染物种类、污染源影响范围、区域环境质量、环境功能以及环境管理要求等因素的基础上，结合项目实际条件和控制措施的经济技术可行性进行。</w:t>
      </w:r>
    </w:p>
    <w:p w14:paraId="70BD7D83">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污染物总量控制因子</w:t>
      </w:r>
      <w:r>
        <w:rPr>
          <w:rFonts w:hint="eastAsia" w:eastAsia="黑体" w:cs="Times New Roman"/>
          <w:color w:val="auto"/>
          <w:spacing w:val="0"/>
          <w:kern w:val="2"/>
          <w:sz w:val="28"/>
          <w:szCs w:val="28"/>
          <w:highlight w:val="none"/>
          <w:lang w:val="en-US" w:eastAsia="zh-CN" w:bidi="ar-SA"/>
        </w:rPr>
        <w:t>及指标</w:t>
      </w:r>
    </w:p>
    <w:p w14:paraId="2867E4C1">
      <w:pPr>
        <w:pageBreakBefore w:val="0"/>
        <w:widowControl/>
        <w:kinsoku/>
        <w:wordWrap/>
        <w:overflowPunct/>
        <w:bidi w:val="0"/>
        <w:ind w:firstLine="48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根据国家</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十四五</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污染物排放总量控制要求，污染物排放总量控制因子如下：</w:t>
      </w:r>
    </w:p>
    <w:p w14:paraId="6F37A034">
      <w:pPr>
        <w:pageBreakBefore w:val="0"/>
        <w:widowControl/>
        <w:kinsoku/>
        <w:wordWrap/>
        <w:overflowPunct/>
        <w:bidi w:val="0"/>
        <w:ind w:firstLine="480" w:firstLineChars="20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废气污染物：NO</w:t>
      </w:r>
      <w:r>
        <w:rPr>
          <w:rFonts w:ascii="Times New Roman" w:hAnsi="Times New Roman" w:eastAsia="宋体" w:cs="Times New Roman"/>
          <w:color w:val="auto"/>
          <w:szCs w:val="21"/>
          <w:highlight w:val="none"/>
          <w:vertAlign w:val="subscript"/>
        </w:rPr>
        <w:t>X</w:t>
      </w:r>
      <w:r>
        <w:rPr>
          <w:rFonts w:ascii="Times New Roman" w:hAnsi="Times New Roman" w:eastAsia="宋体" w:cs="Times New Roman"/>
          <w:color w:val="auto"/>
          <w:szCs w:val="21"/>
          <w:highlight w:val="none"/>
        </w:rPr>
        <w:t>、VOCs。</w:t>
      </w:r>
    </w:p>
    <w:p w14:paraId="0E52D28D">
      <w:pPr>
        <w:pageBreakBefore w:val="0"/>
        <w:widowControl/>
        <w:kinsoku/>
        <w:wordWrap/>
        <w:overflowPunct/>
        <w:bidi w:val="0"/>
        <w:ind w:firstLine="480" w:firstLineChars="20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废水污染物：COD、NH</w:t>
      </w:r>
      <w:r>
        <w:rPr>
          <w:rFonts w:ascii="Times New Roman" w:hAnsi="Times New Roman" w:eastAsia="宋体" w:cs="Times New Roman"/>
          <w:color w:val="auto"/>
          <w:szCs w:val="21"/>
          <w:highlight w:val="none"/>
          <w:vertAlign w:val="subscript"/>
        </w:rPr>
        <w:t>3</w:t>
      </w:r>
      <w:r>
        <w:rPr>
          <w:rFonts w:ascii="Times New Roman" w:hAnsi="Times New Roman" w:eastAsia="宋体" w:cs="Times New Roman"/>
          <w:color w:val="auto"/>
          <w:szCs w:val="21"/>
          <w:highlight w:val="none"/>
        </w:rPr>
        <w:t>-N。</w:t>
      </w:r>
    </w:p>
    <w:p w14:paraId="134AC8A2">
      <w:pPr>
        <w:pageBreakBefore w:val="0"/>
        <w:widowControl/>
        <w:kinsoku/>
        <w:wordWrap/>
        <w:overflowPunct/>
        <w:bidi w:val="0"/>
        <w:ind w:firstLine="480" w:firstLineChars="200"/>
        <w:jc w:val="left"/>
        <w:rPr>
          <w:rFonts w:hint="eastAsia" w:cs="Times New Roman"/>
          <w:color w:val="auto"/>
          <w:szCs w:val="21"/>
          <w:highlight w:val="none"/>
          <w:lang w:val="en-US" w:eastAsia="zh-CN"/>
        </w:rPr>
      </w:pPr>
      <w:r>
        <w:rPr>
          <w:rFonts w:hint="eastAsia" w:cs="Times New Roman"/>
          <w:color w:val="auto"/>
          <w:szCs w:val="21"/>
          <w:highlight w:val="none"/>
          <w:lang w:eastAsia="zh-CN"/>
        </w:rPr>
        <w:t>本项目</w:t>
      </w:r>
      <w:r>
        <w:rPr>
          <w:rFonts w:hint="eastAsia" w:cs="Times New Roman"/>
          <w:color w:val="auto"/>
          <w:szCs w:val="21"/>
          <w:highlight w:val="none"/>
          <w:lang w:val="en-US" w:eastAsia="zh-CN"/>
        </w:rPr>
        <w:t>运营期废水不外排，</w:t>
      </w:r>
      <w:r>
        <w:rPr>
          <w:rFonts w:hint="eastAsia" w:ascii="Times New Roman" w:hAnsi="Times New Roman" w:eastAsia="宋体" w:cs="Times New Roman"/>
          <w:color w:val="auto"/>
          <w:szCs w:val="21"/>
          <w:highlight w:val="none"/>
          <w:lang w:val="en-US" w:eastAsia="zh-CN"/>
        </w:rPr>
        <w:t>废气均为无组织</w:t>
      </w:r>
      <w:r>
        <w:rPr>
          <w:rFonts w:hint="eastAsia" w:cs="Times New Roman"/>
          <w:color w:val="auto"/>
          <w:szCs w:val="21"/>
          <w:highlight w:val="none"/>
          <w:lang w:val="en-US" w:eastAsia="zh-CN"/>
        </w:rPr>
        <w:t>排放，不新增总量控制指标。</w:t>
      </w:r>
    </w:p>
    <w:p w14:paraId="75BEFF6E">
      <w:pPr>
        <w:keepNext/>
        <w:keepLines/>
        <w:pageBreakBefore w:val="0"/>
        <w:widowControl w:val="0"/>
        <w:numPr>
          <w:ilvl w:val="1"/>
          <w:numId w:val="10"/>
        </w:numPr>
        <w:kinsoku/>
        <w:overflowPunct/>
        <w:bidi w:val="0"/>
        <w:spacing w:line="360" w:lineRule="auto"/>
        <w:ind w:left="567" w:hanging="567"/>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27" w:name="_Toc22025"/>
      <w:bookmarkStart w:id="228" w:name="_Toc10783"/>
      <w:bookmarkStart w:id="229" w:name="_Toc17332"/>
      <w:bookmarkStart w:id="230" w:name="_Toc97382527"/>
      <w:bookmarkStart w:id="231" w:name="_Toc424219734"/>
      <w:bookmarkStart w:id="232" w:name="_Toc97562037"/>
      <w:bookmarkStart w:id="233" w:name="_Toc239499263"/>
      <w:bookmarkStart w:id="234" w:name="_Toc319045798"/>
      <w:bookmarkStart w:id="235" w:name="_Toc240165925"/>
      <w:bookmarkStart w:id="236" w:name="_Toc97382260"/>
      <w:bookmarkStart w:id="237" w:name="_Toc319045796"/>
      <w:bookmarkStart w:id="238" w:name="_Toc98133913"/>
      <w:bookmarkStart w:id="239" w:name="_Toc223976552"/>
      <w:bookmarkStart w:id="240" w:name="_Toc239760152"/>
      <w:bookmarkStart w:id="241" w:name="_Toc223976538"/>
      <w:bookmarkStart w:id="242" w:name="_Toc316558141"/>
      <w:bookmarkStart w:id="243" w:name="_Toc316558143"/>
      <w:bookmarkStart w:id="244" w:name="_Toc163981200"/>
      <w:bookmarkStart w:id="245" w:name="_Toc97814838"/>
      <w:bookmarkStart w:id="246" w:name="_Toc88845969"/>
      <w:bookmarkStart w:id="247" w:name="_Toc240083836"/>
      <w:bookmarkStart w:id="248" w:name="_Toc424219730"/>
      <w:r>
        <w:rPr>
          <w:rFonts w:hint="eastAsia" w:ascii="Times New Roman" w:hAnsi="Times New Roman" w:eastAsia="黑体" w:cs="Times New Roman"/>
          <w:bCs/>
          <w:color w:val="auto"/>
          <w:spacing w:val="0"/>
          <w:w w:val="100"/>
          <w:kern w:val="28"/>
          <w:sz w:val="30"/>
          <w:szCs w:val="30"/>
          <w:highlight w:val="none"/>
          <w:lang w:val="en-US" w:eastAsia="zh-CN" w:bidi="ar-SA"/>
        </w:rPr>
        <w:t>相关符合性分析</w:t>
      </w:r>
      <w:bookmarkEnd w:id="227"/>
    </w:p>
    <w:p w14:paraId="6FC7274D">
      <w:pPr>
        <w:pageBreakBefore w:val="0"/>
        <w:widowControl/>
        <w:kinsoku/>
        <w:wordWrap/>
        <w:overflowPunct/>
        <w:autoSpaceDE w:val="0"/>
        <w:autoSpaceDN w:val="0"/>
        <w:bidi w:val="0"/>
        <w:ind w:firstLine="480" w:firstLineChars="200"/>
        <w:jc w:val="both"/>
        <w:rPr>
          <w:rFonts w:hint="default" w:cs="Times New Roman"/>
          <w:color w:val="auto"/>
          <w:szCs w:val="24"/>
          <w:highlight w:val="none"/>
          <w:lang w:val="en-US" w:eastAsia="zh-CN"/>
        </w:rPr>
      </w:pPr>
      <w:r>
        <w:rPr>
          <w:rFonts w:hint="eastAsia" w:cs="Times New Roman"/>
          <w:color w:val="auto"/>
          <w:szCs w:val="24"/>
          <w:highlight w:val="none"/>
          <w:lang w:val="en-US" w:eastAsia="zh-CN"/>
        </w:rPr>
        <w:t>本项目与国家和地方有关法律法规、标准、政策、规范、国土空间规划等相关规划、生态环境分区管控、规划环境影响评价有关要求符合性如下：</w:t>
      </w:r>
    </w:p>
    <w:p w14:paraId="13DE2F34">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与国家相关产业政策符合性分析</w:t>
      </w:r>
    </w:p>
    <w:p w14:paraId="20A366A0">
      <w:pPr>
        <w:pageBreakBefore w:val="0"/>
        <w:widowControl/>
        <w:kinsoku/>
        <w:wordWrap/>
        <w:overflowPunct/>
        <w:bidi w:val="0"/>
        <w:ind w:right="6" w:firstLine="480" w:firstLineChars="200"/>
        <w:jc w:val="both"/>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根据《产业结构调整指导目录（2024年本）》，本项目</w:t>
      </w:r>
      <w:r>
        <w:rPr>
          <w:rFonts w:hint="eastAsia" w:cs="Times New Roman"/>
          <w:color w:val="auto"/>
          <w:szCs w:val="21"/>
          <w:highlight w:val="none"/>
          <w:lang w:eastAsia="zh-CN"/>
        </w:rPr>
        <w:t>属于</w:t>
      </w:r>
      <w:r>
        <w:rPr>
          <w:rFonts w:hint="default" w:ascii="Times New Roman" w:hAnsi="Times New Roman" w:eastAsia="宋体" w:cs="Times New Roman"/>
          <w:color w:val="auto"/>
          <w:szCs w:val="21"/>
          <w:highlight w:val="none"/>
        </w:rPr>
        <w:t>国家</w:t>
      </w:r>
      <w:r>
        <w:rPr>
          <w:rFonts w:hint="eastAsia" w:cs="Times New Roman"/>
          <w:color w:val="auto"/>
          <w:szCs w:val="21"/>
          <w:highlight w:val="none"/>
          <w:lang w:eastAsia="zh-CN"/>
        </w:rPr>
        <w:t>鼓励类</w:t>
      </w:r>
      <w:r>
        <w:rPr>
          <w:rFonts w:hint="default" w:ascii="Times New Roman" w:hAnsi="Times New Roman" w:eastAsia="宋体" w:cs="Times New Roman"/>
          <w:color w:val="auto"/>
          <w:szCs w:val="21"/>
          <w:highlight w:val="none"/>
        </w:rPr>
        <w:t>中</w:t>
      </w:r>
      <w:r>
        <w:rPr>
          <w:rFonts w:hint="eastAsia" w:cs="Times New Roman"/>
          <w:color w:val="auto"/>
          <w:szCs w:val="21"/>
          <w:highlight w:val="none"/>
          <w:lang w:val="en-US" w:eastAsia="zh-CN"/>
        </w:rPr>
        <w:t>的“</w:t>
      </w:r>
      <w:r>
        <w:rPr>
          <w:rFonts w:hint="default" w:ascii="Times New Roman" w:hAnsi="Times New Roman" w:eastAsia="宋体" w:cs="Times New Roman"/>
          <w:color w:val="auto"/>
          <w:szCs w:val="21"/>
          <w:highlight w:val="none"/>
        </w:rPr>
        <w:t>二十六、航空运输</w:t>
      </w:r>
      <w:r>
        <w:rPr>
          <w:rFonts w:hint="eastAsia" w:cs="Times New Roman"/>
          <w:color w:val="auto"/>
          <w:szCs w:val="21"/>
          <w:highlight w:val="none"/>
          <w:lang w:eastAsia="zh-CN"/>
        </w:rPr>
        <w:t>；</w:t>
      </w:r>
      <w:r>
        <w:rPr>
          <w:rFonts w:hint="default" w:ascii="Times New Roman" w:hAnsi="Times New Roman" w:eastAsia="宋体" w:cs="Times New Roman"/>
          <w:color w:val="auto"/>
          <w:szCs w:val="21"/>
          <w:highlight w:val="none"/>
        </w:rPr>
        <w:t>3.通用航空、海上空中监督巡逻和搜救服务及设施建设，小型航空器应急起降场地建设</w:t>
      </w:r>
      <w:r>
        <w:rPr>
          <w:rFonts w:hint="eastAsia" w:cs="Times New Roman"/>
          <w:color w:val="auto"/>
          <w:szCs w:val="21"/>
          <w:highlight w:val="none"/>
          <w:lang w:val="en-US" w:eastAsia="zh-CN"/>
        </w:rPr>
        <w:t>”</w:t>
      </w:r>
      <w:r>
        <w:rPr>
          <w:rFonts w:hint="default" w:ascii="Times New Roman" w:hAnsi="Times New Roman" w:eastAsia="宋体" w:cs="Times New Roman"/>
          <w:color w:val="auto"/>
          <w:szCs w:val="21"/>
          <w:highlight w:val="none"/>
        </w:rPr>
        <w:t>，符合国家产业政策要求。</w:t>
      </w:r>
    </w:p>
    <w:p w14:paraId="7427742F">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与《新疆通用航空机场布局规划（2018-2035）》符合性分析</w:t>
      </w:r>
    </w:p>
    <w:p w14:paraId="63469700">
      <w:pPr>
        <w:pageBreakBefore w:val="0"/>
        <w:widowControl/>
        <w:kinsoku/>
        <w:wordWrap/>
        <w:overflowPunct/>
        <w:bidi w:val="0"/>
        <w:ind w:right="6"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新疆维吾尔自治区人民政府以新政办发〔2018〕21号文件印发《新疆通用航空机场布局规划（2018-2035）》。该规划以促进经济社会发展、实施国家重大战略、改善民生、实现资源充分开发、保障社会稳定等方面为发展需求；以统筹协调、融合发展、优化布局、科学发展，适度超前、协调发展，安全绿色、集约发展为原则；根据全疆三大区域发展定位、经济社会、资源禀赋、产业基础等，规划形成东疆、北疆、南疆三大通用机场群。</w:t>
      </w:r>
    </w:p>
    <w:p w14:paraId="25CCDB99">
      <w:pPr>
        <w:pageBreakBefore w:val="0"/>
        <w:widowControl/>
        <w:kinsoku/>
        <w:wordWrap/>
        <w:overflowPunct/>
        <w:bidi w:val="0"/>
        <w:ind w:right="6" w:firstLine="480" w:firstLineChars="200"/>
        <w:jc w:val="both"/>
        <w:rPr>
          <w:rFonts w:hint="default" w:ascii="Times New Roman" w:hAnsi="Times New Roman" w:eastAsia="宋体" w:cs="Times New Roman"/>
          <w:color w:val="auto"/>
          <w:szCs w:val="21"/>
          <w:highlight w:val="none"/>
        </w:rPr>
      </w:pPr>
      <w:r>
        <w:rPr>
          <w:rFonts w:hint="eastAsia" w:cs="Times New Roman"/>
          <w:color w:val="auto"/>
          <w:szCs w:val="21"/>
          <w:highlight w:val="none"/>
          <w:lang w:val="en-US" w:eastAsia="zh-CN"/>
        </w:rPr>
        <w:t>精河通用机场已列入《新疆通用航空机场布局规划（2018-2035）》中的北疆通用机场群布局规划名单内。此外依据《博尔塔拉蒙古自治州通用航空发展规划研究报告》，精河县通用机场按照全州通用机场体系骨干机场进行建设，定位为A1级通用机场。因此，本项目符合《新疆通用航空机场布局规划（2018-2035）》的相关要求。</w:t>
      </w:r>
    </w:p>
    <w:p w14:paraId="0B365014">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与《综合运输服务“十四五”发展规划》符合性分析</w:t>
      </w:r>
    </w:p>
    <w:p w14:paraId="31C54422">
      <w:pPr>
        <w:pageBreakBefore w:val="0"/>
        <w:widowControl/>
        <w:kinsoku/>
        <w:wordWrap/>
        <w:overflowPunct/>
        <w:bidi w:val="0"/>
        <w:ind w:right="6" w:firstLine="480" w:firstLineChars="200"/>
        <w:jc w:val="both"/>
        <w:rPr>
          <w:rFonts w:hint="default" w:ascii="Times New Roman" w:hAnsi="Times New Roman" w:eastAsia="宋体" w:cs="Times New Roman"/>
          <w:color w:val="auto"/>
          <w:szCs w:val="21"/>
          <w:highlight w:val="none"/>
        </w:rPr>
      </w:pPr>
      <w:r>
        <w:rPr>
          <w:rFonts w:hint="eastAsia" w:cs="Times New Roman"/>
          <w:color w:val="auto"/>
          <w:szCs w:val="21"/>
          <w:highlight w:val="none"/>
          <w:lang w:val="en-US" w:eastAsia="zh-CN"/>
        </w:rPr>
        <w:t>2021年11月2日，交通运输部以交运发〔2021〕111号“交通运输部关于印发《综合运输服务‘十四五’发展规划》的通知”发布《综合运输服务“十四五”发展规划》。规划提出如下总体目标：到2025年底，“全国123出行交通圈”（都市区1小时通勤、城市群2小时通达、主要城市3小时覆盖）和“全球123快货物流圈”（国内1天送达、周边国家2天送达、全球主要城市3天送达）加快构建，多层次、高品质的旅客出行服务系统和全链条、一体化的货运物流服务系统初步建立，现代国际物流供应链体系不断完善，运输结构进一步优化，运输装备水平大幅提高，绿色化、数字化发展水平明显提高，安全应急保障体系更加健全，治理能力显著提升，服务支撑经济社会发展能力进一步增强。</w:t>
      </w:r>
    </w:p>
    <w:p w14:paraId="0C81484A">
      <w:pPr>
        <w:pageBreakBefore w:val="0"/>
        <w:widowControl/>
        <w:kinsoku/>
        <w:wordWrap/>
        <w:overflowPunct/>
        <w:bidi w:val="0"/>
        <w:ind w:right="6" w:firstLine="480" w:firstLineChars="200"/>
        <w:jc w:val="both"/>
        <w:rPr>
          <w:rFonts w:hint="eastAsia" w:cs="Times New Roman"/>
          <w:color w:val="auto"/>
          <w:szCs w:val="21"/>
          <w:highlight w:val="none"/>
          <w:lang w:eastAsia="zh-CN"/>
        </w:rPr>
      </w:pPr>
      <w:r>
        <w:rPr>
          <w:rFonts w:hint="default" w:ascii="Times New Roman" w:hAnsi="Times New Roman" w:eastAsia="宋体" w:cs="Times New Roman"/>
          <w:color w:val="auto"/>
          <w:szCs w:val="21"/>
          <w:highlight w:val="none"/>
        </w:rPr>
        <w:t>精河</w:t>
      </w:r>
      <w:r>
        <w:rPr>
          <w:rFonts w:hint="eastAsia" w:cs="Times New Roman"/>
          <w:color w:val="auto"/>
          <w:szCs w:val="21"/>
          <w:highlight w:val="none"/>
          <w:lang w:val="en-US" w:eastAsia="zh-CN"/>
        </w:rPr>
        <w:t>通用</w:t>
      </w:r>
      <w:r>
        <w:rPr>
          <w:rFonts w:hint="default" w:ascii="Times New Roman" w:hAnsi="Times New Roman" w:eastAsia="宋体" w:cs="Times New Roman"/>
          <w:color w:val="auto"/>
          <w:szCs w:val="21"/>
          <w:highlight w:val="none"/>
        </w:rPr>
        <w:t>机场作为新疆通用航空网络节点，填补博尔塔拉蒙古自治州东部航空服务空白，与博乐机场形成区域协同，完善</w:t>
      </w:r>
      <w:r>
        <w:rPr>
          <w:rFonts w:hint="eastAsia" w:cs="Times New Roman"/>
          <w:color w:val="auto"/>
          <w:szCs w:val="21"/>
          <w:highlight w:val="none"/>
          <w:lang w:eastAsia="zh-CN"/>
        </w:rPr>
        <w:t>“干支通”</w:t>
      </w:r>
      <w:r>
        <w:rPr>
          <w:rFonts w:hint="default" w:ascii="Times New Roman" w:hAnsi="Times New Roman" w:eastAsia="宋体" w:cs="Times New Roman"/>
          <w:color w:val="auto"/>
          <w:szCs w:val="21"/>
          <w:highlight w:val="none"/>
        </w:rPr>
        <w:t>航空网络。通过短途运输、空中游览等业务，提升精河县至乌鲁木齐、伊宁等城市的可达性，助力“123出行交通圈”在边疆地区的实现</w:t>
      </w:r>
      <w:r>
        <w:rPr>
          <w:rFonts w:hint="eastAsia" w:cs="Times New Roman"/>
          <w:color w:val="auto"/>
          <w:szCs w:val="21"/>
          <w:highlight w:val="none"/>
          <w:lang w:eastAsia="zh-CN"/>
        </w:rPr>
        <w:t>。</w:t>
      </w:r>
    </w:p>
    <w:p w14:paraId="15A0B46E">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与《新疆维吾尔自治区综合立体交通网规划（2021-2050年）》符合性分析</w:t>
      </w:r>
    </w:p>
    <w:p w14:paraId="53CA2B1D">
      <w:pPr>
        <w:pageBreakBefore w:val="0"/>
        <w:widowControl/>
        <w:kinsoku/>
        <w:wordWrap/>
        <w:overflowPunct/>
        <w:bidi w:val="0"/>
        <w:ind w:right="6"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根据《新疆维吾尔自治区综合立体交通网规划（2021-2050年）》“五、重点任务与重大工程 （二）加快建设交通主枢纽”提出“完善通用机场及配套设施的建设，规划新增A2级以上通用机场24个。按需建设一批A3级及B类通用机场，形成较为完善的通用机场体系。对已有的通用机场进行升级改造，完善机场设施设备”。</w:t>
      </w:r>
    </w:p>
    <w:p w14:paraId="40A047B3">
      <w:pPr>
        <w:pageBreakBefore w:val="0"/>
        <w:widowControl/>
        <w:kinsoku/>
        <w:wordWrap/>
        <w:overflowPunct/>
        <w:bidi w:val="0"/>
        <w:ind w:right="6" w:firstLine="480" w:firstLineChars="200"/>
        <w:jc w:val="both"/>
        <w:rPr>
          <w:rFonts w:hint="eastAsia" w:cs="Times New Roman"/>
          <w:color w:val="auto"/>
          <w:szCs w:val="21"/>
          <w:highlight w:val="none"/>
          <w:lang w:eastAsia="zh-CN"/>
        </w:rPr>
      </w:pPr>
      <w:r>
        <w:rPr>
          <w:rFonts w:hint="eastAsia" w:cs="Times New Roman"/>
          <w:color w:val="auto"/>
          <w:szCs w:val="21"/>
          <w:highlight w:val="none"/>
          <w:lang w:val="en-US" w:eastAsia="zh-CN"/>
        </w:rPr>
        <w:t>本项目作为A1级通用机场，将填补精河县航空网络空白，强化区域通用机场层级结构，符合“完善机场体系”的目标，与《新疆维吾尔自治区综合立体交通网规划（2021-2050年）》具有相容性。</w:t>
      </w:r>
    </w:p>
    <w:p w14:paraId="31E18DBA">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与《新疆维吾尔自治区国民经济和社会发展第十四个五年规划和2035年远景目标纲要》符合性分析</w:t>
      </w:r>
    </w:p>
    <w:p w14:paraId="16BB27C4">
      <w:pPr>
        <w:pageBreakBefore w:val="0"/>
        <w:widowControl/>
        <w:kinsoku/>
        <w:wordWrap/>
        <w:overflowPunct/>
        <w:bidi w:val="0"/>
        <w:ind w:right="6"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新疆维吾尔自治区国民经济和社会发展第十四个五年规划和2035年远景目标纲要》中提出：实施新时代民航强国建设行动，补齐基础设施、空域、人才技术等短板。加快乌鲁木齐国际航空枢纽建设，新建、改扩建一批支线机场，推进部分机场二跑道前期工作。大力发展通用航空，新建一批通用机场，鼓励支线机场增加通用航空设施。优化完善航线网络，积极开辟国际航线，加密国内疆内航线，形成“东西成扇、疆内成网”格局。推动东联西出的国际航空港、国际航空货物运输中心建设。</w:t>
      </w:r>
    </w:p>
    <w:p w14:paraId="65BBDB62">
      <w:pPr>
        <w:pageBreakBefore w:val="0"/>
        <w:widowControl/>
        <w:kinsoku/>
        <w:wordWrap/>
        <w:overflowPunct/>
        <w:bidi w:val="0"/>
        <w:ind w:right="6" w:firstLine="480" w:firstLineChars="200"/>
        <w:jc w:val="both"/>
        <w:rPr>
          <w:rFonts w:hint="eastAsia" w:cs="Times New Roman"/>
          <w:color w:val="auto"/>
          <w:szCs w:val="21"/>
          <w:highlight w:val="none"/>
          <w:lang w:eastAsia="zh-CN"/>
        </w:rPr>
      </w:pPr>
      <w:r>
        <w:rPr>
          <w:rFonts w:hint="eastAsia" w:cs="Times New Roman"/>
          <w:color w:val="auto"/>
          <w:szCs w:val="21"/>
          <w:highlight w:val="none"/>
          <w:lang w:val="en-US" w:eastAsia="zh-CN"/>
        </w:rPr>
        <w:t>本项目为新建A1级通用机场，已列入《新疆通用航空机场布局规划（2018-2035）》，是北疆通用机场群的重要组成部分。项目建设内容（如跑道、航站楼、供油设施等）符合通用机场的功能定位，响应了自治区关于新建通用机场的部署；精河通用机场将承担短途运输、空中游览、应急救援等业务，有效加密北疆区域内的航空网络密度，强化与乌鲁木齐枢纽机场、博乐等周边机场的衔接，推动形成“疆内成网”的航空运输体系；机场建成后将带动精河县对外开放水平，符合规划中关于“促进区域协调发展”“提高民生保障能力”的目标。</w:t>
      </w:r>
    </w:p>
    <w:p w14:paraId="203D095D">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与《精河县国土空间总体规划（2021-2035年）》（博州政函〔2024〕37号）符合性分析</w:t>
      </w:r>
    </w:p>
    <w:p w14:paraId="68ED7B73">
      <w:pPr>
        <w:pageBreakBefore w:val="0"/>
        <w:widowControl/>
        <w:kinsoku/>
        <w:wordWrap/>
        <w:overflowPunct/>
        <w:bidi w:val="0"/>
        <w:ind w:right="6"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精河县国土空间总体规划提出构建“一核、两轴、三区、三点”的空间结构。项目选址于精河县八家户牧业四队，处于规划中的“交通发展轴”（乌伊路-X214县道廊道），符合县域“沿交通轴线点、面重点发展”的布局导向；项目总占地65.3h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eastAsia="zh-CN"/>
        </w:rPr>
        <w:t>，以一般耕地为主，不</w:t>
      </w:r>
      <w:r>
        <w:rPr>
          <w:rFonts w:hint="eastAsia" w:cs="Times New Roman"/>
          <w:color w:val="auto"/>
          <w:szCs w:val="21"/>
          <w:highlight w:val="none"/>
          <w:lang w:val="en-US" w:eastAsia="zh-CN"/>
        </w:rPr>
        <w:t>占用</w:t>
      </w:r>
      <w:r>
        <w:rPr>
          <w:rFonts w:hint="eastAsia" w:cs="Times New Roman"/>
          <w:color w:val="auto"/>
          <w:szCs w:val="21"/>
          <w:highlight w:val="none"/>
          <w:lang w:eastAsia="zh-CN"/>
        </w:rPr>
        <w:t>永久基本农田、生态保护红线及城镇开发边界。规划中该区域为“区域交通设施用地”，机场建设符合国土空间用途管制要求。</w:t>
      </w:r>
    </w:p>
    <w:p w14:paraId="2D72F013">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与《“十四五”民用航空发展规划》符合性分析</w:t>
      </w:r>
    </w:p>
    <w:p w14:paraId="33DD8BA9">
      <w:pPr>
        <w:pageBreakBefore w:val="0"/>
        <w:widowControl/>
        <w:kinsoku/>
        <w:wordWrap/>
        <w:overflowPunct/>
        <w:bidi w:val="0"/>
        <w:ind w:right="6" w:firstLine="480" w:firstLineChars="200"/>
        <w:jc w:val="both"/>
        <w:rPr>
          <w:rFonts w:hint="default" w:ascii="Times New Roman" w:hAnsi="Times New Roman" w:eastAsia="宋体" w:cs="Times New Roman"/>
          <w:color w:val="auto"/>
          <w:szCs w:val="21"/>
          <w:highlight w:val="none"/>
        </w:rPr>
      </w:pPr>
      <w:r>
        <w:rPr>
          <w:rFonts w:hint="eastAsia" w:cs="Times New Roman"/>
          <w:color w:val="auto"/>
          <w:szCs w:val="21"/>
          <w:highlight w:val="none"/>
          <w:lang w:val="en-US" w:eastAsia="zh-CN"/>
        </w:rPr>
        <w:t>经</w:t>
      </w:r>
      <w:r>
        <w:rPr>
          <w:rFonts w:hint="default" w:ascii="Times New Roman" w:hAnsi="Times New Roman" w:eastAsia="宋体" w:cs="Times New Roman"/>
          <w:color w:val="auto"/>
          <w:szCs w:val="21"/>
          <w:highlight w:val="none"/>
        </w:rPr>
        <w:t>民航局、国家发展改革委和交通运输部联合印发的《“十四五”民用航空发展规划》（民航发〔2021〕56号）提出：“完善非枢纽机场布局。新建一批非枢纽机场，重点布局加密中西部地区和边境地区机场。加强新建机场前期论证，</w:t>
      </w:r>
      <w:r>
        <w:rPr>
          <w:rFonts w:ascii="宋体" w:hAnsi="宋体" w:eastAsia="宋体" w:cs="Times New Roman"/>
          <w:color w:val="auto"/>
          <w:szCs w:val="21"/>
          <w:highlight w:val="none"/>
        </w:rPr>
        <w:t>做好项目储备。坚持经济适用原则，实施一批非枢纽机场改扩建工程。加强支线机场通用航空保障能力，为国产支线飞机起降等配置相应设施，项目中要加强贯彻国防要求。</w:t>
      </w:r>
      <w:r>
        <w:rPr>
          <w:rFonts w:ascii="Times New Roman" w:hAnsi="Times New Roman" w:eastAsia="宋体" w:cs="Times New Roman"/>
          <w:color w:val="auto"/>
          <w:szCs w:val="21"/>
          <w:highlight w:val="none"/>
        </w:rPr>
        <w:t>支撑西部大开发形成大开放新格局。增强成都、昆明、重庆、西安、乌鲁木齐等国际航空枢纽面向东南亚、南亚和中西亚地区的辐射力和竞争力，支撑西部开放高地建设。推进成渝世界级机场群协同发展，规划研究建设重庆新机场。加快机场布局建设，提升综合保障能力。大力发展支线航空，实施基本航空服务计划，积极发展通用航空短途运输，拓展民航大众化发展空间。对高原、偏远等地区机场建设运营加大资金政策扶持力度。创新对口帮扶模式，实施西部民航人才专项计划。加强特殊政策安排的长期性和针对性，支持边疆地区民航稳健发展，充分发挥民航在贯彻中央</w:t>
      </w:r>
      <w:r>
        <w:rPr>
          <w:rFonts w:hint="default" w:ascii="Times New Roman" w:hAnsi="Times New Roman" w:eastAsia="宋体" w:cs="Times New Roman"/>
          <w:color w:val="auto"/>
          <w:szCs w:val="21"/>
          <w:highlight w:val="none"/>
        </w:rPr>
        <w:t>治藏、治疆方略中的独特作用”。</w:t>
      </w:r>
    </w:p>
    <w:p w14:paraId="650F23C8">
      <w:pPr>
        <w:pageBreakBefore w:val="0"/>
        <w:widowControl/>
        <w:kinsoku/>
        <w:wordWrap/>
        <w:overflowPunct/>
        <w:bidi w:val="0"/>
        <w:ind w:right="6" w:firstLine="480" w:firstLineChars="200"/>
        <w:jc w:val="both"/>
        <w:rPr>
          <w:rFonts w:hint="eastAsia" w:ascii="Times New Roman" w:hAnsi="Times New Roman"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本项目为A1级通用机场，主要承担短途运输、应急救援、农林作业等业务，与《规划》中“拓展通用航空服务领域”要求一致</w:t>
      </w:r>
      <w:r>
        <w:rPr>
          <w:rFonts w:hint="default" w:ascii="Times New Roman" w:hAnsi="Times New Roman" w:cs="Times New Roman"/>
          <w:color w:val="auto"/>
          <w:szCs w:val="21"/>
          <w:highlight w:val="none"/>
          <w:lang w:val="en-US" w:eastAsia="zh-CN"/>
        </w:rPr>
        <w:t>；精河通用机场位于天山北坡经济带西端，是新疆“北疆通用机场群”的重要组成部分，有助于完善区域综合交通网络，促进博尔塔拉蒙古自治州与周边地区的互联互通，符合《规划》的区域协同发展导向；填补了精河县通用航空空白，与《规划》中“加强中西部地区机场布局”的要求相符；项目已取得民航新疆管理局场址批复（新管局函〔2022〕119号），并纳入地方“十四五”交通规划，与《规划</w:t>
      </w:r>
      <w:r>
        <w:rPr>
          <w:rFonts w:hint="eastAsia" w:cs="Times New Roman"/>
          <w:color w:val="auto"/>
          <w:szCs w:val="21"/>
          <w:highlight w:val="none"/>
          <w:lang w:val="en-US" w:eastAsia="zh-CN"/>
        </w:rPr>
        <w:t>》中</w:t>
      </w:r>
      <w:r>
        <w:rPr>
          <w:rFonts w:hint="default" w:ascii="Times New Roman" w:hAnsi="Times New Roman" w:cs="Times New Roman"/>
          <w:color w:val="auto"/>
          <w:szCs w:val="21"/>
          <w:highlight w:val="none"/>
          <w:lang w:val="en-US" w:eastAsia="zh-CN"/>
        </w:rPr>
        <w:t>“加大通用航空基础设施建设投入”的政策支持相契合</w:t>
      </w:r>
      <w:r>
        <w:rPr>
          <w:rFonts w:hint="eastAsia" w:ascii="Times New Roman" w:hAnsi="Times New Roman" w:cs="Times New Roman"/>
          <w:color w:val="auto"/>
          <w:szCs w:val="21"/>
          <w:highlight w:val="none"/>
          <w:lang w:val="en-US" w:eastAsia="zh-CN"/>
        </w:rPr>
        <w:t>。综上，本项目符合《“十四五”民用航空发展规划》相关要求。</w:t>
      </w:r>
    </w:p>
    <w:p w14:paraId="4CC197E8">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飞机噪声与城市规划相容性分析</w:t>
      </w:r>
    </w:p>
    <w:p w14:paraId="785699B5">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机场</w:t>
      </w:r>
      <w:r>
        <w:rPr>
          <w:rFonts w:hint="eastAsia" w:cs="Times New Roman"/>
          <w:b/>
          <w:bCs/>
          <w:color w:val="auto"/>
          <w:kern w:val="2"/>
          <w:sz w:val="24"/>
          <w:szCs w:val="24"/>
          <w:highlight w:val="none"/>
          <w:lang w:val="en-US" w:eastAsia="zh-CN" w:bidi="ar-SA"/>
        </w:rPr>
        <w:t>本期</w:t>
      </w:r>
      <w:r>
        <w:rPr>
          <w:rFonts w:hint="eastAsia" w:ascii="Times New Roman" w:hAnsi="Times New Roman" w:eastAsia="宋体" w:cs="Times New Roman"/>
          <w:b/>
          <w:bCs/>
          <w:color w:val="auto"/>
          <w:kern w:val="2"/>
          <w:sz w:val="24"/>
          <w:szCs w:val="24"/>
          <w:highlight w:val="none"/>
          <w:lang w:val="en-US" w:eastAsia="zh-CN" w:bidi="ar-SA"/>
        </w:rPr>
        <w:t>、远期噪声与精河县城市总体规划用地相容性分析</w:t>
      </w:r>
    </w:p>
    <w:p w14:paraId="1ADF7B9A">
      <w:pPr>
        <w:pageBreakBefore w:val="0"/>
        <w:widowControl/>
        <w:kinsoku/>
        <w:wordWrap/>
        <w:overflowPunct/>
        <w:bidi w:val="0"/>
        <w:ind w:right="6" w:firstLine="480" w:firstLineChars="200"/>
        <w:jc w:val="both"/>
        <w:rPr>
          <w:rFonts w:hint="eastAsia" w:ascii="Times New Roman" w:hAnsi="Times New Roman" w:cs="Times New Roman"/>
          <w:color w:val="auto"/>
          <w:szCs w:val="21"/>
          <w:highlight w:val="none"/>
          <w:lang w:val="en-US" w:eastAsia="zh-CN"/>
        </w:rPr>
      </w:pPr>
      <w:r>
        <w:rPr>
          <w:rFonts w:hint="eastAsia" w:cs="Times New Roman"/>
          <w:color w:val="auto"/>
          <w:szCs w:val="21"/>
          <w:highlight w:val="none"/>
          <w:lang w:val="en-US" w:eastAsia="zh-CN"/>
        </w:rPr>
        <w:t>本项目</w:t>
      </w:r>
      <w:r>
        <w:rPr>
          <w:rFonts w:hint="eastAsia" w:ascii="Times New Roman" w:hAnsi="Times New Roman" w:cs="Times New Roman"/>
          <w:color w:val="auto"/>
          <w:szCs w:val="21"/>
          <w:highlight w:val="none"/>
          <w:lang w:val="en-US" w:eastAsia="zh-CN"/>
        </w:rPr>
        <w:t>机场主要位于城市范围外，规划区北侧，本次评价主要</w:t>
      </w:r>
      <w:r>
        <w:rPr>
          <w:rFonts w:hint="eastAsia" w:cs="Times New Roman"/>
          <w:color w:val="auto"/>
          <w:szCs w:val="21"/>
          <w:highlight w:val="none"/>
          <w:lang w:val="en-US" w:eastAsia="zh-CN"/>
        </w:rPr>
        <w:t>对</w:t>
      </w:r>
      <w:r>
        <w:rPr>
          <w:rFonts w:hint="eastAsia" w:ascii="Times New Roman" w:hAnsi="Times New Roman" w:cs="Times New Roman"/>
          <w:color w:val="auto"/>
          <w:szCs w:val="21"/>
          <w:highlight w:val="none"/>
          <w:lang w:val="en-US" w:eastAsia="zh-CN"/>
        </w:rPr>
        <w:t>机场的噪声影响范围与规划范围进行了叠图。机场203</w:t>
      </w:r>
      <w:r>
        <w:rPr>
          <w:rFonts w:hint="eastAsia" w:cs="Times New Roman"/>
          <w:color w:val="auto"/>
          <w:szCs w:val="21"/>
          <w:highlight w:val="none"/>
          <w:lang w:val="en-US" w:eastAsia="zh-CN"/>
        </w:rPr>
        <w:t>0</w:t>
      </w:r>
      <w:r>
        <w:rPr>
          <w:rFonts w:hint="eastAsia" w:ascii="Times New Roman" w:hAnsi="Times New Roman" w:cs="Times New Roman"/>
          <w:color w:val="auto"/>
          <w:szCs w:val="21"/>
          <w:highlight w:val="none"/>
          <w:lang w:val="en-US" w:eastAsia="zh-CN"/>
        </w:rPr>
        <w:t>年和2050年飞机噪声等值线与精河县城市用地规划关系图见图3.1-</w:t>
      </w:r>
      <w:r>
        <w:rPr>
          <w:rFonts w:hint="eastAsia" w:cs="Times New Roman"/>
          <w:color w:val="auto"/>
          <w:szCs w:val="21"/>
          <w:highlight w:val="none"/>
          <w:lang w:val="en-US" w:eastAsia="zh-CN"/>
        </w:rPr>
        <w:t>1</w:t>
      </w:r>
      <w:r>
        <w:rPr>
          <w:rFonts w:hint="eastAsia" w:ascii="Times New Roman" w:hAnsi="Times New Roman" w:cs="Times New Roman"/>
          <w:color w:val="auto"/>
          <w:szCs w:val="21"/>
          <w:highlight w:val="none"/>
          <w:lang w:val="en-US" w:eastAsia="zh-CN"/>
        </w:rPr>
        <w:t>、图3.1-</w:t>
      </w:r>
      <w:r>
        <w:rPr>
          <w:rFonts w:hint="eastAsia" w:cs="Times New Roman"/>
          <w:color w:val="auto"/>
          <w:szCs w:val="21"/>
          <w:highlight w:val="none"/>
          <w:lang w:val="en-US" w:eastAsia="zh-CN"/>
        </w:rPr>
        <w:t>2</w:t>
      </w:r>
      <w:r>
        <w:rPr>
          <w:rFonts w:hint="eastAsia" w:ascii="Times New Roman" w:hAnsi="Times New Roman" w:cs="Times New Roman"/>
          <w:color w:val="auto"/>
          <w:szCs w:val="21"/>
          <w:highlight w:val="none"/>
          <w:lang w:val="en-US" w:eastAsia="zh-CN"/>
        </w:rPr>
        <w:t>。</w:t>
      </w:r>
    </w:p>
    <w:p w14:paraId="431EC42B">
      <w:pPr>
        <w:pageBreakBefore w:val="0"/>
        <w:widowControl/>
        <w:kinsoku/>
        <w:wordWrap/>
        <w:overflowPunct/>
        <w:bidi w:val="0"/>
        <w:ind w:right="6" w:firstLine="480" w:firstLineChars="200"/>
        <w:jc w:val="both"/>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据图可知，由于飞机飞行的飞越噪声总体较低，且飞越频次不高，不会影响城市规划功能。机场噪声与城市规划用地相容</w:t>
      </w:r>
      <w:r>
        <w:rPr>
          <w:rFonts w:hint="eastAsia" w:cs="Times New Roman"/>
          <w:color w:val="auto"/>
          <w:szCs w:val="21"/>
          <w:highlight w:val="none"/>
          <w:lang w:val="en-US" w:eastAsia="zh-CN"/>
        </w:rPr>
        <w:t>。</w:t>
      </w:r>
    </w:p>
    <w:p w14:paraId="79469231">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飞行程序与城市规划区关系</w:t>
      </w:r>
    </w:p>
    <w:p w14:paraId="151A487B">
      <w:pPr>
        <w:pageBreakBefore w:val="0"/>
        <w:widowControl/>
        <w:kinsoku/>
        <w:wordWrap/>
        <w:overflowPunct/>
        <w:bidi w:val="0"/>
        <w:ind w:right="6" w:firstLine="480" w:firstLineChars="200"/>
        <w:jc w:val="both"/>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（1）本场飞行程序（起落航线）与城市规划用地关系</w:t>
      </w:r>
    </w:p>
    <w:p w14:paraId="775144AE">
      <w:pPr>
        <w:pageBreakBefore w:val="0"/>
        <w:widowControl/>
        <w:kinsoku/>
        <w:wordWrap/>
        <w:overflowPunct/>
        <w:bidi w:val="0"/>
        <w:ind w:right="6" w:firstLine="480" w:firstLineChars="200"/>
        <w:jc w:val="both"/>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根据噪声章节给出的本场起落航线情况，精河机场在西建立五边起落航线，机场本场起落航线飞行程序与规划区关系图见图3.1-</w:t>
      </w:r>
      <w:r>
        <w:rPr>
          <w:rFonts w:hint="eastAsia" w:cs="Times New Roman"/>
          <w:color w:val="auto"/>
          <w:szCs w:val="21"/>
          <w:highlight w:val="none"/>
          <w:lang w:val="en-US" w:eastAsia="zh-CN"/>
        </w:rPr>
        <w:t>3</w:t>
      </w:r>
      <w:r>
        <w:rPr>
          <w:rFonts w:hint="eastAsia" w:ascii="Times New Roman" w:hAnsi="Times New Roman" w:cs="Times New Roman"/>
          <w:color w:val="auto"/>
          <w:szCs w:val="21"/>
          <w:highlight w:val="none"/>
          <w:lang w:val="en-US" w:eastAsia="zh-CN"/>
        </w:rPr>
        <w:t>。由图可见，精河机场向南起降的本场起落航线将飞越规划区上空位置，根据飞行程序，飞越高度约为550m，固定翼代表机型Y12E的飞越瞬时噪声LAMAX为67.2dB（A），直升机代表机型R44的飞越瞬时噪声LAMAX为65.4dB（A）。</w:t>
      </w:r>
    </w:p>
    <w:p w14:paraId="4A5B9E2D">
      <w:pPr>
        <w:pageBreakBefore w:val="0"/>
        <w:widowControl/>
        <w:kinsoku/>
        <w:wordWrap/>
        <w:overflowPunct/>
        <w:bidi w:val="0"/>
        <w:ind w:right="6" w:firstLine="480" w:firstLineChars="200"/>
        <w:jc w:val="both"/>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（2）进、离场程序与城市规划用地关系</w:t>
      </w:r>
    </w:p>
    <w:p w14:paraId="635C1013">
      <w:pPr>
        <w:pageBreakBefore w:val="0"/>
        <w:widowControl/>
        <w:kinsoku/>
        <w:wordWrap/>
        <w:overflowPunct/>
        <w:bidi w:val="0"/>
        <w:ind w:right="6" w:firstLine="480" w:firstLineChars="200"/>
        <w:jc w:val="both"/>
        <w:rPr>
          <w:rFonts w:hint="eastAsia" w:ascii="Times New Roman" w:hAnsi="Times New Roman" w:cs="Times New Roman"/>
          <w:color w:val="auto"/>
          <w:szCs w:val="21"/>
          <w:highlight w:val="none"/>
          <w:lang w:val="en-US" w:eastAsia="zh-CN"/>
        </w:rPr>
        <w:sectPr>
          <w:pgSz w:w="11906" w:h="16838"/>
          <w:pgMar w:top="1474" w:right="1474" w:bottom="1474" w:left="1814" w:header="851" w:footer="992" w:gutter="0"/>
          <w:pgNumType w:fmt="decimal"/>
          <w:cols w:space="425" w:num="1"/>
          <w:docGrid w:linePitch="326" w:charSpace="0"/>
        </w:sectPr>
      </w:pPr>
      <w:r>
        <w:rPr>
          <w:rFonts w:hint="eastAsia" w:ascii="Times New Roman" w:hAnsi="Times New Roman" w:cs="Times New Roman"/>
          <w:color w:val="auto"/>
          <w:szCs w:val="21"/>
          <w:highlight w:val="none"/>
          <w:lang w:val="en-US" w:eastAsia="zh-CN"/>
        </w:rPr>
        <w:t>机场主要为短途运输转场飞行使用目视进离场飞行程序，精河机场进离场方向分为两个方向，一个方向是飞往精河县城区的航路强制报高点P165，根据飞行程序设计，P165为航路点，根据机场周边各航路最低安全高度，为2850m及以上，因此精河县方向进离场航迹飞越县城规划区按照2850m规划，按照短途运输机型Y12E计算，2850m飞行高度的飞越噪声约为48.5dB（A）。另一个进离场方向为博乐机场方向，该方向不涉及飞越城市规划区。飞行路线与规划区关系见</w:t>
      </w:r>
      <w:r>
        <w:rPr>
          <w:rFonts w:hint="eastAsia" w:cs="Times New Roman"/>
          <w:color w:val="auto"/>
          <w:szCs w:val="21"/>
          <w:highlight w:val="none"/>
          <w:lang w:val="en-US" w:eastAsia="zh-CN"/>
        </w:rPr>
        <w:t>下</w:t>
      </w:r>
      <w:r>
        <w:rPr>
          <w:rFonts w:hint="eastAsia" w:ascii="Times New Roman" w:hAnsi="Times New Roman" w:cs="Times New Roman"/>
          <w:color w:val="auto"/>
          <w:szCs w:val="21"/>
          <w:highlight w:val="none"/>
          <w:lang w:val="en-US" w:eastAsia="zh-CN"/>
        </w:rPr>
        <w:t>图。</w:t>
      </w:r>
    </w:p>
    <w:p w14:paraId="11805771">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与《新疆生态环境保护“十四五”规划》（新政发〔2021〕78号）符合性分析</w:t>
      </w:r>
    </w:p>
    <w:p w14:paraId="2E439236">
      <w:pPr>
        <w:pageBreakBefore w:val="0"/>
        <w:widowControl/>
        <w:kinsoku/>
        <w:wordWrap/>
        <w:overflowPunct/>
        <w:bidi w:val="0"/>
        <w:ind w:right="6" w:firstLine="480" w:firstLineChars="200"/>
        <w:jc w:val="both"/>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项目选址位于精河县八家户牧业四队，符合生态环境分区管控要求，不涉及国家公园、自然保护区、风景名胜区及自然公园等自然保护地，以及I级保护林地、饮用水水源保护区等生态环境敏感区中法律法规禁止占用的区域；不涉及削山、填海、填湖（湿地）和改造河流等。项目不占用永久基本农田，新增占地已办理相关手续并落实一般耕地占补平衡，符合规划“严格保护耕地和永久基本农田”的要求。环评调查显示项目区无国家重点保护野生动物栖息地，施工期避让植被密集区，运营期设置驱鸟系统降低鸟类撞击风险，符合规划“加强生物多样性保护”的目标。项目施工后对临时占地实施植被恢复（种植本地物种），与规划“推进生态修复”要求一致。项目采用电锅炉供热，污水“零排放”设计，经MBR工艺处理</w:t>
      </w:r>
      <w:r>
        <w:rPr>
          <w:rFonts w:hint="eastAsia" w:cs="Times New Roman"/>
          <w:color w:val="auto"/>
          <w:szCs w:val="21"/>
          <w:highlight w:val="none"/>
          <w:lang w:val="en-US" w:eastAsia="zh-CN"/>
        </w:rPr>
        <w:t>达到</w:t>
      </w:r>
      <w:r>
        <w:rPr>
          <w:rFonts w:hint="eastAsia" w:ascii="Times New Roman" w:hAnsi="Times New Roman" w:cs="Times New Roman"/>
          <w:color w:val="auto"/>
          <w:szCs w:val="21"/>
          <w:highlight w:val="none"/>
          <w:lang w:val="en-US" w:eastAsia="zh-CN"/>
        </w:rPr>
        <w:t>相应标准后“冬储夏灌”，符合规划“提高水资源利用效率”和“污水资源化”要求。综上，本项目符合《新疆生态环境保护“十四五”规划》相关要求。</w:t>
      </w:r>
    </w:p>
    <w:p w14:paraId="298025D3">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与《中华人民共和国基本农田保护条例》（中华人民共和国国务院令〔2011〕第588号）的符合性分析</w:t>
      </w:r>
    </w:p>
    <w:p w14:paraId="5532B7F7">
      <w:pPr>
        <w:pageBreakBefore w:val="0"/>
        <w:widowControl/>
        <w:kinsoku/>
        <w:wordWrap/>
        <w:overflowPunct/>
        <w:bidi w:val="0"/>
        <w:ind w:right="6" w:firstLine="480" w:firstLineChars="200"/>
        <w:jc w:val="both"/>
        <w:rPr>
          <w:rFonts w:hint="eastAsia"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本项目</w:t>
      </w:r>
      <w:r>
        <w:rPr>
          <w:rFonts w:hint="eastAsia" w:cs="Times New Roman"/>
          <w:color w:val="auto"/>
          <w:szCs w:val="21"/>
          <w:highlight w:val="none"/>
          <w:lang w:val="en-US" w:eastAsia="zh-CN"/>
        </w:rPr>
        <w:t>不占用</w:t>
      </w:r>
      <w:r>
        <w:rPr>
          <w:rFonts w:hint="eastAsia" w:ascii="Times New Roman" w:hAnsi="Times New Roman" w:cs="Times New Roman"/>
          <w:color w:val="auto"/>
          <w:szCs w:val="21"/>
          <w:highlight w:val="none"/>
          <w:lang w:val="en-US" w:eastAsia="zh-CN"/>
        </w:rPr>
        <w:t>永久基本农田。项目用地均为一般耕地及非农用地，未涉及永久基本农田保护区，符合条例对基本农田的保护要求</w:t>
      </w:r>
      <w:r>
        <w:rPr>
          <w:rFonts w:hint="eastAsia" w:cs="Times New Roman"/>
          <w:color w:val="auto"/>
          <w:szCs w:val="21"/>
          <w:highlight w:val="none"/>
          <w:lang w:val="en-US" w:eastAsia="zh-CN"/>
        </w:rPr>
        <w:t>。</w:t>
      </w:r>
    </w:p>
    <w:p w14:paraId="439F2F23">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与《机场建设项目环境影响评价文件审批原则</w:t>
      </w:r>
      <w:r>
        <w:rPr>
          <w:rFonts w:hint="eastAsia" w:eastAsia="黑体" w:cs="Times New Roman"/>
          <w:color w:val="auto"/>
          <w:spacing w:val="0"/>
          <w:kern w:val="2"/>
          <w:sz w:val="28"/>
          <w:szCs w:val="28"/>
          <w:highlight w:val="none"/>
          <w:lang w:val="en-US" w:eastAsia="zh-CN" w:bidi="ar-SA"/>
        </w:rPr>
        <w:t>（试行）</w:t>
      </w:r>
      <w:r>
        <w:rPr>
          <w:rFonts w:hint="eastAsia" w:ascii="Times New Roman" w:hAnsi="Times New Roman" w:eastAsia="黑体" w:cs="Times New Roman"/>
          <w:color w:val="auto"/>
          <w:spacing w:val="0"/>
          <w:kern w:val="2"/>
          <w:sz w:val="28"/>
          <w:szCs w:val="28"/>
          <w:highlight w:val="none"/>
          <w:lang w:val="en-US" w:eastAsia="zh-CN" w:bidi="ar-SA"/>
        </w:rPr>
        <w:t>》</w:t>
      </w:r>
      <w:r>
        <w:rPr>
          <w:rFonts w:hint="eastAsia" w:eastAsia="黑体" w:cs="Times New Roman"/>
          <w:color w:val="auto"/>
          <w:spacing w:val="0"/>
          <w:kern w:val="2"/>
          <w:sz w:val="28"/>
          <w:szCs w:val="28"/>
          <w:highlight w:val="none"/>
          <w:lang w:val="en-US" w:eastAsia="zh-CN" w:bidi="ar-SA"/>
        </w:rPr>
        <w:t>（环办环评〔2018〕2号）</w:t>
      </w:r>
      <w:r>
        <w:rPr>
          <w:rFonts w:hint="eastAsia" w:ascii="Times New Roman" w:hAnsi="Times New Roman" w:eastAsia="黑体" w:cs="Times New Roman"/>
          <w:color w:val="auto"/>
          <w:spacing w:val="0"/>
          <w:kern w:val="2"/>
          <w:sz w:val="28"/>
          <w:szCs w:val="28"/>
          <w:highlight w:val="none"/>
          <w:lang w:val="en-US" w:eastAsia="zh-CN" w:bidi="ar-SA"/>
        </w:rPr>
        <w:t>的符合性分析的符合性分析</w:t>
      </w:r>
    </w:p>
    <w:p w14:paraId="767B91D4">
      <w:pPr>
        <w:pageBreakBefore w:val="0"/>
        <w:widowControl/>
        <w:kinsoku/>
        <w:wordWrap/>
        <w:overflowPunct/>
        <w:autoSpaceDE w:val="0"/>
        <w:autoSpaceDN w:val="0"/>
        <w:bidi w:val="0"/>
        <w:ind w:left="0" w:leftChars="0" w:right="0" w:rightChars="0" w:firstLine="0" w:firstLineChars="0"/>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表3.7-1  与机场建设项目环境影响评价文件审批原则符合性分析一览表</w:t>
      </w:r>
    </w:p>
    <w:tbl>
      <w:tblPr>
        <w:tblStyle w:val="8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3"/>
        <w:gridCol w:w="3046"/>
        <w:gridCol w:w="920"/>
      </w:tblGrid>
      <w:tr w14:paraId="491D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jc w:val="center"/>
        </w:trPr>
        <w:tc>
          <w:tcPr>
            <w:tcW w:w="2753" w:type="pct"/>
            <w:vAlign w:val="center"/>
          </w:tcPr>
          <w:p w14:paraId="616FC8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b/>
                <w:bCs/>
                <w:color w:val="auto"/>
                <w:sz w:val="21"/>
                <w:szCs w:val="21"/>
                <w:highlight w:val="none"/>
                <w:lang w:val="en-US" w:eastAsia="zh-CN"/>
              </w:rPr>
            </w:pPr>
            <w:r>
              <w:rPr>
                <w:rFonts w:hint="eastAsia" w:ascii="Times New Roman" w:eastAsia="宋体"/>
                <w:b/>
                <w:bCs/>
                <w:color w:val="auto"/>
                <w:sz w:val="21"/>
                <w:szCs w:val="21"/>
                <w:highlight w:val="none"/>
                <w:lang w:val="en-US" w:eastAsia="zh-CN"/>
              </w:rPr>
              <w:t>《审批原则》要求</w:t>
            </w:r>
          </w:p>
        </w:tc>
        <w:tc>
          <w:tcPr>
            <w:tcW w:w="1724" w:type="pct"/>
            <w:vAlign w:val="center"/>
          </w:tcPr>
          <w:p w14:paraId="02FA49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b/>
                <w:bCs/>
                <w:color w:val="auto"/>
                <w:sz w:val="21"/>
                <w:szCs w:val="21"/>
                <w:highlight w:val="none"/>
                <w:lang w:val="en-US" w:eastAsia="zh-CN"/>
              </w:rPr>
            </w:pPr>
            <w:r>
              <w:rPr>
                <w:rFonts w:hint="eastAsia" w:ascii="Times New Roman" w:eastAsia="宋体"/>
                <w:b/>
                <w:bCs/>
                <w:color w:val="auto"/>
                <w:sz w:val="21"/>
                <w:szCs w:val="21"/>
                <w:highlight w:val="none"/>
                <w:lang w:val="en-US" w:eastAsia="zh-CN"/>
              </w:rPr>
              <w:t>项目情况</w:t>
            </w:r>
          </w:p>
        </w:tc>
        <w:tc>
          <w:tcPr>
            <w:tcW w:w="521" w:type="pct"/>
            <w:vAlign w:val="center"/>
          </w:tcPr>
          <w:p w14:paraId="04CD51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b/>
                <w:bCs/>
                <w:color w:val="auto"/>
                <w:sz w:val="21"/>
                <w:szCs w:val="21"/>
                <w:highlight w:val="none"/>
                <w:lang w:val="en-US" w:eastAsia="zh-CN"/>
              </w:rPr>
            </w:pPr>
            <w:r>
              <w:rPr>
                <w:rFonts w:hint="default"/>
                <w:b/>
                <w:bCs/>
                <w:color w:val="auto"/>
                <w:sz w:val="21"/>
                <w:szCs w:val="21"/>
                <w:highlight w:val="none"/>
                <w:lang w:val="en-US" w:eastAsia="zh-CN"/>
              </w:rPr>
              <w:t>符合性</w:t>
            </w:r>
          </w:p>
        </w:tc>
      </w:tr>
      <w:tr w14:paraId="1BE8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3" w:type="pct"/>
            <w:vAlign w:val="center"/>
          </w:tcPr>
          <w:p w14:paraId="51FA23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第一条</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本原则适用于民用机场和军民合用机场建设项目环境影响评价文件的审批。其他类型机场建设项目可参照执行</w:t>
            </w:r>
          </w:p>
        </w:tc>
        <w:tc>
          <w:tcPr>
            <w:tcW w:w="1724" w:type="pct"/>
            <w:vAlign w:val="center"/>
          </w:tcPr>
          <w:p w14:paraId="1D8A83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本项目为民用机场，属于新建通用机场</w:t>
            </w:r>
          </w:p>
        </w:tc>
        <w:tc>
          <w:tcPr>
            <w:tcW w:w="521" w:type="pct"/>
            <w:vAlign w:val="center"/>
          </w:tcPr>
          <w:p w14:paraId="7CFBCC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符合</w:t>
            </w:r>
          </w:p>
        </w:tc>
      </w:tr>
      <w:tr w14:paraId="3CA9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3" w:type="pct"/>
            <w:vAlign w:val="center"/>
          </w:tcPr>
          <w:p w14:paraId="55DD94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第二条</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项目符合环境保护相关法律法规和政策要求，与主体功能区规划、环境功能区划、生态环境保护规划、民航布局及发展规划等相协调，满足相关规划环评要求</w:t>
            </w:r>
          </w:p>
        </w:tc>
        <w:tc>
          <w:tcPr>
            <w:tcW w:w="1724" w:type="pct"/>
            <w:vAlign w:val="center"/>
          </w:tcPr>
          <w:p w14:paraId="3E1C52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项目已开展环境影响评价，符合《环境影响评价技术导则 民用机场建设工程》（HJ87-2023），并已分析项目与生态保护红线（距离艾比湖生态保护红线约10.8km）的关系</w:t>
            </w:r>
          </w:p>
        </w:tc>
        <w:tc>
          <w:tcPr>
            <w:tcW w:w="521" w:type="pct"/>
            <w:vAlign w:val="center"/>
          </w:tcPr>
          <w:p w14:paraId="53E403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符合</w:t>
            </w:r>
          </w:p>
        </w:tc>
      </w:tr>
      <w:tr w14:paraId="3AED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3" w:type="pct"/>
            <w:vAlign w:val="center"/>
          </w:tcPr>
          <w:p w14:paraId="16D129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第三条</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新（迁）建项目从声环境、生态、水环境、土壤环境等环境要素方面开展了多场址方案环境比选，提出了必要的调整、优化要求。项目选址、施工布置不占用自然保护区、风景名胜区、世界文化和自然遗产地、饮用水水源保护区以及其他生态保护红线等环境敏感区中法律法规禁止占用的区域</w:t>
            </w:r>
          </w:p>
        </w:tc>
        <w:tc>
          <w:tcPr>
            <w:tcW w:w="1724" w:type="pct"/>
            <w:vAlign w:val="center"/>
          </w:tcPr>
          <w:p w14:paraId="132BA4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项目选址未占用自然保护区、风景名胜区、饮用水水源保护区等敏感区，已分析场址环境合理性</w:t>
            </w:r>
          </w:p>
        </w:tc>
        <w:tc>
          <w:tcPr>
            <w:tcW w:w="521" w:type="pct"/>
            <w:vAlign w:val="center"/>
          </w:tcPr>
          <w:p w14:paraId="5C6157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符合</w:t>
            </w:r>
          </w:p>
        </w:tc>
      </w:tr>
      <w:tr w14:paraId="369C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3" w:type="pct"/>
            <w:vAlign w:val="center"/>
          </w:tcPr>
          <w:p w14:paraId="31BECF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第四条</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对声环境敏感目标产生不利影响的，在技术、经济、安全可行的条件下，优先采取源头控制措施。对超标的声环境敏感目标，提出了调整跑道布置和方位角、跑道起降比例等工程优化方案，提出了环保拆迁、建筑隔声、周边相关规划控制及调整等措施</w:t>
            </w:r>
            <w:r>
              <w:rPr>
                <w:rFonts w:hint="eastAsia"/>
                <w:color w:val="auto"/>
                <w:sz w:val="21"/>
                <w:szCs w:val="21"/>
                <w:highlight w:val="none"/>
                <w:lang w:val="en-US" w:eastAsia="zh-CN"/>
              </w:rPr>
              <w:t>。在采取上述措施后，对声环境的不利影响能够得到缓解和控制，机场周边声环境敏感目标满足相关标准要求</w:t>
            </w:r>
          </w:p>
        </w:tc>
        <w:tc>
          <w:tcPr>
            <w:tcW w:w="1724" w:type="pct"/>
            <w:vAlign w:val="center"/>
          </w:tcPr>
          <w:p w14:paraId="73B383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环评</w:t>
            </w:r>
            <w:r>
              <w:rPr>
                <w:rFonts w:hint="default"/>
                <w:color w:val="auto"/>
                <w:sz w:val="21"/>
                <w:szCs w:val="21"/>
                <w:highlight w:val="none"/>
                <w:lang w:val="en-US" w:eastAsia="zh-CN"/>
              </w:rPr>
              <w:t>绘制</w:t>
            </w:r>
            <w:r>
              <w:rPr>
                <w:rFonts w:hint="eastAsia"/>
                <w:color w:val="auto"/>
                <w:sz w:val="21"/>
                <w:szCs w:val="21"/>
                <w:highlight w:val="none"/>
                <w:lang w:val="en-US" w:eastAsia="zh-CN"/>
              </w:rPr>
              <w:t>有</w:t>
            </w:r>
            <w:r>
              <w:rPr>
                <w:rFonts w:hint="default"/>
                <w:color w:val="auto"/>
                <w:sz w:val="21"/>
                <w:szCs w:val="21"/>
                <w:highlight w:val="none"/>
                <w:lang w:val="en-US" w:eastAsia="zh-CN"/>
              </w:rPr>
              <w:t>噪声等值线图、</w:t>
            </w:r>
            <w:r>
              <w:rPr>
                <w:rFonts w:hint="eastAsia"/>
                <w:color w:val="auto"/>
                <w:sz w:val="21"/>
                <w:szCs w:val="21"/>
                <w:highlight w:val="none"/>
                <w:lang w:val="en-US" w:eastAsia="zh-CN"/>
              </w:rPr>
              <w:t>提出了相应噪声</w:t>
            </w:r>
            <w:r>
              <w:rPr>
                <w:rFonts w:hint="default"/>
                <w:color w:val="auto"/>
                <w:sz w:val="21"/>
                <w:szCs w:val="21"/>
                <w:highlight w:val="none"/>
                <w:lang w:val="en-US" w:eastAsia="zh-CN"/>
              </w:rPr>
              <w:t>防护措施</w:t>
            </w:r>
            <w:r>
              <w:rPr>
                <w:rFonts w:hint="eastAsia"/>
                <w:color w:val="auto"/>
                <w:sz w:val="21"/>
                <w:szCs w:val="21"/>
                <w:highlight w:val="none"/>
                <w:lang w:val="en-US" w:eastAsia="zh-CN"/>
              </w:rPr>
              <w:t>。项目对声环境的不利影响能够得到缓解和控制，机场周边声环境敏感目标满足相关标准要求</w:t>
            </w:r>
          </w:p>
        </w:tc>
        <w:tc>
          <w:tcPr>
            <w:tcW w:w="521" w:type="pct"/>
            <w:vAlign w:val="center"/>
          </w:tcPr>
          <w:p w14:paraId="060C1D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符合</w:t>
            </w:r>
          </w:p>
        </w:tc>
      </w:tr>
      <w:tr w14:paraId="6103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3" w:type="pct"/>
            <w:vAlign w:val="center"/>
          </w:tcPr>
          <w:p w14:paraId="3192E2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第五条</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对重点保护及珍稀濒危野生动物重要栖息地、保护鸟类迁徙造成不利影响的，提出了调整跑道布置和方位角、优化飞行程序和跑道及起降比例等工程优化方案，提出了运营期灯光和噪声控制、生态修复等措施；对古树名木、重点保护及珍稀濒危野生植物造成不利影响的，采取了避让、工程防护、移栽等措施</w:t>
            </w:r>
            <w:r>
              <w:rPr>
                <w:rFonts w:hint="eastAsia"/>
                <w:color w:val="auto"/>
                <w:sz w:val="21"/>
                <w:szCs w:val="21"/>
                <w:highlight w:val="none"/>
                <w:lang w:val="en-US" w:eastAsia="zh-CN"/>
              </w:rPr>
              <w:t>。</w:t>
            </w:r>
            <w:r>
              <w:rPr>
                <w:rFonts w:hint="default"/>
                <w:color w:val="auto"/>
                <w:sz w:val="21"/>
                <w:szCs w:val="21"/>
                <w:highlight w:val="none"/>
                <w:lang w:val="en-US" w:eastAsia="zh-CN"/>
              </w:rPr>
              <w:t>在采取上述措施后，对重点保护及珍稀濒危野生动植物及其重要生境的不利影响能够得到缓解和控制</w:t>
            </w:r>
          </w:p>
        </w:tc>
        <w:tc>
          <w:tcPr>
            <w:tcW w:w="1724" w:type="pct"/>
            <w:vAlign w:val="center"/>
          </w:tcPr>
          <w:p w14:paraId="473590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项目周边无重点保护动植物集中分布区，</w:t>
            </w:r>
            <w:r>
              <w:rPr>
                <w:rFonts w:hint="eastAsia"/>
                <w:color w:val="auto"/>
                <w:sz w:val="21"/>
                <w:szCs w:val="21"/>
                <w:highlight w:val="none"/>
                <w:lang w:val="en-US" w:eastAsia="zh-CN"/>
              </w:rPr>
              <w:t>环评提出有</w:t>
            </w:r>
            <w:r>
              <w:rPr>
                <w:rFonts w:hint="default"/>
                <w:color w:val="auto"/>
                <w:sz w:val="21"/>
                <w:szCs w:val="21"/>
                <w:highlight w:val="none"/>
                <w:lang w:val="en-US" w:eastAsia="zh-CN"/>
              </w:rPr>
              <w:t>生态修复、驱鸟、植被恢复等措施</w:t>
            </w:r>
            <w:r>
              <w:rPr>
                <w:rFonts w:hint="eastAsia"/>
                <w:color w:val="auto"/>
                <w:sz w:val="21"/>
                <w:szCs w:val="21"/>
                <w:highlight w:val="none"/>
                <w:lang w:val="en-US" w:eastAsia="zh-CN"/>
              </w:rPr>
              <w:t>；提出了优化飞行程序和跑道及起降比例等工程优化方案。对生态不利影响能够得到缓解和控制</w:t>
            </w:r>
          </w:p>
        </w:tc>
        <w:tc>
          <w:tcPr>
            <w:tcW w:w="521" w:type="pct"/>
            <w:vAlign w:val="center"/>
          </w:tcPr>
          <w:p w14:paraId="25CE01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符合</w:t>
            </w:r>
          </w:p>
        </w:tc>
      </w:tr>
      <w:tr w14:paraId="42C6F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3" w:type="pct"/>
            <w:vAlign w:val="center"/>
          </w:tcPr>
          <w:p w14:paraId="5B7AF3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第六条</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针对生活污水、油库区初期雨水、机修废水等污（废）水，提出了收集、处置措施和应满足的相应标准要求，明确了回用、综合利用或排放的具体方式。针对油库及油品输送设施、污水处理设施等，提出了分区防渗、泄漏监测等防止土壤和地下水污染的措施，并提出了土壤和地下水环境监控要求。在采取上述措施后，对水环境和土壤环境的不利影响能够得到缓解和控制，各项污染物达标排放</w:t>
            </w:r>
          </w:p>
        </w:tc>
        <w:tc>
          <w:tcPr>
            <w:tcW w:w="1724" w:type="pct"/>
            <w:vAlign w:val="center"/>
          </w:tcPr>
          <w:p w14:paraId="4770B8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项目</w:t>
            </w:r>
            <w:r>
              <w:rPr>
                <w:rFonts w:hint="default"/>
                <w:color w:val="auto"/>
                <w:sz w:val="21"/>
                <w:szCs w:val="21"/>
                <w:highlight w:val="none"/>
                <w:lang w:val="en-US" w:eastAsia="zh-CN"/>
              </w:rPr>
              <w:t>建设一体化MBR污水处理设施，实现“冬储夏灌”零排放；提出</w:t>
            </w:r>
            <w:r>
              <w:rPr>
                <w:rFonts w:hint="eastAsia"/>
                <w:color w:val="auto"/>
                <w:sz w:val="21"/>
                <w:szCs w:val="21"/>
                <w:highlight w:val="none"/>
                <w:lang w:val="en-US" w:eastAsia="zh-CN"/>
              </w:rPr>
              <w:t>有</w:t>
            </w:r>
            <w:r>
              <w:rPr>
                <w:rFonts w:hint="default"/>
                <w:color w:val="auto"/>
                <w:sz w:val="21"/>
                <w:szCs w:val="21"/>
                <w:highlight w:val="none"/>
                <w:lang w:val="en-US" w:eastAsia="zh-CN"/>
              </w:rPr>
              <w:t>分区防渗、地下水监控</w:t>
            </w:r>
            <w:r>
              <w:rPr>
                <w:rFonts w:hint="eastAsia"/>
                <w:color w:val="auto"/>
                <w:sz w:val="21"/>
                <w:szCs w:val="21"/>
                <w:highlight w:val="none"/>
                <w:lang w:val="en-US" w:eastAsia="zh-CN"/>
              </w:rPr>
              <w:t>等措施。在采取上述措施后，对水环境和土壤环境的不利影响能够得到缓解和控制，各项污染物达标排放</w:t>
            </w:r>
          </w:p>
        </w:tc>
        <w:tc>
          <w:tcPr>
            <w:tcW w:w="521" w:type="pct"/>
            <w:vAlign w:val="center"/>
          </w:tcPr>
          <w:p w14:paraId="5A1129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符合</w:t>
            </w:r>
          </w:p>
        </w:tc>
      </w:tr>
      <w:tr w14:paraId="3238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3" w:type="pct"/>
            <w:vAlign w:val="center"/>
          </w:tcPr>
          <w:p w14:paraId="474C32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第七条</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针对油库及油品输送设施，提出了按照有关规定设置必要的油气回收措施。有场区供暖设施的，提出了大气污染防治措施和要求。针对年旅客吞吐量（近期或远期）超千万人次机场，结合飞机尾气影响预测，提出了必要的对策建议。在采取上述措施后，对环境空气的不利影响能够得到缓解和控制，各项污染物达标排放</w:t>
            </w:r>
          </w:p>
        </w:tc>
        <w:tc>
          <w:tcPr>
            <w:tcW w:w="1724" w:type="pct"/>
            <w:vAlign w:val="center"/>
          </w:tcPr>
          <w:p w14:paraId="525E12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项目年旅客吞吐量远低于千万人次，未设油库，采用电锅炉，飞机尾气通过自身净化系统处理</w:t>
            </w:r>
            <w:r>
              <w:rPr>
                <w:rFonts w:hint="eastAsia"/>
                <w:color w:val="auto"/>
                <w:sz w:val="21"/>
                <w:szCs w:val="21"/>
                <w:highlight w:val="none"/>
                <w:lang w:val="en-US" w:eastAsia="zh-CN"/>
              </w:rPr>
              <w:t>。在采取上述措施后，对环境空气的不利影响能够得到缓解和控制，各项污染物达标排放</w:t>
            </w:r>
          </w:p>
        </w:tc>
        <w:tc>
          <w:tcPr>
            <w:tcW w:w="521" w:type="pct"/>
            <w:vAlign w:val="center"/>
          </w:tcPr>
          <w:p w14:paraId="75406C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符合</w:t>
            </w:r>
          </w:p>
        </w:tc>
      </w:tr>
      <w:tr w14:paraId="019D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3" w:type="pct"/>
            <w:vAlign w:val="center"/>
          </w:tcPr>
          <w:p w14:paraId="3CAF71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第八条</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按照</w:t>
            </w:r>
            <w:r>
              <w:rPr>
                <w:rFonts w:hint="eastAsia"/>
                <w:color w:val="auto"/>
                <w:sz w:val="21"/>
                <w:szCs w:val="21"/>
                <w:highlight w:val="none"/>
                <w:lang w:val="en-US" w:eastAsia="zh-CN"/>
              </w:rPr>
              <w:t>“</w:t>
            </w:r>
            <w:r>
              <w:rPr>
                <w:rFonts w:hint="default"/>
                <w:color w:val="auto"/>
                <w:sz w:val="21"/>
                <w:szCs w:val="21"/>
                <w:highlight w:val="none"/>
                <w:lang w:val="en-US" w:eastAsia="zh-CN"/>
              </w:rPr>
              <w:t>减量化、资源化、无害化</w:t>
            </w:r>
            <w:r>
              <w:rPr>
                <w:rFonts w:hint="eastAsia"/>
                <w:color w:val="auto"/>
                <w:sz w:val="21"/>
                <w:szCs w:val="21"/>
                <w:highlight w:val="none"/>
                <w:lang w:val="en-US" w:eastAsia="zh-CN"/>
              </w:rPr>
              <w:t>”</w:t>
            </w:r>
            <w:r>
              <w:rPr>
                <w:rFonts w:hint="default"/>
                <w:color w:val="auto"/>
                <w:sz w:val="21"/>
                <w:szCs w:val="21"/>
                <w:highlight w:val="none"/>
                <w:lang w:val="en-US" w:eastAsia="zh-CN"/>
              </w:rPr>
              <w:t>的原则，提出了固体废物分类收集、贮存、运输、处理处置的相应措施。其中，危险废物的收集、贮存、运输和处置符合国家相关规定。变电站、空管系统、导航系统等工程的电磁环境影响符合相关标准要求</w:t>
            </w:r>
          </w:p>
        </w:tc>
        <w:tc>
          <w:tcPr>
            <w:tcW w:w="1724" w:type="pct"/>
            <w:vAlign w:val="center"/>
          </w:tcPr>
          <w:p w14:paraId="19E366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项目</w:t>
            </w:r>
            <w:r>
              <w:rPr>
                <w:rFonts w:hint="default"/>
                <w:color w:val="auto"/>
                <w:sz w:val="21"/>
                <w:szCs w:val="21"/>
                <w:highlight w:val="none"/>
                <w:lang w:val="en-US" w:eastAsia="zh-CN"/>
              </w:rPr>
              <w:t>设垃圾收集站，危废委托有资质单位处理；</w:t>
            </w:r>
            <w:r>
              <w:rPr>
                <w:rFonts w:hint="eastAsia"/>
                <w:color w:val="auto"/>
                <w:sz w:val="21"/>
                <w:szCs w:val="21"/>
                <w:highlight w:val="none"/>
                <w:lang w:val="en-US" w:eastAsia="zh-CN"/>
              </w:rPr>
              <w:t>项目建设为非仪表跑道，不设导航设备，均为豁免设备</w:t>
            </w:r>
          </w:p>
        </w:tc>
        <w:tc>
          <w:tcPr>
            <w:tcW w:w="521" w:type="pct"/>
            <w:vAlign w:val="center"/>
          </w:tcPr>
          <w:p w14:paraId="7E4EE9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符合</w:t>
            </w:r>
          </w:p>
        </w:tc>
      </w:tr>
      <w:tr w14:paraId="14BF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3" w:type="pct"/>
            <w:vAlign w:val="center"/>
          </w:tcPr>
          <w:p w14:paraId="03AFFC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第九条</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项目施工组织方案具有环境合理性，对取、弃土（渣）场、施工场地等提出了防治水土流失和生态修复等措施。对施工期各类废（污）水、噪声、废气、固体废物等提出了防治或处置措施，符合环境保护相关标准和要求。其中，针对涉及净空区处理和高填深挖的项目，结合施工方案设计、地貌条件和区域生态类型，提出了合理平衡土石方尽量减少弃渣、植被恢复等措施。在采取上述措施后，施工过程环境影响得到缓解和控制，不对周围生态环境和敏感目标产生重大不利影响</w:t>
            </w:r>
          </w:p>
        </w:tc>
        <w:tc>
          <w:tcPr>
            <w:tcW w:w="1724" w:type="pct"/>
            <w:vAlign w:val="center"/>
          </w:tcPr>
          <w:p w14:paraId="462B09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提出</w:t>
            </w:r>
            <w:r>
              <w:rPr>
                <w:rFonts w:hint="eastAsia"/>
                <w:color w:val="auto"/>
                <w:sz w:val="21"/>
                <w:szCs w:val="21"/>
                <w:highlight w:val="none"/>
                <w:lang w:val="en-US" w:eastAsia="zh-CN"/>
              </w:rPr>
              <w:t>有</w:t>
            </w:r>
            <w:r>
              <w:rPr>
                <w:rFonts w:hint="default"/>
                <w:color w:val="auto"/>
                <w:sz w:val="21"/>
                <w:szCs w:val="21"/>
                <w:highlight w:val="none"/>
                <w:lang w:val="en-US" w:eastAsia="zh-CN"/>
              </w:rPr>
              <w:t>施工期扬尘控制、水土保持、生态修复、临时堆土防护等措施</w:t>
            </w:r>
          </w:p>
        </w:tc>
        <w:tc>
          <w:tcPr>
            <w:tcW w:w="521" w:type="pct"/>
            <w:vAlign w:val="center"/>
          </w:tcPr>
          <w:p w14:paraId="211161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符合</w:t>
            </w:r>
          </w:p>
        </w:tc>
      </w:tr>
      <w:tr w14:paraId="4D19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3" w:type="pct"/>
            <w:vAlign w:val="center"/>
          </w:tcPr>
          <w:p w14:paraId="5A1EA6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第十条</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针对油库及油品输送设施等可能引发的环境风险，提出了调整平面布局、优化设计、设置应急事故池等风险防范措施，以及储备应急物资、编制环境应急预案、与当地人民政府及相关部门、有关单位建立应急联动机制等要求</w:t>
            </w:r>
          </w:p>
        </w:tc>
        <w:tc>
          <w:tcPr>
            <w:tcW w:w="1724" w:type="pct"/>
            <w:vAlign w:val="center"/>
          </w:tcPr>
          <w:p w14:paraId="2A311D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环评报告要求建设单位</w:t>
            </w:r>
            <w:r>
              <w:rPr>
                <w:rFonts w:hint="default"/>
                <w:color w:val="auto"/>
                <w:sz w:val="21"/>
                <w:szCs w:val="21"/>
                <w:highlight w:val="none"/>
                <w:lang w:val="en-US" w:eastAsia="zh-CN"/>
              </w:rPr>
              <w:t>编制突发环境事件应急预案，提出驱鸟、防渗、应急物资储备等措施</w:t>
            </w:r>
          </w:p>
        </w:tc>
        <w:tc>
          <w:tcPr>
            <w:tcW w:w="521" w:type="pct"/>
            <w:vAlign w:val="center"/>
          </w:tcPr>
          <w:p w14:paraId="79DFE3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符合</w:t>
            </w:r>
          </w:p>
        </w:tc>
      </w:tr>
      <w:tr w14:paraId="19A8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3" w:type="pct"/>
            <w:vAlign w:val="center"/>
          </w:tcPr>
          <w:p w14:paraId="3F5245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第十一条</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改、扩建项目全面梳理了既有相关工程存在的环保问题，提出了</w:t>
            </w:r>
            <w:r>
              <w:rPr>
                <w:rFonts w:hint="eastAsia"/>
                <w:color w:val="auto"/>
                <w:sz w:val="21"/>
                <w:szCs w:val="21"/>
                <w:highlight w:val="none"/>
                <w:lang w:val="en-US" w:eastAsia="zh-CN"/>
              </w:rPr>
              <w:t>“</w:t>
            </w:r>
            <w:r>
              <w:rPr>
                <w:rFonts w:hint="default"/>
                <w:color w:val="auto"/>
                <w:sz w:val="21"/>
                <w:szCs w:val="21"/>
                <w:highlight w:val="none"/>
                <w:lang w:val="en-US" w:eastAsia="zh-CN"/>
              </w:rPr>
              <w:t>以新带老</w:t>
            </w:r>
            <w:r>
              <w:rPr>
                <w:rFonts w:hint="eastAsia"/>
                <w:color w:val="auto"/>
                <w:sz w:val="21"/>
                <w:szCs w:val="21"/>
                <w:highlight w:val="none"/>
                <w:lang w:val="en-US" w:eastAsia="zh-CN"/>
              </w:rPr>
              <w:t>”</w:t>
            </w:r>
            <w:r>
              <w:rPr>
                <w:rFonts w:hint="default"/>
                <w:color w:val="auto"/>
                <w:sz w:val="21"/>
                <w:szCs w:val="21"/>
                <w:highlight w:val="none"/>
                <w:lang w:val="en-US" w:eastAsia="zh-CN"/>
              </w:rPr>
              <w:t>措施</w:t>
            </w:r>
          </w:p>
        </w:tc>
        <w:tc>
          <w:tcPr>
            <w:tcW w:w="1724" w:type="pct"/>
            <w:vAlign w:val="center"/>
          </w:tcPr>
          <w:p w14:paraId="17C208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本项目为新建，不涉及既有工程</w:t>
            </w:r>
          </w:p>
        </w:tc>
        <w:tc>
          <w:tcPr>
            <w:tcW w:w="521" w:type="pct"/>
            <w:vAlign w:val="center"/>
          </w:tcPr>
          <w:p w14:paraId="767390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w:t>
            </w:r>
          </w:p>
        </w:tc>
      </w:tr>
      <w:tr w14:paraId="245EA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3" w:type="pct"/>
            <w:vAlign w:val="center"/>
          </w:tcPr>
          <w:p w14:paraId="4DD719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第十二条</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按相关导则及规定要求制定了声环境、生态、水环境、大气环境等监测计划，明确了监测网点、因子、频次等有关要求，提出了开展环境影响后评价、根据监测评估结果优化环境保护措施的要求。根据需要和相关规定，提出了环境保护设计、开展相关科学研究、环境管理等要求。针对年旅客吞吐量（近期或远期）超千万人次机场，提出了设置机场环境空气质量自动监测系统，以及在机场和主要声环境敏感区设置噪声实时监测系统的要求</w:t>
            </w:r>
          </w:p>
        </w:tc>
        <w:tc>
          <w:tcPr>
            <w:tcW w:w="1724" w:type="pct"/>
            <w:vAlign w:val="center"/>
          </w:tcPr>
          <w:p w14:paraId="6D40E6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报告</w:t>
            </w:r>
            <w:r>
              <w:rPr>
                <w:rFonts w:hint="default"/>
                <w:color w:val="auto"/>
                <w:sz w:val="21"/>
                <w:szCs w:val="21"/>
                <w:highlight w:val="none"/>
                <w:lang w:val="en-US" w:eastAsia="zh-CN"/>
              </w:rPr>
              <w:t>提出</w:t>
            </w:r>
            <w:r>
              <w:rPr>
                <w:rFonts w:hint="eastAsia"/>
                <w:color w:val="auto"/>
                <w:sz w:val="21"/>
                <w:szCs w:val="21"/>
                <w:highlight w:val="none"/>
                <w:lang w:val="en-US" w:eastAsia="zh-CN"/>
              </w:rPr>
              <w:t>有</w:t>
            </w:r>
            <w:r>
              <w:rPr>
                <w:rFonts w:hint="default"/>
                <w:color w:val="auto"/>
                <w:sz w:val="21"/>
                <w:szCs w:val="21"/>
                <w:highlight w:val="none"/>
                <w:lang w:val="en-US" w:eastAsia="zh-CN"/>
              </w:rPr>
              <w:t>声环境、生态、水环境等监测计划</w:t>
            </w:r>
          </w:p>
        </w:tc>
        <w:tc>
          <w:tcPr>
            <w:tcW w:w="521" w:type="pct"/>
            <w:vAlign w:val="center"/>
          </w:tcPr>
          <w:p w14:paraId="7BD66E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符合</w:t>
            </w:r>
          </w:p>
        </w:tc>
      </w:tr>
      <w:tr w14:paraId="3735F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3" w:type="pct"/>
            <w:vAlign w:val="center"/>
          </w:tcPr>
          <w:p w14:paraId="4867DE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第十三条</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对环境保护措施进行了深入论证，建设单位主体责任、投资估算、时间节点、预期效果明确，确保科学有效、安全可行、绿色协调</w:t>
            </w:r>
          </w:p>
        </w:tc>
        <w:tc>
          <w:tcPr>
            <w:tcW w:w="1724" w:type="pct"/>
            <w:vAlign w:val="center"/>
          </w:tcPr>
          <w:p w14:paraId="659003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本项目</w:t>
            </w:r>
            <w:r>
              <w:rPr>
                <w:rFonts w:hint="default"/>
                <w:color w:val="auto"/>
                <w:sz w:val="21"/>
                <w:szCs w:val="21"/>
                <w:highlight w:val="none"/>
                <w:lang w:val="en-US" w:eastAsia="zh-CN"/>
              </w:rPr>
              <w:t>环保投资855万元，措施具体，科学有效、安全可行、绿色协调</w:t>
            </w:r>
          </w:p>
        </w:tc>
        <w:tc>
          <w:tcPr>
            <w:tcW w:w="521" w:type="pct"/>
            <w:vAlign w:val="center"/>
          </w:tcPr>
          <w:p w14:paraId="0DD95B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符合</w:t>
            </w:r>
          </w:p>
        </w:tc>
      </w:tr>
      <w:tr w14:paraId="10D4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3" w:type="pct"/>
            <w:vAlign w:val="center"/>
          </w:tcPr>
          <w:p w14:paraId="57132E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第十四条</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按相关规定开展了信息公开和公众参与</w:t>
            </w:r>
          </w:p>
        </w:tc>
        <w:tc>
          <w:tcPr>
            <w:tcW w:w="1724" w:type="pct"/>
            <w:vAlign w:val="center"/>
          </w:tcPr>
          <w:p w14:paraId="6B1B15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已开展</w:t>
            </w:r>
          </w:p>
        </w:tc>
        <w:tc>
          <w:tcPr>
            <w:tcW w:w="521" w:type="pct"/>
            <w:vAlign w:val="center"/>
          </w:tcPr>
          <w:p w14:paraId="05788C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符合</w:t>
            </w:r>
          </w:p>
        </w:tc>
      </w:tr>
      <w:tr w14:paraId="7144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3" w:type="pct"/>
            <w:vAlign w:val="center"/>
          </w:tcPr>
          <w:p w14:paraId="042455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第十五条</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环境影响评价文件编制规范，符合相关管理规定和环评技术标准要求</w:t>
            </w:r>
          </w:p>
        </w:tc>
        <w:tc>
          <w:tcPr>
            <w:tcW w:w="1724" w:type="pct"/>
            <w:vAlign w:val="center"/>
          </w:tcPr>
          <w:p w14:paraId="1BE37D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文件依据《HJ87-2023》编制，内容全面，结构清晰</w:t>
            </w:r>
          </w:p>
        </w:tc>
        <w:tc>
          <w:tcPr>
            <w:tcW w:w="521" w:type="pct"/>
            <w:vAlign w:val="center"/>
          </w:tcPr>
          <w:p w14:paraId="7EE85D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符合</w:t>
            </w:r>
          </w:p>
        </w:tc>
      </w:tr>
    </w:tbl>
    <w:p w14:paraId="6E1EFFCE">
      <w:pPr>
        <w:pageBreakBefore w:val="0"/>
        <w:widowControl/>
        <w:kinsoku/>
        <w:wordWrap/>
        <w:overflowPunct/>
        <w:bidi w:val="0"/>
        <w:ind w:right="6" w:firstLine="480" w:firstLineChars="200"/>
        <w:jc w:val="both"/>
        <w:rPr>
          <w:rFonts w:hint="default" w:ascii="Times New Roman" w:hAnsi="Times New Roman" w:cs="Times New Roman"/>
          <w:color w:val="auto"/>
          <w:szCs w:val="21"/>
          <w:highlight w:val="none"/>
          <w:lang w:val="en-US" w:eastAsia="zh-CN"/>
        </w:rPr>
      </w:pPr>
      <w:r>
        <w:rPr>
          <w:rFonts w:hint="eastAsia" w:cs="Times New Roman"/>
          <w:color w:val="auto"/>
          <w:szCs w:val="21"/>
          <w:highlight w:val="none"/>
          <w:lang w:val="en-US" w:eastAsia="zh-CN"/>
        </w:rPr>
        <w:t>综上，本项目建设符合《机场建设项目环境影响评价文件审批原则（试行）》（环办环评〔2018〕2号）</w:t>
      </w:r>
      <w:r>
        <w:rPr>
          <w:rFonts w:hint="eastAsia" w:ascii="Times New Roman" w:hAnsi="Times New Roman" w:cs="Times New Roman"/>
          <w:color w:val="auto"/>
          <w:szCs w:val="21"/>
          <w:highlight w:val="none"/>
          <w:lang w:val="en-US" w:eastAsia="zh-CN"/>
        </w:rPr>
        <w:t>。</w:t>
      </w:r>
    </w:p>
    <w:p w14:paraId="2414D03F">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生态环境分区管控</w:t>
      </w:r>
      <w:r>
        <w:rPr>
          <w:rFonts w:hint="eastAsia" w:eastAsia="黑体" w:cs="Times New Roman"/>
          <w:color w:val="auto"/>
          <w:spacing w:val="0"/>
          <w:kern w:val="2"/>
          <w:sz w:val="28"/>
          <w:szCs w:val="28"/>
          <w:highlight w:val="none"/>
          <w:lang w:val="en-US" w:eastAsia="zh-CN" w:bidi="ar-SA"/>
        </w:rPr>
        <w:t>符合性分析</w:t>
      </w:r>
    </w:p>
    <w:p w14:paraId="77E15782">
      <w:pPr>
        <w:pageBreakBefore w:val="0"/>
        <w:tabs>
          <w:tab w:val="left" w:pos="720"/>
        </w:tabs>
        <w:kinsoku/>
        <w:overflowPunct/>
        <w:autoSpaceDE w:val="0"/>
        <w:autoSpaceDN w:val="0"/>
        <w:bidi w:val="0"/>
        <w:spacing w:line="360" w:lineRule="auto"/>
        <w:ind w:right="17" w:firstLine="480" w:firstLineChars="200"/>
        <w:rPr>
          <w:rFonts w:hint="eastAsia" w:ascii="Times New Roman" w:hAnsi="Times New Roman" w:eastAsia="宋体" w:cs="Times New Roman"/>
          <w:bCs/>
          <w:color w:val="auto"/>
          <w:sz w:val="24"/>
          <w:highlight w:val="none"/>
        </w:rPr>
      </w:pPr>
      <w:r>
        <w:rPr>
          <w:rFonts w:hint="eastAsia" w:ascii="Times New Roman" w:hAnsi="Times New Roman" w:eastAsia="宋体" w:cs="Times New Roman"/>
          <w:bCs/>
          <w:color w:val="auto"/>
          <w:sz w:val="24"/>
          <w:highlight w:val="none"/>
          <w:lang w:val="en-US" w:eastAsia="zh-CN"/>
        </w:rPr>
        <w:t>根据《2023年博尔塔拉蒙古自治州“三线一单”生态环境分区管控动态更新成果》（博州环发〔2024〕16号），本项目所在单元为“精河县一般管控单元1（ZH65272230001）”。</w:t>
      </w:r>
      <w:r>
        <w:rPr>
          <w:rFonts w:hint="eastAsia" w:ascii="Times New Roman" w:hAnsi="Times New Roman" w:eastAsia="宋体" w:cs="Times New Roman"/>
          <w:bCs/>
          <w:color w:val="auto"/>
          <w:sz w:val="24"/>
          <w:highlight w:val="none"/>
        </w:rPr>
        <w:t>本</w:t>
      </w:r>
      <w:r>
        <w:rPr>
          <w:rFonts w:hint="eastAsia" w:ascii="Times New Roman" w:hAnsi="Times New Roman" w:eastAsia="宋体" w:cs="Times New Roman"/>
          <w:bCs/>
          <w:color w:val="auto"/>
          <w:sz w:val="24"/>
          <w:highlight w:val="none"/>
          <w:lang w:val="en-US" w:eastAsia="zh-CN"/>
        </w:rPr>
        <w:t>项目</w:t>
      </w:r>
      <w:r>
        <w:rPr>
          <w:rFonts w:hint="eastAsia" w:ascii="Times New Roman" w:hAnsi="Times New Roman" w:eastAsia="宋体" w:cs="Times New Roman"/>
          <w:bCs/>
          <w:color w:val="auto"/>
          <w:sz w:val="24"/>
          <w:highlight w:val="none"/>
        </w:rPr>
        <w:t>与生态环境分区管控</w:t>
      </w:r>
      <w:r>
        <w:rPr>
          <w:rFonts w:hint="eastAsia" w:ascii="Times New Roman" w:hAnsi="Times New Roman" w:eastAsia="宋体" w:cs="Times New Roman"/>
          <w:bCs/>
          <w:color w:val="auto"/>
          <w:sz w:val="24"/>
          <w:highlight w:val="none"/>
          <w:lang w:val="en-US" w:eastAsia="zh-CN"/>
        </w:rPr>
        <w:t>单元</w:t>
      </w:r>
      <w:r>
        <w:rPr>
          <w:rFonts w:hint="eastAsia" w:ascii="Times New Roman" w:hAnsi="Times New Roman" w:eastAsia="宋体" w:cs="Times New Roman"/>
          <w:bCs/>
          <w:color w:val="auto"/>
          <w:sz w:val="24"/>
          <w:highlight w:val="none"/>
        </w:rPr>
        <w:t>的符合性见</w:t>
      </w:r>
      <w:r>
        <w:rPr>
          <w:rFonts w:hint="eastAsia" w:ascii="Times New Roman" w:hAnsi="Times New Roman" w:eastAsia="宋体" w:cs="Times New Roman"/>
          <w:bCs/>
          <w:color w:val="auto"/>
          <w:sz w:val="24"/>
          <w:highlight w:val="none"/>
          <w:lang w:val="en-US" w:eastAsia="zh-CN"/>
        </w:rPr>
        <w:t>下</w:t>
      </w:r>
      <w:r>
        <w:rPr>
          <w:rFonts w:hint="eastAsia" w:ascii="Times New Roman" w:hAnsi="Times New Roman" w:eastAsia="宋体" w:cs="Times New Roman"/>
          <w:bCs/>
          <w:color w:val="auto"/>
          <w:sz w:val="24"/>
          <w:highlight w:val="none"/>
        </w:rPr>
        <w:t>表</w:t>
      </w:r>
      <w:r>
        <w:rPr>
          <w:rFonts w:hint="eastAsia" w:cs="Times New Roman"/>
          <w:bCs/>
          <w:color w:val="auto"/>
          <w:sz w:val="24"/>
          <w:highlight w:val="none"/>
          <w:lang w:eastAsia="zh-CN"/>
        </w:rPr>
        <w:t>：</w:t>
      </w:r>
    </w:p>
    <w:p w14:paraId="1BCAAA54">
      <w:pPr>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ascii="黑体" w:hAnsi="黑体" w:eastAsia="黑体" w:cs="黑体"/>
          <w:bCs/>
          <w:color w:val="auto"/>
          <w:kern w:val="0"/>
          <w:sz w:val="21"/>
          <w:szCs w:val="21"/>
          <w:highlight w:val="none"/>
          <w:lang w:val="en-US" w:eastAsia="zh-CN" w:bidi="ar"/>
        </w:rPr>
      </w:pPr>
      <w:r>
        <w:rPr>
          <w:rFonts w:hint="eastAsia" w:ascii="黑体" w:hAnsi="黑体" w:eastAsia="黑体" w:cs="黑体"/>
          <w:bCs/>
          <w:color w:val="auto"/>
          <w:kern w:val="0"/>
          <w:sz w:val="21"/>
          <w:szCs w:val="21"/>
          <w:highlight w:val="none"/>
          <w:lang w:val="en-US" w:eastAsia="zh-CN" w:bidi="ar"/>
        </w:rPr>
        <w:t>表3.7-2  本项目与生态环境分区管控符合性分析一览表</w:t>
      </w:r>
    </w:p>
    <w:tbl>
      <w:tblPr>
        <w:tblStyle w:val="8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159"/>
        <w:gridCol w:w="4301"/>
        <w:gridCol w:w="1487"/>
        <w:gridCol w:w="934"/>
        <w:gridCol w:w="948"/>
      </w:tblGrid>
      <w:tr w14:paraId="7170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656" w:type="pct"/>
            <w:vAlign w:val="center"/>
          </w:tcPr>
          <w:p w14:paraId="437C0BDD">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auto"/>
                <w:kern w:val="0"/>
                <w:sz w:val="21"/>
                <w:szCs w:val="21"/>
                <w:highlight w:val="none"/>
                <w:lang w:val="en-US" w:eastAsia="zh-CN" w:bidi="ar-SA"/>
              </w:rPr>
            </w:pPr>
            <w:r>
              <w:rPr>
                <w:rFonts w:hint="eastAsia" w:ascii="Times New Roman" w:hAnsi="Times New Roman" w:eastAsia="宋体" w:cs="宋体"/>
                <w:b/>
                <w:bCs w:val="0"/>
                <w:color w:val="auto"/>
                <w:kern w:val="0"/>
                <w:sz w:val="21"/>
                <w:szCs w:val="21"/>
                <w:highlight w:val="none"/>
                <w:lang w:val="en-US" w:eastAsia="zh-CN" w:bidi="ar-SA"/>
              </w:rPr>
              <w:t>单元编码</w:t>
            </w:r>
          </w:p>
        </w:tc>
        <w:tc>
          <w:tcPr>
            <w:tcW w:w="2435" w:type="pct"/>
            <w:vAlign w:val="center"/>
          </w:tcPr>
          <w:p w14:paraId="216870A2">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auto"/>
                <w:kern w:val="0"/>
                <w:sz w:val="21"/>
                <w:szCs w:val="21"/>
                <w:highlight w:val="none"/>
                <w:lang w:val="en-US" w:eastAsia="zh-CN" w:bidi="ar-SA"/>
              </w:rPr>
            </w:pPr>
            <w:r>
              <w:rPr>
                <w:rFonts w:hint="eastAsia" w:ascii="Times New Roman" w:hAnsi="Times New Roman" w:eastAsia="宋体" w:cs="宋体"/>
                <w:b/>
                <w:bCs w:val="0"/>
                <w:color w:val="auto"/>
                <w:kern w:val="0"/>
                <w:sz w:val="21"/>
                <w:szCs w:val="21"/>
                <w:highlight w:val="none"/>
                <w:lang w:val="en-US" w:eastAsia="zh-CN" w:bidi="ar-SA"/>
              </w:rPr>
              <w:t>单元名称</w:t>
            </w:r>
          </w:p>
        </w:tc>
        <w:tc>
          <w:tcPr>
            <w:tcW w:w="842" w:type="pct"/>
            <w:vAlign w:val="center"/>
          </w:tcPr>
          <w:p w14:paraId="31ABB4CB">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auto"/>
                <w:kern w:val="0"/>
                <w:sz w:val="21"/>
                <w:szCs w:val="21"/>
                <w:highlight w:val="none"/>
                <w:lang w:val="en-US" w:eastAsia="zh-CN" w:bidi="ar-SA"/>
              </w:rPr>
            </w:pPr>
            <w:r>
              <w:rPr>
                <w:rFonts w:hint="eastAsia" w:ascii="Times New Roman" w:hAnsi="Times New Roman" w:eastAsia="宋体" w:cs="宋体"/>
                <w:b/>
                <w:bCs w:val="0"/>
                <w:color w:val="auto"/>
                <w:kern w:val="0"/>
                <w:sz w:val="21"/>
                <w:szCs w:val="21"/>
                <w:highlight w:val="none"/>
                <w:lang w:val="en-US" w:eastAsia="zh-CN" w:bidi="ar-SA"/>
              </w:rPr>
              <w:t>单元属性</w:t>
            </w:r>
          </w:p>
        </w:tc>
        <w:tc>
          <w:tcPr>
            <w:tcW w:w="528" w:type="pct"/>
            <w:vAlign w:val="center"/>
          </w:tcPr>
          <w:p w14:paraId="0C7518A3">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auto"/>
                <w:kern w:val="0"/>
                <w:sz w:val="21"/>
                <w:szCs w:val="21"/>
                <w:highlight w:val="none"/>
                <w:lang w:val="en-US" w:eastAsia="zh-CN" w:bidi="ar-SA"/>
              </w:rPr>
            </w:pPr>
            <w:r>
              <w:rPr>
                <w:rFonts w:hint="eastAsia" w:ascii="Times New Roman" w:hAnsi="Times New Roman" w:eastAsia="宋体" w:cs="宋体"/>
                <w:b/>
                <w:bCs w:val="0"/>
                <w:color w:val="auto"/>
                <w:kern w:val="0"/>
                <w:sz w:val="21"/>
                <w:szCs w:val="21"/>
                <w:highlight w:val="none"/>
                <w:lang w:val="en-US" w:eastAsia="zh-CN" w:bidi="ar-SA"/>
              </w:rPr>
              <w:t>单元特征</w:t>
            </w:r>
          </w:p>
        </w:tc>
        <w:tc>
          <w:tcPr>
            <w:tcW w:w="536" w:type="pct"/>
            <w:vAlign w:val="center"/>
          </w:tcPr>
          <w:p w14:paraId="151207E6">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auto"/>
                <w:kern w:val="0"/>
                <w:sz w:val="21"/>
                <w:szCs w:val="21"/>
                <w:highlight w:val="none"/>
                <w:lang w:val="en-US" w:eastAsia="zh-CN" w:bidi="ar-SA"/>
              </w:rPr>
            </w:pPr>
            <w:r>
              <w:rPr>
                <w:rFonts w:hint="eastAsia" w:ascii="Times New Roman" w:hAnsi="Times New Roman" w:eastAsia="宋体" w:cs="宋体"/>
                <w:b/>
                <w:bCs w:val="0"/>
                <w:color w:val="auto"/>
                <w:kern w:val="0"/>
                <w:sz w:val="21"/>
                <w:szCs w:val="21"/>
                <w:highlight w:val="none"/>
                <w:lang w:val="en-US" w:eastAsia="zh-CN" w:bidi="ar-SA"/>
              </w:rPr>
              <w:t>环境要素属性</w:t>
            </w:r>
          </w:p>
        </w:tc>
      </w:tr>
      <w:tr w14:paraId="3164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656" w:type="pct"/>
            <w:vAlign w:val="center"/>
          </w:tcPr>
          <w:p w14:paraId="5E953D90">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lang w:val="en-US" w:eastAsia="zh-CN" w:bidi="ar-SA"/>
              </w:rPr>
              <w:t>ZH65272230001</w:t>
            </w:r>
          </w:p>
        </w:tc>
        <w:tc>
          <w:tcPr>
            <w:tcW w:w="2435" w:type="pct"/>
            <w:vAlign w:val="center"/>
          </w:tcPr>
          <w:p w14:paraId="6883AE8D">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lang w:val="en-US" w:eastAsia="zh-CN" w:bidi="ar-SA"/>
              </w:rPr>
              <w:t>精河县一般管控单元1</w:t>
            </w:r>
          </w:p>
        </w:tc>
        <w:tc>
          <w:tcPr>
            <w:tcW w:w="842" w:type="pct"/>
            <w:vAlign w:val="center"/>
          </w:tcPr>
          <w:p w14:paraId="72465A05">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lang w:val="en-US" w:eastAsia="zh-CN" w:bidi="ar-SA"/>
              </w:rPr>
              <w:t>一般管控单元</w:t>
            </w:r>
          </w:p>
        </w:tc>
        <w:tc>
          <w:tcPr>
            <w:tcW w:w="528" w:type="pct"/>
            <w:vAlign w:val="center"/>
          </w:tcPr>
          <w:p w14:paraId="599284DA">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0"/>
                <w:sz w:val="21"/>
                <w:szCs w:val="21"/>
                <w:highlight w:val="none"/>
                <w:lang w:val="en-US" w:eastAsia="zh-CN" w:bidi="ar-SA"/>
              </w:rPr>
            </w:pPr>
            <w:r>
              <w:rPr>
                <w:rFonts w:hint="eastAsia" w:ascii="Times New Roman" w:hAnsi="Times New Roman" w:eastAsia="宋体" w:cs="Times New Roman"/>
                <w:bCs/>
                <w:color w:val="auto"/>
                <w:kern w:val="0"/>
                <w:sz w:val="21"/>
                <w:szCs w:val="21"/>
                <w:highlight w:val="none"/>
                <w:lang w:val="en-US" w:eastAsia="zh-CN" w:bidi="ar-SA"/>
              </w:rPr>
              <w:t>——</w:t>
            </w:r>
          </w:p>
        </w:tc>
        <w:tc>
          <w:tcPr>
            <w:tcW w:w="536" w:type="pct"/>
            <w:vAlign w:val="center"/>
          </w:tcPr>
          <w:p w14:paraId="7B917DC3">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0"/>
                <w:sz w:val="21"/>
                <w:szCs w:val="21"/>
                <w:highlight w:val="none"/>
                <w:lang w:val="en-US" w:eastAsia="zh-CN" w:bidi="ar-SA"/>
              </w:rPr>
            </w:pPr>
            <w:r>
              <w:rPr>
                <w:rFonts w:hint="eastAsia" w:ascii="Times New Roman" w:hAnsi="Times New Roman" w:eastAsia="宋体" w:cs="Times New Roman"/>
                <w:bCs/>
                <w:color w:val="auto"/>
                <w:kern w:val="0"/>
                <w:sz w:val="21"/>
                <w:szCs w:val="21"/>
                <w:highlight w:val="none"/>
                <w:lang w:val="en-US" w:eastAsia="zh-CN" w:bidi="ar-SA"/>
              </w:rPr>
              <w:t>——</w:t>
            </w:r>
          </w:p>
        </w:tc>
      </w:tr>
      <w:tr w14:paraId="4596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656" w:type="pct"/>
            <w:vAlign w:val="center"/>
          </w:tcPr>
          <w:p w14:paraId="24539740">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auto"/>
                <w:kern w:val="0"/>
                <w:sz w:val="21"/>
                <w:szCs w:val="21"/>
                <w:highlight w:val="none"/>
                <w:lang w:val="en-US" w:eastAsia="zh-CN" w:bidi="ar-SA"/>
              </w:rPr>
            </w:pPr>
            <w:r>
              <w:rPr>
                <w:rFonts w:hint="eastAsia" w:ascii="Times New Roman" w:hAnsi="Times New Roman" w:eastAsia="宋体" w:cs="宋体"/>
                <w:b/>
                <w:bCs w:val="0"/>
                <w:color w:val="auto"/>
                <w:kern w:val="0"/>
                <w:sz w:val="21"/>
                <w:szCs w:val="21"/>
                <w:highlight w:val="none"/>
                <w:lang w:val="en-US" w:eastAsia="zh-CN" w:bidi="ar-SA"/>
              </w:rPr>
              <w:t>维度</w:t>
            </w:r>
          </w:p>
        </w:tc>
        <w:tc>
          <w:tcPr>
            <w:tcW w:w="2435" w:type="pct"/>
            <w:vAlign w:val="center"/>
          </w:tcPr>
          <w:p w14:paraId="4BA1B16F">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auto"/>
                <w:kern w:val="0"/>
                <w:sz w:val="21"/>
                <w:szCs w:val="21"/>
                <w:highlight w:val="none"/>
                <w:lang w:val="en-US" w:eastAsia="zh-CN" w:bidi="ar-SA"/>
              </w:rPr>
            </w:pPr>
            <w:r>
              <w:rPr>
                <w:rFonts w:hint="eastAsia" w:ascii="Times New Roman" w:hAnsi="Times New Roman" w:eastAsia="宋体" w:cs="宋体"/>
                <w:b/>
                <w:bCs w:val="0"/>
                <w:color w:val="auto"/>
                <w:kern w:val="0"/>
                <w:sz w:val="21"/>
                <w:szCs w:val="21"/>
                <w:highlight w:val="none"/>
                <w:lang w:val="en-US" w:eastAsia="zh-CN" w:bidi="ar-SA"/>
              </w:rPr>
              <w:t>管控要求</w:t>
            </w:r>
          </w:p>
        </w:tc>
        <w:tc>
          <w:tcPr>
            <w:tcW w:w="1371" w:type="pct"/>
            <w:gridSpan w:val="2"/>
            <w:vAlign w:val="center"/>
          </w:tcPr>
          <w:p w14:paraId="68243873">
            <w:pPr>
              <w:keepNext w:val="0"/>
              <w:keepLines w:val="0"/>
              <w:widowControl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b/>
                <w:bCs w:val="0"/>
                <w:color w:val="auto"/>
                <w:kern w:val="0"/>
                <w:sz w:val="21"/>
                <w:szCs w:val="21"/>
                <w:highlight w:val="none"/>
                <w:lang w:val="en-US" w:eastAsia="zh-CN" w:bidi="ar-SA"/>
              </w:rPr>
            </w:pPr>
            <w:r>
              <w:rPr>
                <w:rFonts w:hint="eastAsia" w:ascii="Times New Roman" w:hAnsi="Times New Roman" w:eastAsia="宋体" w:cs="宋体"/>
                <w:b/>
                <w:bCs w:val="0"/>
                <w:color w:val="auto"/>
                <w:kern w:val="0"/>
                <w:sz w:val="21"/>
                <w:szCs w:val="21"/>
                <w:highlight w:val="none"/>
                <w:lang w:val="en-US" w:eastAsia="zh-CN" w:bidi="ar-SA"/>
              </w:rPr>
              <w:t>本项目</w:t>
            </w:r>
          </w:p>
        </w:tc>
        <w:tc>
          <w:tcPr>
            <w:tcW w:w="536" w:type="pct"/>
            <w:vAlign w:val="center"/>
          </w:tcPr>
          <w:p w14:paraId="4B366291">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auto"/>
                <w:kern w:val="0"/>
                <w:sz w:val="21"/>
                <w:szCs w:val="21"/>
                <w:highlight w:val="none"/>
                <w:lang w:val="en-US" w:eastAsia="zh-CN" w:bidi="ar-SA"/>
              </w:rPr>
            </w:pPr>
            <w:r>
              <w:rPr>
                <w:rFonts w:hint="eastAsia" w:ascii="Times New Roman" w:hAnsi="Times New Roman" w:eastAsia="宋体" w:cs="宋体"/>
                <w:b/>
                <w:bCs w:val="0"/>
                <w:color w:val="auto"/>
                <w:kern w:val="0"/>
                <w:sz w:val="21"/>
                <w:szCs w:val="21"/>
                <w:highlight w:val="none"/>
                <w:lang w:val="en-US" w:eastAsia="zh-CN" w:bidi="ar-SA"/>
              </w:rPr>
              <w:t>符合性</w:t>
            </w:r>
          </w:p>
        </w:tc>
      </w:tr>
      <w:tr w14:paraId="2F35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656" w:type="pct"/>
            <w:vAlign w:val="center"/>
          </w:tcPr>
          <w:p w14:paraId="6358B162">
            <w:pPr>
              <w:keepNext w:val="0"/>
              <w:keepLines w:val="0"/>
              <w:widowControl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b/>
                <w:bCs w:val="0"/>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空间布局约束</w:t>
            </w:r>
          </w:p>
        </w:tc>
        <w:tc>
          <w:tcPr>
            <w:tcW w:w="2435" w:type="pct"/>
            <w:vAlign w:val="center"/>
          </w:tcPr>
          <w:p w14:paraId="1B50B031">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宋体"/>
                <w:b w:val="0"/>
                <w:bCs/>
                <w:color w:val="auto"/>
                <w:kern w:val="0"/>
                <w:sz w:val="21"/>
                <w:szCs w:val="21"/>
                <w:highlight w:val="none"/>
                <w:lang w:val="en-US" w:eastAsia="zh-CN" w:bidi="ar-SA"/>
              </w:rPr>
            </w:pPr>
            <w:r>
              <w:rPr>
                <w:rFonts w:hint="default" w:ascii="Times New Roman" w:hAnsi="Times New Roman" w:eastAsia="宋体" w:cs="宋体"/>
                <w:b w:val="0"/>
                <w:bCs/>
                <w:color w:val="auto"/>
                <w:kern w:val="0"/>
                <w:sz w:val="21"/>
                <w:szCs w:val="21"/>
                <w:highlight w:val="none"/>
                <w:lang w:val="en-US" w:eastAsia="zh-CN" w:bidi="ar-SA"/>
              </w:rPr>
              <w:t>1.对博罗科努山草原等重要水源涵养地实施草场阶段性禁牧，其他地区实行季节性休牧、划区轮牧。</w:t>
            </w:r>
          </w:p>
          <w:p w14:paraId="2704F9F9">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宋体"/>
                <w:b w:val="0"/>
                <w:bCs/>
                <w:color w:val="auto"/>
                <w:kern w:val="0"/>
                <w:sz w:val="21"/>
                <w:szCs w:val="21"/>
                <w:highlight w:val="none"/>
                <w:lang w:val="en-US" w:eastAsia="zh-CN" w:bidi="ar-SA"/>
              </w:rPr>
            </w:pPr>
            <w:r>
              <w:rPr>
                <w:rFonts w:hint="default" w:ascii="Times New Roman" w:hAnsi="Times New Roman" w:eastAsia="宋体" w:cs="宋体"/>
                <w:b w:val="0"/>
                <w:bCs/>
                <w:color w:val="auto"/>
                <w:kern w:val="0"/>
                <w:sz w:val="21"/>
                <w:szCs w:val="21"/>
                <w:highlight w:val="none"/>
                <w:lang w:val="en-US" w:eastAsia="zh-CN" w:bidi="ar-SA"/>
              </w:rPr>
              <w:t>2.严格执行空间布局约束。限制进行大规模高强度工业化城镇化开发，严格控制金属冶炼、石油化工、焦化等“高污染、高环境风险产品”工业项目，原则上不增加产能，现有“高污染、高环境风险产品”工业项目持续削减污染物排放总量并严格控制环境风险。原则上禁止建设涉及一类重金属、持久性有机污染物排放的工业项目。建立集镇居住商业区、耕地保护区与工业功能区等集聚区块之间的防护带。严格执行畜禽养殖禁养区规定，根据区域用地和消纳水平，合理确定养殖规模。加强基本农田保护，严格限制非农项目占用耕地。</w:t>
            </w:r>
          </w:p>
          <w:p w14:paraId="2C70C6E8">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宋体"/>
                <w:b w:val="0"/>
                <w:bCs/>
                <w:color w:val="auto"/>
                <w:kern w:val="0"/>
                <w:sz w:val="21"/>
                <w:szCs w:val="21"/>
                <w:highlight w:val="none"/>
                <w:lang w:val="en-US" w:eastAsia="zh-CN" w:bidi="ar-SA"/>
              </w:rPr>
            </w:pPr>
            <w:r>
              <w:rPr>
                <w:rFonts w:hint="default" w:ascii="Times New Roman" w:hAnsi="Times New Roman" w:eastAsia="宋体" w:cs="宋体"/>
                <w:b w:val="0"/>
                <w:bCs/>
                <w:color w:val="auto"/>
                <w:kern w:val="0"/>
                <w:sz w:val="21"/>
                <w:szCs w:val="21"/>
                <w:highlight w:val="none"/>
                <w:lang w:val="en-US" w:eastAsia="zh-CN" w:bidi="ar-SA"/>
              </w:rPr>
              <w:t>3.严格执行污染物排放管控要求。（1）加强农业面源污染治理，严格控制化肥农药施加量，逐步削减农业面源污染物排放量。（2）到2025年，生态环境持续改善，主要污染物排放总量持续下降，单位地区生产总值二氧化碳排放完成国家下达指标。（3）重污染天气明显减少。城市黑臭水体基本消除。城镇生活污水处理率达到97%以上、城镇生活垃圾无害化处理率保持在98%以上，农村生活污水治理率达到30%左右，土壤污染风险得到有效管控，固体废物和新污染物治理能力明显增强，生态系统质量和稳定性持续提升，生态环境治理体系更加完善，生态文明建设实现新进步。（4）到2035年，生态环境根本好转，广泛形成绿色生产生活方式</w:t>
            </w:r>
            <w:r>
              <w:rPr>
                <w:rFonts w:hint="eastAsia" w:ascii="Times New Roman" w:hAnsi="Times New Roman" w:eastAsia="宋体" w:cs="宋体"/>
                <w:b w:val="0"/>
                <w:bCs/>
                <w:color w:val="auto"/>
                <w:kern w:val="0"/>
                <w:sz w:val="21"/>
                <w:szCs w:val="21"/>
                <w:highlight w:val="none"/>
                <w:lang w:val="en-US" w:eastAsia="zh-CN" w:bidi="ar-SA"/>
              </w:rPr>
              <w:t>。</w:t>
            </w:r>
          </w:p>
          <w:p w14:paraId="3BBFD5FD">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宋体"/>
                <w:b w:val="0"/>
                <w:bCs/>
                <w:color w:val="auto"/>
                <w:kern w:val="0"/>
                <w:sz w:val="21"/>
                <w:szCs w:val="21"/>
                <w:highlight w:val="none"/>
                <w:lang w:val="en-US" w:eastAsia="zh-CN" w:bidi="ar-SA"/>
              </w:rPr>
            </w:pPr>
            <w:r>
              <w:rPr>
                <w:rFonts w:hint="default" w:ascii="Times New Roman" w:hAnsi="Times New Roman" w:eastAsia="宋体" w:cs="宋体"/>
                <w:b w:val="0"/>
                <w:bCs/>
                <w:color w:val="auto"/>
                <w:kern w:val="0"/>
                <w:sz w:val="21"/>
                <w:szCs w:val="21"/>
                <w:highlight w:val="none"/>
                <w:lang w:val="en-US" w:eastAsia="zh-CN" w:bidi="ar-SA"/>
              </w:rPr>
              <w:t>4.落实环境风险防控要求。</w:t>
            </w:r>
          </w:p>
          <w:p w14:paraId="276837BE">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宋体"/>
                <w:b w:val="0"/>
                <w:bCs/>
                <w:color w:val="auto"/>
                <w:kern w:val="0"/>
                <w:sz w:val="21"/>
                <w:szCs w:val="21"/>
                <w:highlight w:val="none"/>
                <w:lang w:val="en-US" w:eastAsia="zh-CN" w:bidi="ar-SA"/>
              </w:rPr>
            </w:pPr>
            <w:r>
              <w:rPr>
                <w:rFonts w:hint="default" w:ascii="Times New Roman" w:hAnsi="Times New Roman" w:eastAsia="宋体" w:cs="宋体"/>
                <w:b w:val="0"/>
                <w:bCs/>
                <w:color w:val="auto"/>
                <w:kern w:val="0"/>
                <w:sz w:val="21"/>
                <w:szCs w:val="21"/>
                <w:highlight w:val="none"/>
                <w:lang w:val="en-US" w:eastAsia="zh-CN" w:bidi="ar-SA"/>
              </w:rPr>
              <w:t>（1）加强生态公益林保护与建设，防止水土流失。禁止向农用地排放重金属或者其他有毒有害物质含量超标的污水、污泥，以及可能造成土壤污染的尾矿、矿渣等。加强农田土壤、灌溉水的监测及评价，对周边或区域环境风险源进行评估。（2）统筹农村河湖管控与生态治理保护，深入开展河湖监督检查，强化河长湖长履职尽责，严厉打击河道乱占、乱采、乱堆、乱建等违法违规行为。建立健全促进水质改善的长效运行维护机制。</w:t>
            </w:r>
          </w:p>
          <w:p w14:paraId="6A29BD90">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宋体"/>
                <w:b w:val="0"/>
                <w:bCs/>
                <w:color w:val="auto"/>
                <w:kern w:val="0"/>
                <w:sz w:val="21"/>
                <w:szCs w:val="21"/>
                <w:highlight w:val="none"/>
                <w:lang w:val="en-US" w:eastAsia="zh-CN" w:bidi="ar-SA"/>
              </w:rPr>
            </w:pPr>
            <w:r>
              <w:rPr>
                <w:rFonts w:hint="default" w:ascii="Times New Roman" w:hAnsi="Times New Roman" w:eastAsia="宋体" w:cs="宋体"/>
                <w:b w:val="0"/>
                <w:bCs/>
                <w:color w:val="auto"/>
                <w:kern w:val="0"/>
                <w:sz w:val="21"/>
                <w:szCs w:val="21"/>
                <w:highlight w:val="none"/>
                <w:lang w:val="en-US" w:eastAsia="zh-CN" w:bidi="ar-SA"/>
              </w:rPr>
              <w:t>5.执行资源利用管控要求。</w:t>
            </w:r>
          </w:p>
          <w:p w14:paraId="02CFFE27">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宋体"/>
                <w:b w:val="0"/>
                <w:bCs/>
                <w:color w:val="auto"/>
                <w:kern w:val="0"/>
                <w:sz w:val="21"/>
                <w:szCs w:val="21"/>
                <w:highlight w:val="none"/>
                <w:lang w:val="en-US" w:eastAsia="zh-CN" w:bidi="ar-SA"/>
              </w:rPr>
            </w:pPr>
            <w:r>
              <w:rPr>
                <w:rFonts w:hint="default" w:ascii="Times New Roman" w:hAnsi="Times New Roman" w:eastAsia="宋体" w:cs="宋体"/>
                <w:b w:val="0"/>
                <w:bCs/>
                <w:color w:val="auto"/>
                <w:kern w:val="0"/>
                <w:sz w:val="21"/>
                <w:szCs w:val="21"/>
                <w:highlight w:val="none"/>
                <w:lang w:val="en-US" w:eastAsia="zh-CN" w:bidi="ar-SA"/>
              </w:rPr>
              <w:t>（1）实行水资源消耗总量和强度双控，推进农业节水，提高农业用水效率。优化能源结构，加强能源清洁利用。（2）实施节水行动，强化农业节水增效、工业节水减排、城镇节水降损。推进污水资源化利用，到2025年城镇生活污水再生利用率力争达到60%。（3）壮大清洁能源产业，加快非化石能源发展，实施绿电替代，优化用能结构，到2025年非化石能源消费比重提高到18%左右。推进大型清洁能源基地建设，积极开发分布式太阳能发电和分散式风电。积极推动储能产业进步，推进抽水蓄能电站建设，加快新型储能技术和模式示范推广应用。持续完善750千伏骨干电网及农村电网建设，积极发展可再生能源微电网、局域网，提高可再生能源的推广和消纳能力。（4）严格保护优先保护类农用地，确保其面积不减少、土壤环境质量不下降。加强耕地污染源源头控制，推进耕地周边涉镉等重金属行业企业排查整治。鼓励采取种植结构调整等措施，确保受污染耕地全部实现安全利用。动态调整耕地土壤环境质量类别</w:t>
            </w:r>
            <w:r>
              <w:rPr>
                <w:rFonts w:hint="eastAsia" w:ascii="Times New Roman" w:hAnsi="Times New Roman" w:eastAsia="宋体" w:cs="宋体"/>
                <w:b w:val="0"/>
                <w:bCs/>
                <w:color w:val="auto"/>
                <w:kern w:val="0"/>
                <w:sz w:val="21"/>
                <w:szCs w:val="21"/>
                <w:highlight w:val="none"/>
                <w:lang w:val="en-US" w:eastAsia="zh-CN" w:bidi="ar-SA"/>
              </w:rPr>
              <w:t>。</w:t>
            </w:r>
          </w:p>
        </w:tc>
        <w:tc>
          <w:tcPr>
            <w:tcW w:w="1371" w:type="pct"/>
            <w:gridSpan w:val="2"/>
            <w:vAlign w:val="center"/>
          </w:tcPr>
          <w:p w14:paraId="7E462FDE">
            <w:pPr>
              <w:keepNext w:val="0"/>
              <w:keepLines w:val="0"/>
              <w:widowControl w:val="0"/>
              <w:suppressLineNumbers w:val="0"/>
              <w:spacing w:before="0" w:beforeAutospacing="0" w:after="0" w:afterAutospacing="0" w:line="240" w:lineRule="auto"/>
              <w:ind w:left="0" w:right="0" w:firstLine="0" w:firstLineChars="0"/>
              <w:jc w:val="both"/>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1.本项目所在区域不涉及博罗科努山草原等重要水源涵养地。</w:t>
            </w:r>
          </w:p>
          <w:p w14:paraId="3A9087BB">
            <w:pPr>
              <w:keepNext w:val="0"/>
              <w:keepLines w:val="0"/>
              <w:widowControl w:val="0"/>
              <w:suppressLineNumbers w:val="0"/>
              <w:spacing w:before="0" w:beforeAutospacing="0" w:after="0" w:afterAutospacing="0" w:line="240" w:lineRule="auto"/>
              <w:ind w:left="0" w:right="0" w:firstLine="0" w:firstLineChars="0"/>
              <w:jc w:val="both"/>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2.本项目为新建民用机场，不涉及高强度工业化城镇化开发；不涉及“高污染、高环境风险产品”工业项目；项目热源为电锅炉，污水“零排放”设计，经MBR工艺处理</w:t>
            </w:r>
            <w:r>
              <w:rPr>
                <w:rFonts w:hint="eastAsia" w:cs="宋体"/>
                <w:b w:val="0"/>
                <w:bCs/>
                <w:color w:val="auto"/>
                <w:kern w:val="0"/>
                <w:sz w:val="21"/>
                <w:szCs w:val="21"/>
                <w:highlight w:val="none"/>
                <w:lang w:val="en-US" w:eastAsia="zh-CN" w:bidi="ar-SA"/>
              </w:rPr>
              <w:t>达到</w:t>
            </w:r>
            <w:r>
              <w:rPr>
                <w:rFonts w:hint="eastAsia" w:ascii="Times New Roman" w:hAnsi="Times New Roman" w:eastAsia="宋体" w:cs="宋体"/>
                <w:b w:val="0"/>
                <w:bCs/>
                <w:color w:val="auto"/>
                <w:kern w:val="0"/>
                <w:sz w:val="21"/>
                <w:szCs w:val="21"/>
                <w:highlight w:val="none"/>
                <w:lang w:val="en-US" w:eastAsia="zh-CN" w:bidi="ar-SA"/>
              </w:rPr>
              <w:t>相应标准后“冬储夏灌”，不涉及总量指标；项目不占用基本农田，新增一般耕地占用已办理相关手续并落实占补平衡。</w:t>
            </w:r>
          </w:p>
          <w:p w14:paraId="618409F3">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3.项目采用电锅炉供热，从源头减少碳排放；污水“零排放”设计，污水经MBR工艺处理</w:t>
            </w:r>
            <w:r>
              <w:rPr>
                <w:rFonts w:hint="eastAsia" w:cs="宋体"/>
                <w:b w:val="0"/>
                <w:bCs/>
                <w:color w:val="auto"/>
                <w:kern w:val="0"/>
                <w:sz w:val="21"/>
                <w:szCs w:val="21"/>
                <w:highlight w:val="none"/>
                <w:lang w:val="en-US" w:eastAsia="zh-CN" w:bidi="ar-SA"/>
              </w:rPr>
              <w:t>达到</w:t>
            </w:r>
            <w:r>
              <w:rPr>
                <w:rFonts w:hint="eastAsia" w:ascii="Times New Roman" w:hAnsi="Times New Roman" w:eastAsia="宋体" w:cs="宋体"/>
                <w:b w:val="0"/>
                <w:bCs/>
                <w:color w:val="auto"/>
                <w:kern w:val="0"/>
                <w:sz w:val="21"/>
                <w:szCs w:val="21"/>
                <w:highlight w:val="none"/>
                <w:lang w:val="en-US" w:eastAsia="zh-CN" w:bidi="ar-SA"/>
              </w:rPr>
              <w:t>相应标准后回用于绿化（中水回用率100%）。</w:t>
            </w:r>
          </w:p>
          <w:p w14:paraId="346F9A8F">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4.项目不占用生态公益林，施工期严格落实水土保持措施以防止水土流失；污水“零排放”设计；不涉及削山、填湖（湿地）和改造河流等。</w:t>
            </w:r>
          </w:p>
          <w:p w14:paraId="190659C4">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5.项目污水经MBR工艺处理</w:t>
            </w:r>
            <w:r>
              <w:rPr>
                <w:rFonts w:hint="eastAsia" w:cs="宋体"/>
                <w:b w:val="0"/>
                <w:bCs/>
                <w:color w:val="auto"/>
                <w:kern w:val="0"/>
                <w:sz w:val="21"/>
                <w:szCs w:val="21"/>
                <w:highlight w:val="none"/>
                <w:lang w:val="en-US" w:eastAsia="zh-CN" w:bidi="ar-SA"/>
              </w:rPr>
              <w:t>达到</w:t>
            </w:r>
            <w:r>
              <w:rPr>
                <w:rFonts w:hint="eastAsia" w:ascii="Times New Roman" w:hAnsi="Times New Roman" w:eastAsia="宋体" w:cs="宋体"/>
                <w:b w:val="0"/>
                <w:bCs/>
                <w:color w:val="auto"/>
                <w:kern w:val="0"/>
                <w:sz w:val="21"/>
                <w:szCs w:val="21"/>
                <w:highlight w:val="none"/>
                <w:lang w:val="en-US" w:eastAsia="zh-CN" w:bidi="ar-SA"/>
              </w:rPr>
              <w:t>相应标准后回用于绿化（中水回用率100%），实施节水行动，提高用水效率；优化用能结构，采用电锅炉供热；项目严格控制用地范围，确保周边基本农田面积不减少、土壤环境质量不下降。</w:t>
            </w:r>
          </w:p>
        </w:tc>
        <w:tc>
          <w:tcPr>
            <w:tcW w:w="536" w:type="pct"/>
            <w:vAlign w:val="center"/>
          </w:tcPr>
          <w:p w14:paraId="5E63428E">
            <w:pPr>
              <w:keepNext w:val="0"/>
              <w:keepLines w:val="0"/>
              <w:widowControl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符合</w:t>
            </w:r>
          </w:p>
        </w:tc>
      </w:tr>
      <w:tr w14:paraId="7DD6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656" w:type="pct"/>
            <w:vAlign w:val="center"/>
          </w:tcPr>
          <w:p w14:paraId="57FD9950">
            <w:pPr>
              <w:keepNext w:val="0"/>
              <w:keepLines w:val="0"/>
              <w:widowControl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污染物排放管控</w:t>
            </w:r>
          </w:p>
        </w:tc>
        <w:tc>
          <w:tcPr>
            <w:tcW w:w="2435" w:type="pct"/>
            <w:vAlign w:val="center"/>
          </w:tcPr>
          <w:p w14:paraId="5631AE62">
            <w:pPr>
              <w:keepNext w:val="0"/>
              <w:keepLines w:val="0"/>
              <w:widowControl w:val="0"/>
              <w:suppressLineNumbers w:val="0"/>
              <w:spacing w:before="0" w:beforeAutospacing="0" w:after="0" w:afterAutospacing="0" w:line="240" w:lineRule="auto"/>
              <w:ind w:left="0" w:right="0" w:firstLine="0" w:firstLineChars="0"/>
              <w:jc w:val="both"/>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1.单元内向环境中排放污染物的项目，应符合国家或地方污染物排放标准及重点污染物总量控制要求，有行业排放标准的执行行业标准，无行业排放标准的执行综合排放标准。</w:t>
            </w:r>
          </w:p>
          <w:p w14:paraId="4B651F21">
            <w:pPr>
              <w:keepNext w:val="0"/>
              <w:keepLines w:val="0"/>
              <w:widowControl w:val="0"/>
              <w:suppressLineNumbers w:val="0"/>
              <w:spacing w:before="0" w:beforeAutospacing="0" w:after="0" w:afterAutospacing="0" w:line="240" w:lineRule="auto"/>
              <w:ind w:left="0" w:right="0" w:firstLine="0" w:firstLineChars="0"/>
              <w:jc w:val="both"/>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2.加强尾矿库监督监管。加强涉重金属行业污染防控。加强工业废物处理处置。</w:t>
            </w:r>
          </w:p>
          <w:p w14:paraId="72F3BEEF">
            <w:pPr>
              <w:keepNext w:val="0"/>
              <w:keepLines w:val="0"/>
              <w:widowControl w:val="0"/>
              <w:suppressLineNumbers w:val="0"/>
              <w:spacing w:before="0" w:beforeAutospacing="0" w:after="0" w:afterAutospacing="0" w:line="240" w:lineRule="auto"/>
              <w:ind w:left="0" w:right="0" w:firstLine="0" w:firstLineChars="0"/>
              <w:jc w:val="both"/>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3.对矿坑废水、选矿废水等进行处理，回用于露天采区洒水、道路洒水等，禁止直接排入区域内任何地表水体。</w:t>
            </w:r>
          </w:p>
        </w:tc>
        <w:tc>
          <w:tcPr>
            <w:tcW w:w="1371" w:type="pct"/>
            <w:gridSpan w:val="2"/>
            <w:vAlign w:val="center"/>
          </w:tcPr>
          <w:p w14:paraId="079B7BA3">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项目采用电锅炉供热，从源头减少碳排放；污水“零排放”设计，污水经MBR工艺处理</w:t>
            </w:r>
            <w:r>
              <w:rPr>
                <w:rFonts w:hint="eastAsia" w:cs="宋体"/>
                <w:b w:val="0"/>
                <w:bCs/>
                <w:color w:val="auto"/>
                <w:kern w:val="0"/>
                <w:sz w:val="21"/>
                <w:szCs w:val="21"/>
                <w:highlight w:val="none"/>
                <w:lang w:val="en-US" w:eastAsia="zh-CN" w:bidi="ar-SA"/>
              </w:rPr>
              <w:t>达到</w:t>
            </w:r>
            <w:r>
              <w:rPr>
                <w:rFonts w:hint="eastAsia" w:ascii="Times New Roman" w:hAnsi="Times New Roman" w:eastAsia="宋体" w:cs="宋体"/>
                <w:b w:val="0"/>
                <w:bCs/>
                <w:color w:val="auto"/>
                <w:kern w:val="0"/>
                <w:sz w:val="21"/>
                <w:szCs w:val="21"/>
                <w:highlight w:val="none"/>
                <w:lang w:val="en-US" w:eastAsia="zh-CN" w:bidi="ar-SA"/>
              </w:rPr>
              <w:t>相应标准后回用于绿化（中水回用率100%）。</w:t>
            </w:r>
          </w:p>
        </w:tc>
        <w:tc>
          <w:tcPr>
            <w:tcW w:w="536" w:type="pct"/>
            <w:vAlign w:val="center"/>
          </w:tcPr>
          <w:p w14:paraId="481205EE">
            <w:pPr>
              <w:keepNext w:val="0"/>
              <w:keepLines w:val="0"/>
              <w:widowControl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符合</w:t>
            </w:r>
          </w:p>
        </w:tc>
      </w:tr>
      <w:tr w14:paraId="4048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656" w:type="pct"/>
            <w:vAlign w:val="center"/>
          </w:tcPr>
          <w:p w14:paraId="0F3163B1">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环境风险防控</w:t>
            </w:r>
          </w:p>
        </w:tc>
        <w:tc>
          <w:tcPr>
            <w:tcW w:w="2435" w:type="pct"/>
            <w:vAlign w:val="center"/>
          </w:tcPr>
          <w:p w14:paraId="47C15BB8">
            <w:pPr>
              <w:keepNext w:val="0"/>
              <w:keepLines w:val="0"/>
              <w:widowControl w:val="0"/>
              <w:suppressLineNumbers w:val="0"/>
              <w:spacing w:before="0" w:beforeAutospacing="0" w:after="0" w:afterAutospacing="0" w:line="240" w:lineRule="auto"/>
              <w:ind w:left="0" w:right="0" w:firstLine="0" w:firstLineChars="0"/>
              <w:jc w:val="both"/>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1.加强生态公益林保护与建设，防止水土流失。禁止向农用地排放重金属或者其他有毒有害物质含量超标的污水、污泥，以及可能造成土壤污染的尾矿、矿渣等。加强农田土壤、灌溉水的监测及评价，对周边或区域环境风险源进行评估。</w:t>
            </w:r>
          </w:p>
          <w:p w14:paraId="16A32388">
            <w:pPr>
              <w:keepNext w:val="0"/>
              <w:keepLines w:val="0"/>
              <w:widowControl w:val="0"/>
              <w:suppressLineNumbers w:val="0"/>
              <w:spacing w:before="0" w:beforeAutospacing="0" w:after="0" w:afterAutospacing="0" w:line="240" w:lineRule="auto"/>
              <w:ind w:left="0" w:right="0" w:firstLine="0" w:firstLineChars="0"/>
              <w:jc w:val="both"/>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2.统筹农村河湖管控与生态治理保护，深入开展河湖监督检查，强化河长湖长履职尽责，严厉打击河道乱占、乱采、乱堆、乱建等违法违规行为。建立健全促进水质改善的长效运行维护机制。</w:t>
            </w:r>
          </w:p>
          <w:p w14:paraId="5091A312">
            <w:pPr>
              <w:keepNext w:val="0"/>
              <w:keepLines w:val="0"/>
              <w:widowControl w:val="0"/>
              <w:suppressLineNumbers w:val="0"/>
              <w:spacing w:before="0" w:beforeAutospacing="0" w:after="0" w:afterAutospacing="0" w:line="240" w:lineRule="auto"/>
              <w:ind w:left="0" w:right="0" w:firstLine="0" w:firstLineChars="0"/>
              <w:jc w:val="both"/>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3.产生、利用或处置固体废物的采矿区、塑料加工等企业，在贮存、转移、利用、处置固体废物过程中，应配套防扬散、防流失、防渗漏及其他防止污染环境的措施。</w:t>
            </w:r>
          </w:p>
        </w:tc>
        <w:tc>
          <w:tcPr>
            <w:tcW w:w="1371" w:type="pct"/>
            <w:gridSpan w:val="2"/>
            <w:vAlign w:val="center"/>
          </w:tcPr>
          <w:p w14:paraId="3F676944">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宋体"/>
                <w:b w:val="0"/>
                <w:bCs/>
                <w:color w:val="auto"/>
                <w:kern w:val="0"/>
                <w:sz w:val="21"/>
                <w:szCs w:val="21"/>
                <w:highlight w:val="none"/>
                <w:lang w:val="en-US" w:eastAsia="zh-CN" w:bidi="ar-SA"/>
              </w:rPr>
            </w:pPr>
            <w:r>
              <w:rPr>
                <w:rFonts w:hint="default" w:ascii="Times New Roman" w:hAnsi="Times New Roman" w:eastAsia="宋体" w:cs="宋体"/>
                <w:b w:val="0"/>
                <w:bCs/>
                <w:color w:val="auto"/>
                <w:kern w:val="0"/>
                <w:sz w:val="21"/>
                <w:szCs w:val="21"/>
                <w:highlight w:val="none"/>
                <w:lang w:val="en-US" w:eastAsia="zh-CN" w:bidi="ar-SA"/>
              </w:rPr>
              <w:t>项目不占用生态公益林，施工期严格落实水土保持措施以防止水土流失；污水“零排放”设计；不涉及削山、填湖（湿地）和改造河流等</w:t>
            </w:r>
            <w:r>
              <w:rPr>
                <w:rFonts w:hint="eastAsia" w:ascii="Times New Roman" w:hAnsi="Times New Roman" w:eastAsia="宋体" w:cs="宋体"/>
                <w:b w:val="0"/>
                <w:bCs/>
                <w:color w:val="auto"/>
                <w:kern w:val="0"/>
                <w:sz w:val="21"/>
                <w:szCs w:val="21"/>
                <w:highlight w:val="none"/>
                <w:lang w:val="en-US" w:eastAsia="zh-CN" w:bidi="ar-SA"/>
              </w:rPr>
              <w:t>。</w:t>
            </w:r>
          </w:p>
        </w:tc>
        <w:tc>
          <w:tcPr>
            <w:tcW w:w="536" w:type="pct"/>
            <w:vAlign w:val="center"/>
          </w:tcPr>
          <w:p w14:paraId="271AD5ED">
            <w:pPr>
              <w:keepNext w:val="0"/>
              <w:keepLines w:val="0"/>
              <w:widowControl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符合</w:t>
            </w:r>
          </w:p>
        </w:tc>
      </w:tr>
      <w:tr w14:paraId="104D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656" w:type="pct"/>
            <w:vAlign w:val="center"/>
          </w:tcPr>
          <w:p w14:paraId="2818E068">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资源利用效率</w:t>
            </w:r>
          </w:p>
        </w:tc>
        <w:tc>
          <w:tcPr>
            <w:tcW w:w="2435" w:type="pct"/>
            <w:vAlign w:val="center"/>
          </w:tcPr>
          <w:p w14:paraId="41C670E6">
            <w:pPr>
              <w:keepNext w:val="0"/>
              <w:keepLines w:val="0"/>
              <w:widowControl w:val="0"/>
              <w:suppressLineNumbers w:val="0"/>
              <w:spacing w:before="0" w:beforeAutospacing="0" w:after="0" w:afterAutospacing="0" w:line="240" w:lineRule="auto"/>
              <w:ind w:left="0" w:right="0" w:firstLine="0" w:firstLineChars="0"/>
              <w:jc w:val="both"/>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1.到2030年，自治州农田灌溉水有效利用系数提高到0.64。</w:t>
            </w:r>
          </w:p>
          <w:p w14:paraId="28C07976">
            <w:pPr>
              <w:keepNext w:val="0"/>
              <w:keepLines w:val="0"/>
              <w:widowControl w:val="0"/>
              <w:suppressLineNumbers w:val="0"/>
              <w:spacing w:before="0" w:beforeAutospacing="0" w:after="0" w:afterAutospacing="0" w:line="240" w:lineRule="auto"/>
              <w:ind w:left="0" w:right="0" w:firstLine="0" w:firstLineChars="0"/>
              <w:jc w:val="both"/>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2.到2025年，农田灌溉水有效利用系数提高到0.63。到2030年，农田灌溉水有效利用系数提高到0.64。</w:t>
            </w:r>
          </w:p>
        </w:tc>
        <w:tc>
          <w:tcPr>
            <w:tcW w:w="1371" w:type="pct"/>
            <w:gridSpan w:val="2"/>
            <w:vAlign w:val="center"/>
          </w:tcPr>
          <w:p w14:paraId="31F31599">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宋体"/>
                <w:b w:val="0"/>
                <w:bCs/>
                <w:color w:val="auto"/>
                <w:kern w:val="0"/>
                <w:sz w:val="21"/>
                <w:szCs w:val="21"/>
                <w:highlight w:val="none"/>
                <w:lang w:val="en-US" w:eastAsia="zh-CN" w:bidi="ar-SA"/>
              </w:rPr>
            </w:pPr>
            <w:r>
              <w:rPr>
                <w:rFonts w:hint="default" w:ascii="Times New Roman" w:hAnsi="Times New Roman" w:eastAsia="宋体" w:cs="宋体"/>
                <w:b w:val="0"/>
                <w:bCs/>
                <w:color w:val="auto"/>
                <w:kern w:val="0"/>
                <w:sz w:val="21"/>
                <w:szCs w:val="21"/>
                <w:highlight w:val="none"/>
                <w:lang w:val="en-US" w:eastAsia="zh-CN" w:bidi="ar-SA"/>
              </w:rPr>
              <w:t>项目污水经MBR工艺处理</w:t>
            </w:r>
            <w:r>
              <w:rPr>
                <w:rFonts w:hint="eastAsia" w:cs="宋体"/>
                <w:b w:val="0"/>
                <w:bCs/>
                <w:color w:val="auto"/>
                <w:kern w:val="0"/>
                <w:sz w:val="21"/>
                <w:szCs w:val="21"/>
                <w:highlight w:val="none"/>
                <w:lang w:val="en-US" w:eastAsia="zh-CN" w:bidi="ar-SA"/>
              </w:rPr>
              <w:t>达到</w:t>
            </w:r>
            <w:r>
              <w:rPr>
                <w:rFonts w:hint="default" w:ascii="Times New Roman" w:hAnsi="Times New Roman" w:eastAsia="宋体" w:cs="宋体"/>
                <w:b w:val="0"/>
                <w:bCs/>
                <w:color w:val="auto"/>
                <w:kern w:val="0"/>
                <w:sz w:val="21"/>
                <w:szCs w:val="21"/>
                <w:highlight w:val="none"/>
                <w:lang w:val="en-US" w:eastAsia="zh-CN" w:bidi="ar-SA"/>
              </w:rPr>
              <w:t>相应标准后回用于绿化（中水回用率100%），实施节水行动，提高用水效率</w:t>
            </w:r>
            <w:r>
              <w:rPr>
                <w:rFonts w:hint="eastAsia" w:ascii="Times New Roman" w:hAnsi="Times New Roman" w:eastAsia="宋体" w:cs="宋体"/>
                <w:b w:val="0"/>
                <w:bCs/>
                <w:color w:val="auto"/>
                <w:kern w:val="0"/>
                <w:sz w:val="21"/>
                <w:szCs w:val="21"/>
                <w:highlight w:val="none"/>
                <w:lang w:val="en-US" w:eastAsia="zh-CN" w:bidi="ar-SA"/>
              </w:rPr>
              <w:t>。</w:t>
            </w:r>
          </w:p>
        </w:tc>
        <w:tc>
          <w:tcPr>
            <w:tcW w:w="536" w:type="pct"/>
            <w:vAlign w:val="center"/>
          </w:tcPr>
          <w:p w14:paraId="0C13E8E2">
            <w:pPr>
              <w:keepNext w:val="0"/>
              <w:keepLines w:val="0"/>
              <w:widowControl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符合</w:t>
            </w:r>
          </w:p>
        </w:tc>
      </w:tr>
    </w:tbl>
    <w:p w14:paraId="2DD3FCCF">
      <w:pPr>
        <w:pageBreakBefore w:val="0"/>
        <w:widowControl/>
        <w:kinsoku/>
        <w:wordWrap/>
        <w:overflowPunct/>
        <w:bidi w:val="0"/>
        <w:ind w:right="6" w:firstLine="480" w:firstLineChars="200"/>
        <w:jc w:val="both"/>
        <w:rPr>
          <w:rFonts w:hint="eastAsia"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根据分析结果，本项目建设符合生态环境分区管控单元的要求</w:t>
      </w:r>
      <w:r>
        <w:rPr>
          <w:rFonts w:hint="eastAsia" w:cs="Times New Roman"/>
          <w:color w:val="auto"/>
          <w:szCs w:val="21"/>
          <w:highlight w:val="none"/>
          <w:lang w:val="en-US" w:eastAsia="zh-CN"/>
        </w:rPr>
        <w:t>。</w:t>
      </w:r>
    </w:p>
    <w:p w14:paraId="0B664E4D">
      <w:pPr>
        <w:pageBreakBefore w:val="0"/>
        <w:widowControl/>
        <w:kinsoku/>
        <w:wordWrap/>
        <w:overflowPunct/>
        <w:bidi w:val="0"/>
        <w:ind w:right="6" w:firstLine="480" w:firstLineChars="200"/>
        <w:jc w:val="both"/>
        <w:rPr>
          <w:rFonts w:hint="eastAsia" w:ascii="Times New Roman" w:hAnsi="Times New Roman" w:cs="Times New Roman"/>
          <w:color w:val="auto"/>
          <w:szCs w:val="21"/>
          <w:highlight w:val="none"/>
          <w:lang w:val="en-US" w:eastAsia="zh-CN"/>
        </w:rPr>
      </w:pPr>
    </w:p>
    <w:p w14:paraId="0D84972B">
      <w:pPr>
        <w:pageBreakBefore w:val="0"/>
        <w:widowControl/>
        <w:kinsoku/>
        <w:wordWrap/>
        <w:overflowPunct/>
        <w:bidi w:val="0"/>
        <w:ind w:right="6" w:firstLine="480" w:firstLineChars="200"/>
        <w:jc w:val="both"/>
        <w:rPr>
          <w:rFonts w:hint="eastAsia" w:ascii="Times New Roman" w:hAnsi="Times New Roman" w:cs="Times New Roman"/>
          <w:color w:val="auto"/>
          <w:szCs w:val="21"/>
          <w:highlight w:val="none"/>
          <w:lang w:val="en-US" w:eastAsia="zh-CN"/>
        </w:rPr>
        <w:sectPr>
          <w:pgSz w:w="11906" w:h="16838"/>
          <w:pgMar w:top="1474" w:right="1474" w:bottom="1474" w:left="1814" w:header="851" w:footer="992" w:gutter="0"/>
          <w:pgNumType w:fmt="decimal"/>
          <w:cols w:space="425" w:num="1"/>
          <w:docGrid w:linePitch="326" w:charSpace="0"/>
        </w:sectPr>
      </w:pPr>
    </w:p>
    <w:p w14:paraId="5D98EE8F">
      <w:pPr>
        <w:keepNext/>
        <w:keepLines/>
        <w:pageBreakBefore w:val="0"/>
        <w:widowControl w:val="0"/>
        <w:numPr>
          <w:ilvl w:val="1"/>
          <w:numId w:val="10"/>
        </w:numPr>
        <w:kinsoku/>
        <w:overflowPunct/>
        <w:bidi w:val="0"/>
        <w:spacing w:line="360" w:lineRule="auto"/>
        <w:ind w:left="567" w:hanging="567"/>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49" w:name="_Toc2767"/>
      <w:r>
        <w:rPr>
          <w:rFonts w:hint="eastAsia" w:ascii="Times New Roman" w:hAnsi="Times New Roman" w:eastAsia="黑体" w:cs="Times New Roman"/>
          <w:bCs/>
          <w:color w:val="auto"/>
          <w:spacing w:val="0"/>
          <w:w w:val="100"/>
          <w:kern w:val="28"/>
          <w:sz w:val="30"/>
          <w:szCs w:val="30"/>
          <w:highlight w:val="none"/>
          <w:lang w:val="en-US" w:eastAsia="zh-CN" w:bidi="ar-SA"/>
        </w:rPr>
        <w:t>场址比选</w:t>
      </w:r>
      <w:r>
        <w:rPr>
          <w:rFonts w:hint="eastAsia" w:eastAsia="黑体" w:cs="Times New Roman"/>
          <w:bCs/>
          <w:color w:val="auto"/>
          <w:spacing w:val="0"/>
          <w:w w:val="100"/>
          <w:kern w:val="28"/>
          <w:sz w:val="30"/>
          <w:szCs w:val="30"/>
          <w:highlight w:val="none"/>
          <w:lang w:val="en-US" w:eastAsia="zh-CN" w:bidi="ar-SA"/>
        </w:rPr>
        <w:t>及环境合理性分析</w:t>
      </w:r>
      <w:bookmarkEnd w:id="249"/>
    </w:p>
    <w:p w14:paraId="7BA43F07">
      <w:pPr>
        <w:pageBreakBefore w:val="0"/>
        <w:widowControl/>
        <w:kinsoku/>
        <w:wordWrap/>
        <w:overflowPunct/>
        <w:autoSpaceDE w:val="0"/>
        <w:autoSpaceDN w:val="0"/>
        <w:bidi w:val="0"/>
        <w:ind w:firstLine="480" w:firstLineChars="200"/>
        <w:jc w:val="left"/>
        <w:rPr>
          <w:rFonts w:hint="eastAsia" w:cs="Times New Roman"/>
          <w:color w:val="auto"/>
          <w:szCs w:val="24"/>
          <w:highlight w:val="none"/>
          <w:lang w:val="en-US" w:eastAsia="zh-CN"/>
        </w:rPr>
      </w:pPr>
      <w:r>
        <w:rPr>
          <w:rFonts w:hint="eastAsia" w:cs="Times New Roman"/>
          <w:color w:val="auto"/>
          <w:szCs w:val="24"/>
          <w:highlight w:val="none"/>
          <w:lang w:val="en-US" w:eastAsia="zh-CN"/>
        </w:rPr>
        <w:t>本项目为精河通用机场新建项目，根据北京天羿机场设计咨询有限公司编制的《新疆精河通用机场选址报告》，将八家户牧业四队场址和产业园西场址作为预选场址；本评价从环境合理性对上述机场场址进行分析，详见下表。</w:t>
      </w:r>
    </w:p>
    <w:p w14:paraId="3AAC1A00">
      <w:pPr>
        <w:pageBreakBefore w:val="0"/>
        <w:widowControl/>
        <w:kinsoku/>
        <w:wordWrap/>
        <w:overflowPunct/>
        <w:autoSpaceDE w:val="0"/>
        <w:autoSpaceDN w:val="0"/>
        <w:bidi w:val="0"/>
        <w:ind w:left="0" w:leftChars="0" w:right="0" w:rightChars="0" w:firstLine="0" w:firstLineChars="0"/>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表3.8-1  机场场址工程比选一览表</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3200"/>
        <w:gridCol w:w="3206"/>
        <w:gridCol w:w="926"/>
      </w:tblGrid>
      <w:tr w14:paraId="625F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36DFCE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项目</w:t>
            </w:r>
          </w:p>
        </w:tc>
        <w:tc>
          <w:tcPr>
            <w:tcW w:w="3200" w:type="dxa"/>
            <w:vAlign w:val="center"/>
          </w:tcPr>
          <w:p w14:paraId="5C7278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场址一</w:t>
            </w:r>
          </w:p>
        </w:tc>
        <w:tc>
          <w:tcPr>
            <w:tcW w:w="3206" w:type="dxa"/>
            <w:vAlign w:val="center"/>
          </w:tcPr>
          <w:p w14:paraId="1C9D3A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场址二</w:t>
            </w:r>
          </w:p>
        </w:tc>
        <w:tc>
          <w:tcPr>
            <w:tcW w:w="926" w:type="dxa"/>
            <w:vAlign w:val="center"/>
          </w:tcPr>
          <w:p w14:paraId="7F2445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推荐</w:t>
            </w:r>
          </w:p>
        </w:tc>
      </w:tr>
      <w:tr w14:paraId="5072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7CCC6B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方案名称</w:t>
            </w:r>
          </w:p>
        </w:tc>
        <w:tc>
          <w:tcPr>
            <w:tcW w:w="3200" w:type="dxa"/>
            <w:vAlign w:val="center"/>
          </w:tcPr>
          <w:p w14:paraId="064236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八家户牧业四队场址</w:t>
            </w:r>
          </w:p>
        </w:tc>
        <w:tc>
          <w:tcPr>
            <w:tcW w:w="3206" w:type="dxa"/>
            <w:vAlign w:val="center"/>
          </w:tcPr>
          <w:p w14:paraId="059336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ascii="Times New Roman" w:eastAsia="宋体"/>
                <w:color w:val="auto"/>
                <w:sz w:val="21"/>
                <w:szCs w:val="21"/>
                <w:highlight w:val="none"/>
                <w:lang w:val="en-US" w:eastAsia="zh-CN"/>
              </w:rPr>
              <w:t>产业园西场址</w:t>
            </w:r>
          </w:p>
        </w:tc>
        <w:tc>
          <w:tcPr>
            <w:tcW w:w="926" w:type="dxa"/>
            <w:vAlign w:val="center"/>
          </w:tcPr>
          <w:p w14:paraId="293756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ascii="Times New Roman" w:eastAsia="宋体"/>
                <w:color w:val="auto"/>
                <w:sz w:val="21"/>
                <w:szCs w:val="21"/>
                <w:highlight w:val="none"/>
                <w:lang w:val="en-US" w:eastAsia="zh-CN"/>
              </w:rPr>
              <w:t>/</w:t>
            </w:r>
          </w:p>
        </w:tc>
      </w:tr>
      <w:tr w14:paraId="4358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019A76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净空条件</w:t>
            </w:r>
          </w:p>
        </w:tc>
        <w:tc>
          <w:tcPr>
            <w:tcW w:w="3200" w:type="dxa"/>
            <w:vAlign w:val="center"/>
          </w:tcPr>
          <w:p w14:paraId="3D5398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净空条件较好，场外无需要处理的自然障碍物及人工障碍物。两侧存在220kv和110kv高压线塔</w:t>
            </w:r>
          </w:p>
        </w:tc>
        <w:tc>
          <w:tcPr>
            <w:tcW w:w="3206" w:type="dxa"/>
            <w:vAlign w:val="center"/>
          </w:tcPr>
          <w:p w14:paraId="1005D1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场址位于新月形沙丘之上，标高较高，周边净空良好，无自然障碍物，两侧存在750kv高压线塔和220kv高压线</w:t>
            </w:r>
          </w:p>
        </w:tc>
        <w:tc>
          <w:tcPr>
            <w:tcW w:w="926" w:type="dxa"/>
            <w:vAlign w:val="center"/>
          </w:tcPr>
          <w:p w14:paraId="07EC29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相当</w:t>
            </w:r>
          </w:p>
        </w:tc>
      </w:tr>
      <w:tr w14:paraId="6257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2AD15F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空域条件</w:t>
            </w:r>
          </w:p>
        </w:tc>
        <w:tc>
          <w:tcPr>
            <w:tcW w:w="3200" w:type="dxa"/>
            <w:vAlign w:val="center"/>
          </w:tcPr>
          <w:p w14:paraId="3B9AAC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位于乌鲁木齐02扇管制区内，场址东侧现有强制报告点P165，可供本场航空器进离场使用；场址周围无危险区、限制区、禁区，空域环境良好</w:t>
            </w:r>
          </w:p>
        </w:tc>
        <w:tc>
          <w:tcPr>
            <w:tcW w:w="3206" w:type="dxa"/>
            <w:vAlign w:val="center"/>
          </w:tcPr>
          <w:p w14:paraId="152385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位于乌鲁木齐02扇管制区内；场址周围无危险区、限制区、禁区，空域环境良好</w:t>
            </w:r>
          </w:p>
        </w:tc>
        <w:tc>
          <w:tcPr>
            <w:tcW w:w="926" w:type="dxa"/>
            <w:vAlign w:val="center"/>
          </w:tcPr>
          <w:p w14:paraId="0C0CFB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方案一</w:t>
            </w:r>
          </w:p>
        </w:tc>
      </w:tr>
      <w:tr w14:paraId="00F8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089F21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地震</w:t>
            </w:r>
          </w:p>
        </w:tc>
        <w:tc>
          <w:tcPr>
            <w:tcW w:w="3200" w:type="dxa"/>
            <w:vAlign w:val="center"/>
          </w:tcPr>
          <w:p w14:paraId="07CCD5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断裂活动速率小；基本地震烈度属Ⅶ度区；设防基本烈度为9度；地壳稳定性属基本稳定区</w:t>
            </w:r>
          </w:p>
        </w:tc>
        <w:tc>
          <w:tcPr>
            <w:tcW w:w="3206" w:type="dxa"/>
            <w:vAlign w:val="center"/>
          </w:tcPr>
          <w:p w14:paraId="678D51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断续分布断层陡坎，断裂活动速率大；基本地震烈度Ⅶ度区，设防基本烈度为9度</w:t>
            </w:r>
          </w:p>
        </w:tc>
        <w:tc>
          <w:tcPr>
            <w:tcW w:w="926" w:type="dxa"/>
            <w:vAlign w:val="center"/>
          </w:tcPr>
          <w:p w14:paraId="3D14AA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方案一</w:t>
            </w:r>
          </w:p>
        </w:tc>
      </w:tr>
      <w:tr w14:paraId="2E6F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1BC52F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公用设施</w:t>
            </w:r>
          </w:p>
        </w:tc>
        <w:tc>
          <w:tcPr>
            <w:tcW w:w="3200" w:type="dxa"/>
            <w:vAlign w:val="center"/>
          </w:tcPr>
          <w:p w14:paraId="319DAC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区域有35千伏泛洋变10千伏洋胡线197+1号杆炮点分支；新建13.19km管道连接精河县城乡一体化供水管网；电采暖热水锅炉供暖；附近有精河县东外环路加气站供气；中航油新疆航空油料有限公司（独山子炼厂）供油；场址附近有X214线</w:t>
            </w:r>
          </w:p>
        </w:tc>
        <w:tc>
          <w:tcPr>
            <w:tcW w:w="3206" w:type="dxa"/>
            <w:vAlign w:val="center"/>
          </w:tcPr>
          <w:p w14:paraId="232B21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自建35千伏线路一条作为机场主供电源；从35千伏清桥变电站出一回10千伏专线，用户自建一条10千伏专线作为备供电源；新建16.3km管道连接精河总水厂；电采暖热水锅炉供暖；移动式压力容器供气；中航油新疆航空油料有限公司（独山子炼厂）供油</w:t>
            </w:r>
          </w:p>
        </w:tc>
        <w:tc>
          <w:tcPr>
            <w:tcW w:w="926" w:type="dxa"/>
            <w:vAlign w:val="center"/>
          </w:tcPr>
          <w:p w14:paraId="56404B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方案一</w:t>
            </w:r>
          </w:p>
        </w:tc>
      </w:tr>
      <w:tr w14:paraId="03F7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77A149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排水、防洪条件</w:t>
            </w:r>
          </w:p>
        </w:tc>
        <w:tc>
          <w:tcPr>
            <w:tcW w:w="3200" w:type="dxa"/>
            <w:vAlign w:val="center"/>
          </w:tcPr>
          <w:p w14:paraId="11E691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现状地势整体由南向北倾斜，与场区地势设计一致；排水采用雨污分流制；场址现状防洪条件较好，场区无需考虑防洪措施</w:t>
            </w:r>
          </w:p>
        </w:tc>
        <w:tc>
          <w:tcPr>
            <w:tcW w:w="3206" w:type="dxa"/>
            <w:vAlign w:val="center"/>
          </w:tcPr>
          <w:p w14:paraId="3DC538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场址属沙丘地貌，南部为山地，排水条件复杂，临近河流出山口，需考虑防洪设施</w:t>
            </w:r>
          </w:p>
        </w:tc>
        <w:tc>
          <w:tcPr>
            <w:tcW w:w="926" w:type="dxa"/>
            <w:vAlign w:val="center"/>
          </w:tcPr>
          <w:p w14:paraId="451C06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方案一</w:t>
            </w:r>
          </w:p>
        </w:tc>
      </w:tr>
      <w:tr w14:paraId="4442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72DB69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地下矿藏和文物情况</w:t>
            </w:r>
          </w:p>
        </w:tc>
        <w:tc>
          <w:tcPr>
            <w:tcW w:w="3200" w:type="dxa"/>
            <w:vAlign w:val="center"/>
          </w:tcPr>
          <w:p w14:paraId="574251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未压覆重要矿产资源；未发现文物遗存</w:t>
            </w:r>
          </w:p>
        </w:tc>
        <w:tc>
          <w:tcPr>
            <w:tcW w:w="3206" w:type="dxa"/>
            <w:vAlign w:val="center"/>
          </w:tcPr>
          <w:p w14:paraId="4EE259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未压覆重要矿产资源；未发现文物遗存</w:t>
            </w:r>
          </w:p>
        </w:tc>
        <w:tc>
          <w:tcPr>
            <w:tcW w:w="926" w:type="dxa"/>
            <w:vAlign w:val="center"/>
          </w:tcPr>
          <w:p w14:paraId="031156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相当</w:t>
            </w:r>
          </w:p>
        </w:tc>
      </w:tr>
      <w:tr w14:paraId="17CD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11CDE5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地形、地貌条件</w:t>
            </w:r>
          </w:p>
        </w:tc>
        <w:tc>
          <w:tcPr>
            <w:tcW w:w="3200" w:type="dxa"/>
            <w:vAlign w:val="center"/>
          </w:tcPr>
          <w:p w14:paraId="41BD3E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场址位于精河县北部，属平原地貌。平原区地势开阔平坦，总体向艾比湖倾斜。该场址场区地形坡度1‰左右。现场地势整体上较为平坦，并由南向北倾斜，仅跑道南端局部区域地势稍高。考虑到本场区距离艾比湖较近、地下水埋深较浅的特点，当地公路工程路堤高度情况，结合场道工程清表厚度、道面结构层厚度，地表土按黏土考虑，使场区大部分跑道道槽底高于原地面0.9m以上。以此进行地势设计，并进行土方计算，跑道北端标高264.8m，南端标高274.8m（1985国家高程），全场土方量填方123万方，挖方27万方</w:t>
            </w:r>
          </w:p>
        </w:tc>
        <w:tc>
          <w:tcPr>
            <w:tcW w:w="3206" w:type="dxa"/>
            <w:vAlign w:val="center"/>
          </w:tcPr>
          <w:p w14:paraId="5D50D9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产业园西场址位于精河县西南部，属沙丘地貌。场地呈沙丘地貌，地下水埋藏较深，考虑土方平衡，跑道两端标高为375.6m（1985国家高程），全场土方量填方332万方，挖方352万方</w:t>
            </w:r>
          </w:p>
        </w:tc>
        <w:tc>
          <w:tcPr>
            <w:tcW w:w="926" w:type="dxa"/>
            <w:vAlign w:val="center"/>
          </w:tcPr>
          <w:p w14:paraId="10131B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方案一</w:t>
            </w:r>
          </w:p>
        </w:tc>
      </w:tr>
      <w:tr w14:paraId="6F7C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03BF1B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工程地质</w:t>
            </w:r>
          </w:p>
        </w:tc>
        <w:tc>
          <w:tcPr>
            <w:tcW w:w="3200" w:type="dxa"/>
            <w:vAlign w:val="center"/>
          </w:tcPr>
          <w:p w14:paraId="2A9DFA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根据精河县域地质图，本场区主要出露地层为全新统复合成因的堆积物，成分为砂、砂土、砾土、亚粘土等</w:t>
            </w:r>
          </w:p>
        </w:tc>
        <w:tc>
          <w:tcPr>
            <w:tcW w:w="3206" w:type="dxa"/>
            <w:vAlign w:val="center"/>
          </w:tcPr>
          <w:p w14:paraId="458DAE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根据精河县域地质图，本场区主要出露地层为全新统复合成因的堆积物，成分为砂、砂土、砾土、亚粘土等</w:t>
            </w:r>
          </w:p>
        </w:tc>
        <w:tc>
          <w:tcPr>
            <w:tcW w:w="926" w:type="dxa"/>
            <w:vAlign w:val="center"/>
          </w:tcPr>
          <w:p w14:paraId="739BDB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相当</w:t>
            </w:r>
          </w:p>
        </w:tc>
      </w:tr>
      <w:tr w14:paraId="0E67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10AAE7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供电条件</w:t>
            </w:r>
          </w:p>
        </w:tc>
        <w:tc>
          <w:tcPr>
            <w:tcW w:w="3200" w:type="dxa"/>
            <w:vAlign w:val="center"/>
          </w:tcPr>
          <w:p w14:paraId="348B73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依托永集湖变电站（110kV）、安阜变电站（110kV），总造价约为557.5万元</w:t>
            </w:r>
          </w:p>
        </w:tc>
        <w:tc>
          <w:tcPr>
            <w:tcW w:w="3206" w:type="dxa"/>
            <w:vAlign w:val="center"/>
          </w:tcPr>
          <w:p w14:paraId="6A97C2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依托八家户变电站（35kV）、栖凤变电站（110kV）、清桥变电站（35kV），总造价约为400万元</w:t>
            </w:r>
          </w:p>
        </w:tc>
        <w:tc>
          <w:tcPr>
            <w:tcW w:w="926" w:type="dxa"/>
            <w:vAlign w:val="center"/>
          </w:tcPr>
          <w:p w14:paraId="62ABEE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场址二</w:t>
            </w:r>
          </w:p>
        </w:tc>
      </w:tr>
      <w:tr w14:paraId="507D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1FFEFA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供水条件</w:t>
            </w:r>
          </w:p>
        </w:tc>
        <w:tc>
          <w:tcPr>
            <w:tcW w:w="3200" w:type="dxa"/>
            <w:vAlign w:val="center"/>
          </w:tcPr>
          <w:p w14:paraId="21931E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拟新建管道连接精河县城乡一体化供水管网，供水接口位置在精河县工业园区已建调节池，新建供水管道13.19km，共投资匡算590万元</w:t>
            </w:r>
          </w:p>
        </w:tc>
        <w:tc>
          <w:tcPr>
            <w:tcW w:w="3206" w:type="dxa"/>
            <w:vAlign w:val="center"/>
          </w:tcPr>
          <w:p w14:paraId="7EAB7E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新建管道连接精河县城乡一体化供水管网，供水接口位置在精河总水厂，新建供水管道16.3km，共投资匡算735万元</w:t>
            </w:r>
          </w:p>
        </w:tc>
        <w:tc>
          <w:tcPr>
            <w:tcW w:w="926" w:type="dxa"/>
            <w:vAlign w:val="center"/>
          </w:tcPr>
          <w:p w14:paraId="6C2677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场址一</w:t>
            </w:r>
          </w:p>
        </w:tc>
      </w:tr>
      <w:tr w14:paraId="0E5F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3A2B04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供暖条件</w:t>
            </w:r>
          </w:p>
        </w:tc>
        <w:tc>
          <w:tcPr>
            <w:tcW w:w="3200" w:type="dxa"/>
            <w:vAlign w:val="center"/>
          </w:tcPr>
          <w:p w14:paraId="02832F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自建电采暖热水锅炉进行供暖</w:t>
            </w:r>
          </w:p>
        </w:tc>
        <w:tc>
          <w:tcPr>
            <w:tcW w:w="3206" w:type="dxa"/>
            <w:vAlign w:val="center"/>
          </w:tcPr>
          <w:p w14:paraId="5C67D3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自建电采暖热水锅炉进行供暖</w:t>
            </w:r>
          </w:p>
        </w:tc>
        <w:tc>
          <w:tcPr>
            <w:tcW w:w="926" w:type="dxa"/>
            <w:vAlign w:val="center"/>
          </w:tcPr>
          <w:p w14:paraId="014EF7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相当</w:t>
            </w:r>
          </w:p>
        </w:tc>
      </w:tr>
      <w:tr w14:paraId="4106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24500B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供气条件</w:t>
            </w:r>
          </w:p>
        </w:tc>
        <w:tc>
          <w:tcPr>
            <w:tcW w:w="3200" w:type="dxa"/>
            <w:vAlign w:val="center"/>
          </w:tcPr>
          <w:p w14:paraId="4C69DD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采用移动式压力容器，储量为4000 m³；或铺设一条10km的DE200的中压PE管线</w:t>
            </w:r>
          </w:p>
        </w:tc>
        <w:tc>
          <w:tcPr>
            <w:tcW w:w="3206" w:type="dxa"/>
            <w:vAlign w:val="center"/>
          </w:tcPr>
          <w:p w14:paraId="6DE08B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仅采用移动式压力容器，储量为4000 m³；=</w:t>
            </w:r>
          </w:p>
        </w:tc>
        <w:tc>
          <w:tcPr>
            <w:tcW w:w="926" w:type="dxa"/>
            <w:vAlign w:val="center"/>
          </w:tcPr>
          <w:p w14:paraId="21BF2F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场址一</w:t>
            </w:r>
          </w:p>
        </w:tc>
      </w:tr>
      <w:tr w14:paraId="6608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4615EB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供油条件</w:t>
            </w:r>
          </w:p>
        </w:tc>
        <w:tc>
          <w:tcPr>
            <w:tcW w:w="3200" w:type="dxa"/>
            <w:vAlign w:val="center"/>
          </w:tcPr>
          <w:p w14:paraId="59DC9D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油料来源为中航油新疆航空油料有限公司（独山子炼厂），采用公路运输方式供应航油到机场，运距约为195km</w:t>
            </w:r>
          </w:p>
        </w:tc>
        <w:tc>
          <w:tcPr>
            <w:tcW w:w="3206" w:type="dxa"/>
            <w:vAlign w:val="center"/>
          </w:tcPr>
          <w:p w14:paraId="1CC31C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油料来源为中航油新疆航空油料有限公司（独山子炼厂），采用公路运输方式供应航油到机场，运距约为200km</w:t>
            </w:r>
          </w:p>
        </w:tc>
        <w:tc>
          <w:tcPr>
            <w:tcW w:w="926" w:type="dxa"/>
            <w:vAlign w:val="center"/>
          </w:tcPr>
          <w:p w14:paraId="18E036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场址一</w:t>
            </w:r>
          </w:p>
        </w:tc>
      </w:tr>
      <w:tr w14:paraId="497F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4332F2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交通条件</w:t>
            </w:r>
          </w:p>
        </w:tc>
        <w:tc>
          <w:tcPr>
            <w:tcW w:w="3200" w:type="dxa"/>
            <w:vAlign w:val="center"/>
          </w:tcPr>
          <w:p w14:paraId="12C9F3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场址附近有X214线，此路线为S305线的连接线，为双向2车道三级公路，机场进场路方案为修建约7km左右机场大道连接X214线，X214接驳乌伊路进出县城</w:t>
            </w:r>
          </w:p>
        </w:tc>
        <w:tc>
          <w:tcPr>
            <w:tcW w:w="3206" w:type="dxa"/>
            <w:vAlign w:val="center"/>
          </w:tcPr>
          <w:p w14:paraId="4B53A1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场址附近有Y034线，此路线为Z573线的连接线，为双向4车道一级公路。机场进场路需修建约7km左右机场大道连接Y034线，Z573通过接驳乌伊路进出县城</w:t>
            </w:r>
          </w:p>
        </w:tc>
        <w:tc>
          <w:tcPr>
            <w:tcW w:w="926" w:type="dxa"/>
            <w:vAlign w:val="center"/>
          </w:tcPr>
          <w:p w14:paraId="1AA06E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相当</w:t>
            </w:r>
          </w:p>
        </w:tc>
      </w:tr>
      <w:tr w14:paraId="5358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4FC951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地下矿藏和文物情况</w:t>
            </w:r>
          </w:p>
        </w:tc>
        <w:tc>
          <w:tcPr>
            <w:tcW w:w="3200" w:type="dxa"/>
            <w:vAlign w:val="center"/>
          </w:tcPr>
          <w:p w14:paraId="6F00CA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未压覆重要矿产资源、未发现文物遗存</w:t>
            </w:r>
          </w:p>
        </w:tc>
        <w:tc>
          <w:tcPr>
            <w:tcW w:w="3206" w:type="dxa"/>
            <w:vAlign w:val="center"/>
          </w:tcPr>
          <w:p w14:paraId="551D5F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未压覆重要矿产资源、未发现文物遗存</w:t>
            </w:r>
          </w:p>
        </w:tc>
        <w:tc>
          <w:tcPr>
            <w:tcW w:w="926" w:type="dxa"/>
            <w:vAlign w:val="center"/>
          </w:tcPr>
          <w:p w14:paraId="6973A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相当</w:t>
            </w:r>
          </w:p>
        </w:tc>
      </w:tr>
      <w:tr w14:paraId="3144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0BF5BC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土地状况</w:t>
            </w:r>
          </w:p>
        </w:tc>
        <w:tc>
          <w:tcPr>
            <w:tcW w:w="3200" w:type="dxa"/>
            <w:vAlign w:val="center"/>
          </w:tcPr>
          <w:p w14:paraId="0602DE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场址用地总面积65.2804公顷，只涉及农用地转用，不涉及集体土地征收。使用国有土地补偿总费用合计8106.8832万元</w:t>
            </w:r>
          </w:p>
        </w:tc>
        <w:tc>
          <w:tcPr>
            <w:tcW w:w="3206" w:type="dxa"/>
            <w:vAlign w:val="center"/>
          </w:tcPr>
          <w:p w14:paraId="721AB9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场址用地总面积99.5079公顷，只涉及农用地转用，不涉及集体土地征收。使用国有土地补偿总费用合计104.8339万元</w:t>
            </w:r>
          </w:p>
        </w:tc>
        <w:tc>
          <w:tcPr>
            <w:tcW w:w="926" w:type="dxa"/>
            <w:vAlign w:val="center"/>
          </w:tcPr>
          <w:p w14:paraId="4A17E8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场址二</w:t>
            </w:r>
          </w:p>
        </w:tc>
      </w:tr>
      <w:tr w14:paraId="28C1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75454B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拆迁或改建情况</w:t>
            </w:r>
          </w:p>
        </w:tc>
        <w:tc>
          <w:tcPr>
            <w:tcW w:w="3200" w:type="dxa"/>
            <w:vAlign w:val="center"/>
          </w:tcPr>
          <w:p w14:paraId="56D27B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该场址无拆迁民房及设施</w:t>
            </w:r>
          </w:p>
        </w:tc>
        <w:tc>
          <w:tcPr>
            <w:tcW w:w="3206" w:type="dxa"/>
            <w:vAlign w:val="center"/>
          </w:tcPr>
          <w:p w14:paraId="582C49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场址附近有西气东输三线国家管网</w:t>
            </w:r>
          </w:p>
        </w:tc>
        <w:tc>
          <w:tcPr>
            <w:tcW w:w="926" w:type="dxa"/>
            <w:vAlign w:val="center"/>
          </w:tcPr>
          <w:p w14:paraId="4B401E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场址一</w:t>
            </w:r>
          </w:p>
        </w:tc>
      </w:tr>
    </w:tbl>
    <w:p w14:paraId="4F6D96A9">
      <w:pPr>
        <w:keepNext w:val="0"/>
        <w:keepLines w:val="0"/>
        <w:pageBreakBefore w:val="0"/>
        <w:widowControl/>
        <w:kinsoku/>
        <w:wordWrap/>
        <w:overflowPunct/>
        <w:topLinePunct w:val="0"/>
        <w:autoSpaceDE w:val="0"/>
        <w:autoSpaceDN w:val="0"/>
        <w:bidi w:val="0"/>
        <w:adjustRightInd/>
        <w:snapToGrid/>
        <w:ind w:left="0" w:leftChars="0" w:right="0" w:rightChars="0" w:firstLine="480" w:firstLineChars="200"/>
        <w:jc w:val="both"/>
        <w:textAlignment w:val="auto"/>
        <w:rPr>
          <w:rFonts w:hint="eastAsia" w:ascii="黑体" w:hAnsi="黑体" w:eastAsia="黑体" w:cs="黑体"/>
          <w:color w:val="auto"/>
          <w:sz w:val="21"/>
          <w:szCs w:val="21"/>
          <w:highlight w:val="none"/>
          <w:lang w:val="en-US" w:eastAsia="zh-CN"/>
        </w:rPr>
      </w:pPr>
      <w:r>
        <w:rPr>
          <w:rFonts w:hint="eastAsia" w:cs="Times New Roman"/>
          <w:color w:val="auto"/>
          <w:szCs w:val="24"/>
          <w:highlight w:val="none"/>
          <w:lang w:val="en-US" w:eastAsia="zh-CN"/>
        </w:rPr>
        <w:t>根据《新疆精河通用机场选址报告》，总体区位分析：八家户牧业四队场址距离县城相对较近，政府意向明显，切合总体规划；土石方工程量分析：八家户牧业四队场址总体土石方工程量更小，土方工程造价费用更低；净空条件分析：两个场址附近均有高压线分析，但八家户牧业四队场址与高压线距离更远，净空条件比产业园西场址相对较好，高压线对场址总体影响相对较低，场址发展空间相对较大；占用土地性质分析：八家户牧业四队场址占用土地大部分为国有农用地土地，征用补偿费用较高，产业园西场址占用土地大部分为国有未利用地，土地使用成本较低；经航行服务研究分析，推荐八家户牧业四队场址作为空中的首选场址。通过工程技术、航行服务研究及场址建设投资估算的综合评价与比较，综合推荐八家户牧业四队场址为首选场址。</w:t>
      </w:r>
    </w:p>
    <w:p w14:paraId="3CDDC19E">
      <w:pPr>
        <w:pageBreakBefore w:val="0"/>
        <w:widowControl/>
        <w:kinsoku/>
        <w:wordWrap/>
        <w:overflowPunct/>
        <w:autoSpaceDE w:val="0"/>
        <w:autoSpaceDN w:val="0"/>
        <w:bidi w:val="0"/>
        <w:ind w:left="0" w:leftChars="0" w:right="0" w:rightChars="0" w:firstLine="0" w:firstLineChars="0"/>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表3.8-2  机场场址环境合理性分析一览表</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3200"/>
        <w:gridCol w:w="3206"/>
        <w:gridCol w:w="926"/>
      </w:tblGrid>
      <w:tr w14:paraId="776A8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688F66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项目</w:t>
            </w:r>
          </w:p>
        </w:tc>
        <w:tc>
          <w:tcPr>
            <w:tcW w:w="3200" w:type="dxa"/>
            <w:vAlign w:val="center"/>
          </w:tcPr>
          <w:p w14:paraId="589B4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场址一</w:t>
            </w:r>
          </w:p>
        </w:tc>
        <w:tc>
          <w:tcPr>
            <w:tcW w:w="3206" w:type="dxa"/>
            <w:vAlign w:val="center"/>
          </w:tcPr>
          <w:p w14:paraId="79B0F9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场址二</w:t>
            </w:r>
          </w:p>
        </w:tc>
        <w:tc>
          <w:tcPr>
            <w:tcW w:w="926" w:type="dxa"/>
            <w:vAlign w:val="center"/>
          </w:tcPr>
          <w:p w14:paraId="3A4792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推荐</w:t>
            </w:r>
          </w:p>
        </w:tc>
      </w:tr>
      <w:tr w14:paraId="2024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3D3B6C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方案名称</w:t>
            </w:r>
          </w:p>
        </w:tc>
        <w:tc>
          <w:tcPr>
            <w:tcW w:w="3200" w:type="dxa"/>
            <w:vAlign w:val="center"/>
          </w:tcPr>
          <w:p w14:paraId="6D4952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八家户牧业四队场址</w:t>
            </w:r>
          </w:p>
        </w:tc>
        <w:tc>
          <w:tcPr>
            <w:tcW w:w="3206" w:type="dxa"/>
            <w:vAlign w:val="center"/>
          </w:tcPr>
          <w:p w14:paraId="2D3856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产业园西场址</w:t>
            </w:r>
          </w:p>
        </w:tc>
        <w:tc>
          <w:tcPr>
            <w:tcW w:w="926" w:type="dxa"/>
            <w:vAlign w:val="center"/>
          </w:tcPr>
          <w:p w14:paraId="1C9FDE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w:t>
            </w:r>
          </w:p>
        </w:tc>
      </w:tr>
      <w:tr w14:paraId="578A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4ACB8F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地理位置</w:t>
            </w:r>
          </w:p>
        </w:tc>
        <w:tc>
          <w:tcPr>
            <w:tcW w:w="3200" w:type="dxa"/>
            <w:vAlign w:val="center"/>
          </w:tcPr>
          <w:p w14:paraId="754C45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位于精河县西北部八家户牧业四队东侧，场址距精河县城中心直线距离约9km，公路距离约14km，距东侧兵团八十三团4km</w:t>
            </w:r>
          </w:p>
        </w:tc>
        <w:tc>
          <w:tcPr>
            <w:tcW w:w="3206" w:type="dxa"/>
            <w:vAlign w:val="center"/>
          </w:tcPr>
          <w:p w14:paraId="7F4FD7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位于精河县西南侧、旦达盖沙漠东北角，距县城中心直线距离15km，公路距离约22km</w:t>
            </w:r>
          </w:p>
        </w:tc>
        <w:tc>
          <w:tcPr>
            <w:tcW w:w="926" w:type="dxa"/>
            <w:vAlign w:val="center"/>
          </w:tcPr>
          <w:p w14:paraId="6149F4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相当</w:t>
            </w:r>
          </w:p>
        </w:tc>
      </w:tr>
      <w:tr w14:paraId="7677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0CE06A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b/>
                <w:bCs/>
                <w:color w:val="auto"/>
                <w:sz w:val="21"/>
                <w:szCs w:val="21"/>
                <w:highlight w:val="none"/>
                <w:lang w:val="en-US" w:eastAsia="zh-CN"/>
              </w:rPr>
              <w:t>声环境</w:t>
            </w:r>
          </w:p>
        </w:tc>
        <w:tc>
          <w:tcPr>
            <w:tcW w:w="3200" w:type="dxa"/>
            <w:vAlign w:val="center"/>
          </w:tcPr>
          <w:p w14:paraId="37C42B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场址在精河县城西北约9km处，飞机起降都不穿过城市上空，机场运营对城市的声环境影响很小；场址附近现有居民点应做必要的规划，不应再向70dB线以内发展；航空器噪声对规划的噪声敏感建筑物集中区域</w:t>
            </w:r>
            <w:r>
              <w:rPr>
                <w:rFonts w:hint="eastAsia"/>
                <w:color w:val="auto"/>
                <w:sz w:val="21"/>
                <w:szCs w:val="21"/>
                <w:highlight w:val="none"/>
                <w:lang w:val="en-US" w:eastAsia="zh-CN"/>
              </w:rPr>
              <w:t>影响较小；飞机起降所产生的噪声对县城无影响</w:t>
            </w:r>
          </w:p>
        </w:tc>
        <w:tc>
          <w:tcPr>
            <w:tcW w:w="3206" w:type="dxa"/>
            <w:vAlign w:val="center"/>
          </w:tcPr>
          <w:p w14:paraId="4F5A18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场址在精河县城西南侧约15km处，飞机起降都不穿过城市上空，机场运营对城市的声环境影响</w:t>
            </w:r>
            <w:r>
              <w:rPr>
                <w:rFonts w:hint="eastAsia"/>
                <w:color w:val="auto"/>
                <w:sz w:val="21"/>
                <w:szCs w:val="21"/>
                <w:highlight w:val="none"/>
                <w:lang w:val="en-US" w:eastAsia="zh-CN"/>
              </w:rPr>
              <w:t>较</w:t>
            </w:r>
            <w:r>
              <w:rPr>
                <w:rFonts w:hint="default"/>
                <w:color w:val="auto"/>
                <w:sz w:val="21"/>
                <w:szCs w:val="21"/>
                <w:highlight w:val="none"/>
                <w:lang w:val="en-US" w:eastAsia="zh-CN"/>
              </w:rPr>
              <w:t>小；产业园西场址起落航线与部分住户及学校距离较近约2km，噪声对该地区会产生一定影响；航空器噪声对</w:t>
            </w:r>
            <w:r>
              <w:rPr>
                <w:rFonts w:hint="eastAsia"/>
                <w:color w:val="auto"/>
                <w:sz w:val="21"/>
                <w:szCs w:val="21"/>
                <w:highlight w:val="none"/>
                <w:lang w:val="en-US" w:eastAsia="zh-CN"/>
              </w:rPr>
              <w:t>现状及</w:t>
            </w:r>
            <w:r>
              <w:rPr>
                <w:rFonts w:hint="default"/>
                <w:color w:val="auto"/>
                <w:sz w:val="21"/>
                <w:szCs w:val="21"/>
                <w:highlight w:val="none"/>
                <w:lang w:val="en-US" w:eastAsia="zh-CN"/>
              </w:rPr>
              <w:t>规划的噪声敏感建筑物集中区域影响较</w:t>
            </w:r>
            <w:r>
              <w:rPr>
                <w:rFonts w:hint="eastAsia"/>
                <w:color w:val="auto"/>
                <w:sz w:val="21"/>
                <w:szCs w:val="21"/>
                <w:highlight w:val="none"/>
                <w:lang w:val="en-US" w:eastAsia="zh-CN"/>
              </w:rPr>
              <w:t>大</w:t>
            </w:r>
          </w:p>
        </w:tc>
        <w:tc>
          <w:tcPr>
            <w:tcW w:w="926" w:type="dxa"/>
            <w:vAlign w:val="center"/>
          </w:tcPr>
          <w:p w14:paraId="35DC16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场址一</w:t>
            </w:r>
          </w:p>
        </w:tc>
      </w:tr>
      <w:tr w14:paraId="06C4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Merge w:val="restart"/>
            <w:vAlign w:val="center"/>
          </w:tcPr>
          <w:p w14:paraId="6F1079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生态</w:t>
            </w:r>
          </w:p>
        </w:tc>
        <w:tc>
          <w:tcPr>
            <w:tcW w:w="3200" w:type="dxa"/>
            <w:vAlign w:val="center"/>
          </w:tcPr>
          <w:p w14:paraId="3A03EF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项目所在区域主要为农田生态系统，人类活动及开发程度较大，环境要素占比较大，生态要素比重较小；</w:t>
            </w:r>
          </w:p>
        </w:tc>
        <w:tc>
          <w:tcPr>
            <w:tcW w:w="3206" w:type="dxa"/>
            <w:vAlign w:val="center"/>
          </w:tcPr>
          <w:p w14:paraId="1C0274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项目所在区域主要为荒漠生态系统，人类活动及开发程度较小，防风固沙、水土保持等生态功能作用较明显</w:t>
            </w:r>
          </w:p>
        </w:tc>
        <w:tc>
          <w:tcPr>
            <w:tcW w:w="926" w:type="dxa"/>
            <w:vAlign w:val="center"/>
          </w:tcPr>
          <w:p w14:paraId="3D0AB1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场址一</w:t>
            </w:r>
          </w:p>
        </w:tc>
      </w:tr>
      <w:tr w14:paraId="0213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Merge w:val="continue"/>
            <w:vAlign w:val="center"/>
          </w:tcPr>
          <w:p w14:paraId="3E2E24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3200" w:type="dxa"/>
            <w:vAlign w:val="center"/>
          </w:tcPr>
          <w:p w14:paraId="21C5C1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无重要物种栖息地、重要停歇地</w:t>
            </w:r>
          </w:p>
        </w:tc>
        <w:tc>
          <w:tcPr>
            <w:tcW w:w="3206" w:type="dxa"/>
            <w:vAlign w:val="center"/>
          </w:tcPr>
          <w:p w14:paraId="25AE82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无重要物种栖息地、重要停歇地</w:t>
            </w:r>
          </w:p>
        </w:tc>
        <w:tc>
          <w:tcPr>
            <w:tcW w:w="926" w:type="dxa"/>
            <w:vAlign w:val="center"/>
          </w:tcPr>
          <w:p w14:paraId="3B661F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相当</w:t>
            </w:r>
          </w:p>
        </w:tc>
      </w:tr>
      <w:tr w14:paraId="7612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Merge w:val="continue"/>
            <w:vAlign w:val="center"/>
          </w:tcPr>
          <w:p w14:paraId="7DF188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3200" w:type="dxa"/>
            <w:vAlign w:val="center"/>
          </w:tcPr>
          <w:p w14:paraId="6D3BD7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涉及中亚西部迁徙区鸟类迁徙通道，场址及周边多为农田区域且以集约化种植棉花为主</w:t>
            </w:r>
          </w:p>
        </w:tc>
        <w:tc>
          <w:tcPr>
            <w:tcW w:w="3206" w:type="dxa"/>
            <w:vAlign w:val="center"/>
          </w:tcPr>
          <w:p w14:paraId="17F122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涉及中亚西部迁徙区鸟类迁徙通道，场址及周边多为沙地区域，生长有梭梭等沙生植被，适于候鸟临时停歇补充食物的环境较少</w:t>
            </w:r>
          </w:p>
        </w:tc>
        <w:tc>
          <w:tcPr>
            <w:tcW w:w="926" w:type="dxa"/>
            <w:vAlign w:val="center"/>
          </w:tcPr>
          <w:p w14:paraId="34C4D1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相当</w:t>
            </w:r>
          </w:p>
        </w:tc>
      </w:tr>
      <w:tr w14:paraId="0243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Merge w:val="continue"/>
            <w:vAlign w:val="center"/>
          </w:tcPr>
          <w:p w14:paraId="001E2D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3200" w:type="dxa"/>
            <w:shd w:val="clear" w:color="auto" w:fill="auto"/>
            <w:vAlign w:val="center"/>
          </w:tcPr>
          <w:p w14:paraId="1D267D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全场</w:t>
            </w:r>
            <w:r>
              <w:rPr>
                <w:rFonts w:hint="eastAsia"/>
                <w:b/>
                <w:bCs/>
                <w:color w:val="auto"/>
                <w:sz w:val="21"/>
                <w:szCs w:val="21"/>
                <w:highlight w:val="none"/>
                <w:lang w:val="en-US" w:eastAsia="zh-CN"/>
              </w:rPr>
              <w:t>土方量</w:t>
            </w:r>
            <w:r>
              <w:rPr>
                <w:rFonts w:hint="eastAsia"/>
                <w:color w:val="auto"/>
                <w:sz w:val="21"/>
                <w:szCs w:val="21"/>
                <w:highlight w:val="none"/>
                <w:lang w:val="en-US" w:eastAsia="zh-CN"/>
              </w:rPr>
              <w:t>填方123万方，挖方27万方</w:t>
            </w:r>
          </w:p>
        </w:tc>
        <w:tc>
          <w:tcPr>
            <w:tcW w:w="3206" w:type="dxa"/>
            <w:shd w:val="clear" w:color="auto" w:fill="auto"/>
            <w:vAlign w:val="center"/>
          </w:tcPr>
          <w:p w14:paraId="49177F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全场土方量填方332万方，挖方352万方</w:t>
            </w:r>
          </w:p>
        </w:tc>
        <w:tc>
          <w:tcPr>
            <w:tcW w:w="926" w:type="dxa"/>
            <w:shd w:val="clear" w:color="auto" w:fill="auto"/>
            <w:vAlign w:val="center"/>
          </w:tcPr>
          <w:p w14:paraId="78A7E7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lang w:val="en-US" w:eastAsia="zh-CN"/>
              </w:rPr>
              <w:t>场址一</w:t>
            </w:r>
          </w:p>
        </w:tc>
      </w:tr>
      <w:tr w14:paraId="09DE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Merge w:val="continue"/>
            <w:vAlign w:val="center"/>
          </w:tcPr>
          <w:p w14:paraId="35CEC2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3200" w:type="dxa"/>
            <w:vAlign w:val="center"/>
          </w:tcPr>
          <w:p w14:paraId="0DE77F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属平原地貌，地势开阔平坦，该场址场区地形坡度1‰左右</w:t>
            </w:r>
          </w:p>
        </w:tc>
        <w:tc>
          <w:tcPr>
            <w:tcW w:w="3206" w:type="dxa"/>
            <w:vAlign w:val="center"/>
          </w:tcPr>
          <w:p w14:paraId="574369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属沙丘地貌，地势南高北低，南部近山区</w:t>
            </w:r>
          </w:p>
        </w:tc>
        <w:tc>
          <w:tcPr>
            <w:tcW w:w="926" w:type="dxa"/>
            <w:vAlign w:val="center"/>
          </w:tcPr>
          <w:p w14:paraId="197BA0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场址一</w:t>
            </w:r>
          </w:p>
        </w:tc>
      </w:tr>
      <w:tr w14:paraId="27FF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Merge w:val="continue"/>
            <w:vAlign w:val="center"/>
          </w:tcPr>
          <w:p w14:paraId="7BA97E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3200" w:type="dxa"/>
            <w:vAlign w:val="center"/>
          </w:tcPr>
          <w:p w14:paraId="335B74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占地范围内无重点公益林</w:t>
            </w:r>
          </w:p>
        </w:tc>
        <w:tc>
          <w:tcPr>
            <w:tcW w:w="3206" w:type="dxa"/>
            <w:vAlign w:val="center"/>
          </w:tcPr>
          <w:p w14:paraId="0692B9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占地范围内无重点公益林</w:t>
            </w:r>
          </w:p>
        </w:tc>
        <w:tc>
          <w:tcPr>
            <w:tcW w:w="926" w:type="dxa"/>
            <w:vAlign w:val="center"/>
          </w:tcPr>
          <w:p w14:paraId="318273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相当</w:t>
            </w:r>
          </w:p>
        </w:tc>
      </w:tr>
      <w:tr w14:paraId="1F84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Merge w:val="continue"/>
            <w:vAlign w:val="center"/>
          </w:tcPr>
          <w:p w14:paraId="64B834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3200" w:type="dxa"/>
            <w:vAlign w:val="center"/>
          </w:tcPr>
          <w:p w14:paraId="07FC55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农用地99.81%+未利用地0.19%</w:t>
            </w:r>
          </w:p>
        </w:tc>
        <w:tc>
          <w:tcPr>
            <w:tcW w:w="3206" w:type="dxa"/>
            <w:vAlign w:val="center"/>
          </w:tcPr>
          <w:p w14:paraId="69EF10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农用地1.63%+未利用地98.37%</w:t>
            </w:r>
          </w:p>
        </w:tc>
        <w:tc>
          <w:tcPr>
            <w:tcW w:w="926" w:type="dxa"/>
            <w:vAlign w:val="center"/>
          </w:tcPr>
          <w:p w14:paraId="42C16A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场址二</w:t>
            </w:r>
          </w:p>
        </w:tc>
      </w:tr>
      <w:tr w14:paraId="5315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Merge w:val="continue"/>
            <w:vAlign w:val="center"/>
          </w:tcPr>
          <w:p w14:paraId="76FA91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3200" w:type="dxa"/>
            <w:vAlign w:val="center"/>
          </w:tcPr>
          <w:p w14:paraId="55635D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主要生态环境问题为土壤盐渍化</w:t>
            </w:r>
          </w:p>
        </w:tc>
        <w:tc>
          <w:tcPr>
            <w:tcW w:w="3206" w:type="dxa"/>
            <w:vAlign w:val="center"/>
          </w:tcPr>
          <w:p w14:paraId="5419D6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主要生态环境问题为荒漠植被破坏、风沙危害</w:t>
            </w:r>
          </w:p>
        </w:tc>
        <w:tc>
          <w:tcPr>
            <w:tcW w:w="926" w:type="dxa"/>
            <w:vAlign w:val="center"/>
          </w:tcPr>
          <w:p w14:paraId="65D4C1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场址一</w:t>
            </w:r>
          </w:p>
        </w:tc>
      </w:tr>
      <w:tr w14:paraId="2748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Merge w:val="continue"/>
            <w:vAlign w:val="center"/>
          </w:tcPr>
          <w:p w14:paraId="4585EC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p>
        </w:tc>
        <w:tc>
          <w:tcPr>
            <w:tcW w:w="3200" w:type="dxa"/>
            <w:vAlign w:val="center"/>
          </w:tcPr>
          <w:p w14:paraId="4FA0E5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生物多样性及其生境不敏感、土壤盐渍化高度敏感</w:t>
            </w:r>
          </w:p>
        </w:tc>
        <w:tc>
          <w:tcPr>
            <w:tcW w:w="3206" w:type="dxa"/>
            <w:vAlign w:val="center"/>
          </w:tcPr>
          <w:p w14:paraId="435135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生物多样性及其生境高度敏感、土地沙漠化轻度敏感</w:t>
            </w:r>
          </w:p>
        </w:tc>
        <w:tc>
          <w:tcPr>
            <w:tcW w:w="926" w:type="dxa"/>
            <w:vAlign w:val="center"/>
          </w:tcPr>
          <w:p w14:paraId="48CB36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场址一</w:t>
            </w:r>
          </w:p>
        </w:tc>
      </w:tr>
      <w:tr w14:paraId="3551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452E95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大气</w:t>
            </w:r>
          </w:p>
        </w:tc>
        <w:tc>
          <w:tcPr>
            <w:tcW w:w="3200" w:type="dxa"/>
            <w:vAlign w:val="center"/>
          </w:tcPr>
          <w:p w14:paraId="1C671E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5处大气敏感目标，均为农村地区中人群较集中的区域，距离最近约1.2km，较为分散，人口规模较小</w:t>
            </w:r>
          </w:p>
        </w:tc>
        <w:tc>
          <w:tcPr>
            <w:tcW w:w="3206" w:type="dxa"/>
            <w:vAlign w:val="center"/>
          </w:tcPr>
          <w:p w14:paraId="0DD0B4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4处大气敏感目标，涵盖八家户农场场部，除“农村地区中人群较集中的区域”外，还涉及居住区、文化区、学校、医院等，人口规模较大</w:t>
            </w:r>
          </w:p>
        </w:tc>
        <w:tc>
          <w:tcPr>
            <w:tcW w:w="926" w:type="dxa"/>
            <w:vAlign w:val="center"/>
          </w:tcPr>
          <w:p w14:paraId="1AFAED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场址一</w:t>
            </w:r>
          </w:p>
        </w:tc>
      </w:tr>
      <w:tr w14:paraId="1565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4C5AFE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地表水</w:t>
            </w:r>
          </w:p>
        </w:tc>
        <w:tc>
          <w:tcPr>
            <w:tcW w:w="3200" w:type="dxa"/>
            <w:vAlign w:val="center"/>
          </w:tcPr>
          <w:p w14:paraId="555C6E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不涉及饮用水水源保护区、饮用水取水口，涉水的自然保护区、风景名胜区，重要湿地、重点保护与珍稀水生生物的栖息地、重要水生生物的自然产卵场及索饵场、越冬场和洄游通道，天然渔场等渔业水体，以及水产种质资源保护区等</w:t>
            </w:r>
          </w:p>
        </w:tc>
        <w:tc>
          <w:tcPr>
            <w:tcW w:w="3206" w:type="dxa"/>
            <w:vAlign w:val="center"/>
          </w:tcPr>
          <w:p w14:paraId="2E128E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不涉及饮用水水源保护区、饮用水取水口，涉水的自然保护区、风景名胜区，重要湿地、重点保护与珍稀水生生物的栖息地、重要水生生物的自然产卵场及索饵场、越冬场和洄游通道，天然渔场等渔业水体，以及水产种质资源保护区等</w:t>
            </w:r>
          </w:p>
        </w:tc>
        <w:tc>
          <w:tcPr>
            <w:tcW w:w="926" w:type="dxa"/>
            <w:vAlign w:val="center"/>
          </w:tcPr>
          <w:p w14:paraId="72011D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相当</w:t>
            </w:r>
          </w:p>
        </w:tc>
      </w:tr>
      <w:tr w14:paraId="69F5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724D84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地下水</w:t>
            </w:r>
          </w:p>
        </w:tc>
        <w:tc>
          <w:tcPr>
            <w:tcW w:w="3200" w:type="dxa"/>
            <w:vAlign w:val="center"/>
          </w:tcPr>
          <w:p w14:paraId="1D1673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地下水埋深较浅；以潜水-承压水为主；无水源保护区</w:t>
            </w:r>
          </w:p>
        </w:tc>
        <w:tc>
          <w:tcPr>
            <w:tcW w:w="3206" w:type="dxa"/>
            <w:vAlign w:val="center"/>
          </w:tcPr>
          <w:p w14:paraId="76D4AF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地下水埋深较深；以基岩裂隙水与冻结层水为主；场址东北约2km处为精河县八家户水源保护区取水点</w:t>
            </w:r>
          </w:p>
        </w:tc>
        <w:tc>
          <w:tcPr>
            <w:tcW w:w="926" w:type="dxa"/>
            <w:vAlign w:val="center"/>
          </w:tcPr>
          <w:p w14:paraId="2464C7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场址一</w:t>
            </w:r>
          </w:p>
        </w:tc>
      </w:tr>
      <w:tr w14:paraId="3EB0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21CF78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土壤</w:t>
            </w:r>
          </w:p>
        </w:tc>
        <w:tc>
          <w:tcPr>
            <w:tcW w:w="3200" w:type="dxa"/>
            <w:vAlign w:val="center"/>
          </w:tcPr>
          <w:p w14:paraId="00BBCC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项目占地区域现状为耕地，不占用基本农田</w:t>
            </w:r>
          </w:p>
        </w:tc>
        <w:tc>
          <w:tcPr>
            <w:tcW w:w="3206" w:type="dxa"/>
            <w:vAlign w:val="center"/>
          </w:tcPr>
          <w:p w14:paraId="17A1E5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项目占地区域现状为</w:t>
            </w:r>
            <w:r>
              <w:rPr>
                <w:rFonts w:hint="eastAsia"/>
                <w:color w:val="auto"/>
                <w:sz w:val="21"/>
                <w:szCs w:val="21"/>
                <w:highlight w:val="none"/>
                <w:lang w:val="en-US" w:eastAsia="zh-CN"/>
              </w:rPr>
              <w:t>沙地</w:t>
            </w:r>
          </w:p>
        </w:tc>
        <w:tc>
          <w:tcPr>
            <w:tcW w:w="926" w:type="dxa"/>
            <w:vAlign w:val="center"/>
          </w:tcPr>
          <w:p w14:paraId="574E59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场址二</w:t>
            </w:r>
          </w:p>
        </w:tc>
      </w:tr>
      <w:tr w14:paraId="55BF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0" w:type="dxa"/>
            <w:vAlign w:val="center"/>
          </w:tcPr>
          <w:p w14:paraId="54C9D9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电磁环境</w:t>
            </w:r>
          </w:p>
        </w:tc>
        <w:tc>
          <w:tcPr>
            <w:tcW w:w="3200" w:type="dxa"/>
            <w:vAlign w:val="center"/>
          </w:tcPr>
          <w:p w14:paraId="7ECA7A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拟建高频台、甚高频台、全向信标台、测距仪和广播式自助相关监视系统的电磁环境符合《民用机场与地面航空无线电台（站）电磁环境测试规范》（MH/T 4046-2017）的要求。但个别频段检测到超标干扰信号，在申请频率时应避开报告中所列超标频率</w:t>
            </w:r>
          </w:p>
        </w:tc>
        <w:tc>
          <w:tcPr>
            <w:tcW w:w="3206" w:type="dxa"/>
            <w:vAlign w:val="center"/>
          </w:tcPr>
          <w:p w14:paraId="06511E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color w:val="auto"/>
                <w:sz w:val="21"/>
                <w:szCs w:val="21"/>
                <w:highlight w:val="none"/>
                <w:lang w:val="en-US" w:eastAsia="zh-CN"/>
              </w:rPr>
            </w:pPr>
            <w:r>
              <w:rPr>
                <w:rFonts w:hint="default"/>
                <w:color w:val="auto"/>
                <w:sz w:val="21"/>
                <w:szCs w:val="21"/>
                <w:highlight w:val="none"/>
                <w:lang w:val="en-US" w:eastAsia="zh-CN"/>
              </w:rPr>
              <w:t>拟建高频台、甚高频台、全向信标台、测距仪和广播式自助相关监视系统的电磁环境符合《民用机场与地面航空无线电台（站）电磁环境测试规范》（MH/T 4046-2017）的要求。但个别频段检测到超标干扰信号，在申请频率时应避开报告中所列超标频率</w:t>
            </w:r>
          </w:p>
        </w:tc>
        <w:tc>
          <w:tcPr>
            <w:tcW w:w="926" w:type="dxa"/>
            <w:vAlign w:val="center"/>
          </w:tcPr>
          <w:p w14:paraId="121211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相当</w:t>
            </w:r>
          </w:p>
        </w:tc>
      </w:tr>
    </w:tbl>
    <w:p w14:paraId="41745DAC">
      <w:pPr>
        <w:keepNext w:val="0"/>
        <w:keepLines w:val="0"/>
        <w:pageBreakBefore w:val="0"/>
        <w:widowControl/>
        <w:kinsoku/>
        <w:wordWrap/>
        <w:overflowPunct/>
        <w:topLinePunct w:val="0"/>
        <w:autoSpaceDE w:val="0"/>
        <w:autoSpaceDN w:val="0"/>
        <w:bidi w:val="0"/>
        <w:adjustRightInd/>
        <w:snapToGrid/>
        <w:spacing w:before="164" w:beforeLines="50"/>
        <w:ind w:firstLine="480" w:firstLineChars="200"/>
        <w:jc w:val="left"/>
        <w:textAlignment w:val="auto"/>
        <w:rPr>
          <w:rFonts w:hint="eastAsia" w:cs="Times New Roman"/>
          <w:color w:val="auto"/>
          <w:szCs w:val="24"/>
          <w:highlight w:val="none"/>
          <w:lang w:val="en-US" w:eastAsia="zh-CN"/>
        </w:rPr>
        <w:sectPr>
          <w:pgSz w:w="11904" w:h="16838"/>
          <w:pgMar w:top="1474" w:right="1474" w:bottom="1474" w:left="1814" w:header="851" w:footer="851" w:gutter="113"/>
          <w:pgNumType w:fmt="decimal"/>
          <w:cols w:space="720" w:num="1"/>
        </w:sectPr>
      </w:pPr>
      <w:r>
        <w:rPr>
          <w:rFonts w:hint="eastAsia" w:cs="Times New Roman"/>
          <w:color w:val="auto"/>
          <w:szCs w:val="24"/>
          <w:highlight w:val="none"/>
          <w:lang w:val="en-US" w:eastAsia="zh-CN"/>
        </w:rPr>
        <w:t>综上，从生态环境保护角度推荐场址一（八家户牧业四队场址）。该场址不涉及国家公园、自然保护区、风景名胜区及自然公园等自然保护地；不涉及I级保护林地、饮用水水源保护区等生态环境敏感区中法律法规禁止占用的区域；不涉及削山、填海、填湖（湿地）和改造河流等。</w:t>
      </w:r>
    </w:p>
    <w:p w14:paraId="7F0A83C0">
      <w:pPr>
        <w:keepNext/>
        <w:keepLines/>
        <w:pageBreakBefore w:val="0"/>
        <w:widowControl w:val="0"/>
        <w:numPr>
          <w:ilvl w:val="0"/>
          <w:numId w:val="10"/>
        </w:numPr>
        <w:kinsoku/>
        <w:overflowPunct/>
        <w:bidi w:val="0"/>
        <w:spacing w:before="0" w:after="0" w:line="360" w:lineRule="auto"/>
        <w:ind w:left="425" w:hanging="425"/>
        <w:jc w:val="both"/>
        <w:outlineLvl w:val="0"/>
        <w:rPr>
          <w:rFonts w:ascii="Times New Roman" w:hAnsi="Times New Roman" w:eastAsia="黑体" w:cs="Times New Roman"/>
          <w:b w:val="0"/>
          <w:bCs w:val="0"/>
          <w:color w:val="auto"/>
          <w:kern w:val="44"/>
          <w:sz w:val="44"/>
          <w:szCs w:val="44"/>
          <w:highlight w:val="none"/>
          <w:lang w:val="en-US" w:eastAsia="zh-CN" w:bidi="ar-SA"/>
        </w:rPr>
      </w:pPr>
      <w:r>
        <w:rPr>
          <w:rFonts w:hint="eastAsia" w:ascii="Times New Roman" w:hAnsi="Times New Roman" w:eastAsia="黑体" w:cs="Times New Roman"/>
          <w:b w:val="0"/>
          <w:bCs w:val="0"/>
          <w:color w:val="auto"/>
          <w:kern w:val="44"/>
          <w:sz w:val="44"/>
          <w:szCs w:val="44"/>
          <w:highlight w:val="none"/>
          <w:lang w:val="en-US" w:eastAsia="zh-CN" w:bidi="ar-SA"/>
        </w:rPr>
        <w:t>区域环境概况及环境质量现状评价</w:t>
      </w:r>
      <w:bookmarkEnd w:id="228"/>
    </w:p>
    <w:bookmarkEnd w:id="229"/>
    <w:p w14:paraId="22196752">
      <w:pPr>
        <w:keepNext/>
        <w:keepLines/>
        <w:pageBreakBefore w:val="0"/>
        <w:widowControl w:val="0"/>
        <w:numPr>
          <w:ilvl w:val="1"/>
          <w:numId w:val="10"/>
        </w:numPr>
        <w:kinsoku/>
        <w:overflowPunct/>
        <w:bidi w:val="0"/>
        <w:spacing w:line="360" w:lineRule="auto"/>
        <w:ind w:left="567" w:hanging="567"/>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50" w:name="_Toc30890"/>
      <w:bookmarkStart w:id="251" w:name="_Toc37841823"/>
      <w:r>
        <w:rPr>
          <w:rFonts w:hint="eastAsia" w:ascii="Times New Roman" w:hAnsi="Times New Roman" w:eastAsia="黑体" w:cs="Times New Roman"/>
          <w:bCs/>
          <w:color w:val="auto"/>
          <w:spacing w:val="0"/>
          <w:w w:val="100"/>
          <w:kern w:val="28"/>
          <w:sz w:val="30"/>
          <w:szCs w:val="30"/>
          <w:highlight w:val="none"/>
          <w:lang w:val="en-US" w:eastAsia="zh-CN" w:bidi="ar-SA"/>
        </w:rPr>
        <w:t>区域生态环境概况调查</w:t>
      </w:r>
      <w:bookmarkEnd w:id="250"/>
    </w:p>
    <w:bookmarkEnd w:id="251"/>
    <w:p w14:paraId="695D613F">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地理位置</w:t>
      </w:r>
    </w:p>
    <w:p w14:paraId="591F070D">
      <w:pPr>
        <w:pageBreakBefore w:val="0"/>
        <w:kinsoku/>
        <w:wordWrap/>
        <w:overflowPunct/>
        <w:bidi w:val="0"/>
        <w:ind w:firstLine="480" w:firstLineChars="200"/>
        <w:rPr>
          <w:rFonts w:hint="eastAsia" w:eastAsiaTheme="minorEastAsia"/>
          <w:color w:val="auto"/>
          <w:highlight w:val="none"/>
        </w:rPr>
      </w:pPr>
      <w:r>
        <w:rPr>
          <w:rFonts w:hint="eastAsia" w:eastAsiaTheme="minorEastAsia"/>
          <w:color w:val="auto"/>
          <w:highlight w:val="none"/>
        </w:rPr>
        <w:t>精河县隶属于新疆维吾尔自治区博尔塔拉蒙古自治州，位于新疆西部，天山北麓，噶尔盆地西南边缘，西邻博乐市。县境东西长166km，南北最宽处134km，行政区域面积11187 km²。</w:t>
      </w:r>
    </w:p>
    <w:p w14:paraId="559AC221">
      <w:pPr>
        <w:pageBreakBefore w:val="0"/>
        <w:kinsoku/>
        <w:wordWrap/>
        <w:overflowPunct/>
        <w:bidi w:val="0"/>
        <w:ind w:firstLine="480" w:firstLineChars="200"/>
        <w:rPr>
          <w:rFonts w:eastAsiaTheme="minorEastAsia"/>
          <w:color w:val="auto"/>
          <w:highlight w:val="none"/>
        </w:rPr>
      </w:pPr>
      <w:r>
        <w:rPr>
          <w:rFonts w:hint="eastAsia" w:eastAsiaTheme="minorEastAsia"/>
          <w:color w:val="auto"/>
          <w:highlight w:val="none"/>
        </w:rPr>
        <w:t>本项目所在的八家户牧业四队位于精河县西北部八家户牧业四队东侧，场址距精河县城中心直线距离约9km，公路距离约14km，距东侧兵团八十三团4km。八家户牧业四队场址与南面规划工业园区距离7km。地理位置图见图</w:t>
      </w:r>
      <w:r>
        <w:rPr>
          <w:rFonts w:hint="eastAsia" w:eastAsiaTheme="minorEastAsia"/>
          <w:color w:val="auto"/>
          <w:highlight w:val="none"/>
          <w:lang w:val="en-US" w:eastAsia="zh-CN"/>
        </w:rPr>
        <w:t>4</w:t>
      </w:r>
      <w:r>
        <w:rPr>
          <w:rFonts w:hint="eastAsia" w:eastAsiaTheme="minorEastAsia"/>
          <w:color w:val="auto"/>
          <w:highlight w:val="none"/>
        </w:rPr>
        <w:t>.1-1。</w:t>
      </w:r>
    </w:p>
    <w:p w14:paraId="6184C6E7">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地形地貌</w:t>
      </w:r>
    </w:p>
    <w:p w14:paraId="0788081A">
      <w:pPr>
        <w:pageBreakBefore w:val="0"/>
        <w:kinsoku/>
        <w:wordWrap/>
        <w:overflowPunct/>
        <w:bidi w:val="0"/>
        <w:ind w:firstLine="480" w:firstLineChars="200"/>
        <w:rPr>
          <w:rFonts w:hint="eastAsia" w:eastAsiaTheme="minorEastAsia"/>
          <w:color w:val="auto"/>
          <w:highlight w:val="none"/>
        </w:rPr>
      </w:pPr>
      <w:r>
        <w:rPr>
          <w:rFonts w:hint="eastAsia" w:eastAsiaTheme="minorEastAsia"/>
          <w:color w:val="auto"/>
          <w:highlight w:val="none"/>
        </w:rPr>
        <w:t>精河县位于准噶尔盆地西南缘，属艾比湖汇流区的一部分，地势南高北低，南部为山区，地貌形态按大的地貌单元可分为山地地貌和平原区地貌两大类型，按地貌属性可分为中山和高山、低山丘陵、平原、沙地沼泽、湖泊水库六类。</w:t>
      </w:r>
    </w:p>
    <w:p w14:paraId="63751047">
      <w:pPr>
        <w:pageBreakBefore w:val="0"/>
        <w:kinsoku/>
        <w:wordWrap/>
        <w:overflowPunct/>
        <w:bidi w:val="0"/>
        <w:ind w:firstLine="480" w:firstLineChars="200"/>
        <w:rPr>
          <w:rFonts w:hint="default" w:eastAsiaTheme="minorEastAsia"/>
          <w:color w:val="auto"/>
          <w:highlight w:val="none"/>
          <w:lang w:val="en-US" w:eastAsia="zh-CN"/>
        </w:rPr>
      </w:pPr>
      <w:r>
        <w:rPr>
          <w:rFonts w:hint="eastAsia" w:eastAsiaTheme="minorEastAsia"/>
          <w:color w:val="auto"/>
          <w:highlight w:val="none"/>
        </w:rPr>
        <w:t>本项目所在的八家户牧业四队场址位于精河县西北部，属平原地貌。平原区地势开阔平坦，总体向艾比湖倾斜。该场址场区地形坡度1‰左右</w:t>
      </w:r>
      <w:r>
        <w:rPr>
          <w:rFonts w:hint="eastAsia" w:eastAsiaTheme="minorEastAsia"/>
          <w:color w:val="auto"/>
          <w:highlight w:val="none"/>
          <w:lang w:eastAsia="zh-CN"/>
        </w:rPr>
        <w:t>。</w:t>
      </w:r>
      <w:r>
        <w:rPr>
          <w:rFonts w:hint="eastAsia" w:eastAsiaTheme="minorEastAsia"/>
          <w:color w:val="auto"/>
          <w:highlight w:val="none"/>
          <w:lang w:val="en-US" w:eastAsia="zh-CN"/>
        </w:rPr>
        <w:t>详见图4.1-2。</w:t>
      </w:r>
    </w:p>
    <w:p w14:paraId="4FDED237">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气候气象</w:t>
      </w:r>
    </w:p>
    <w:p w14:paraId="4FAEBA99">
      <w:pPr>
        <w:pageBreakBefore w:val="0"/>
        <w:kinsoku/>
        <w:wordWrap/>
        <w:overflowPunct/>
        <w:bidi w:val="0"/>
        <w:spacing w:line="360" w:lineRule="auto"/>
        <w:ind w:firstLine="480"/>
        <w:rPr>
          <w:rFonts w:hint="eastAsia"/>
          <w:color w:val="auto"/>
          <w:sz w:val="24"/>
          <w:szCs w:val="20"/>
          <w:highlight w:val="none"/>
          <w:lang w:eastAsia="zh-CN"/>
        </w:rPr>
      </w:pPr>
      <w:r>
        <w:rPr>
          <w:rFonts w:hint="eastAsia"/>
          <w:color w:val="auto"/>
          <w:sz w:val="24"/>
          <w:szCs w:val="20"/>
          <w:highlight w:val="none"/>
        </w:rPr>
        <w:t>气象站</w:t>
      </w:r>
      <w:r>
        <w:rPr>
          <w:rFonts w:hint="eastAsia"/>
          <w:color w:val="auto"/>
          <w:sz w:val="24"/>
          <w:szCs w:val="20"/>
          <w:highlight w:val="none"/>
          <w:lang w:val="en-US" w:eastAsia="zh-CN"/>
        </w:rPr>
        <w:t>高于场址标高59.3m。该站</w:t>
      </w:r>
      <w:r>
        <w:rPr>
          <w:rFonts w:hint="eastAsia"/>
          <w:color w:val="auto"/>
          <w:sz w:val="24"/>
          <w:szCs w:val="20"/>
          <w:highlight w:val="none"/>
        </w:rPr>
        <w:t>与场址距离约</w:t>
      </w:r>
      <w:r>
        <w:rPr>
          <w:rFonts w:hint="eastAsia"/>
          <w:color w:val="auto"/>
          <w:sz w:val="24"/>
          <w:szCs w:val="20"/>
          <w:highlight w:val="none"/>
          <w:lang w:val="en-US" w:eastAsia="zh-CN"/>
        </w:rPr>
        <w:t>8.9</w:t>
      </w:r>
      <w:r>
        <w:rPr>
          <w:rFonts w:hint="eastAsia"/>
          <w:color w:val="auto"/>
          <w:sz w:val="24"/>
          <w:szCs w:val="20"/>
          <w:highlight w:val="none"/>
        </w:rPr>
        <w:t>km，地形地貌相仿，天气影响系统相近，精河气象站气象资料对场址具有一定的区域代表性</w:t>
      </w:r>
      <w:r>
        <w:rPr>
          <w:rFonts w:hint="eastAsia"/>
          <w:color w:val="auto"/>
          <w:sz w:val="24"/>
          <w:szCs w:val="20"/>
          <w:highlight w:val="none"/>
          <w:lang w:eastAsia="zh-CN"/>
        </w:rPr>
        <w:t>。气象资料</w:t>
      </w:r>
      <w:r>
        <w:rPr>
          <w:rFonts w:hint="eastAsia"/>
          <w:color w:val="auto"/>
          <w:sz w:val="24"/>
          <w:szCs w:val="20"/>
          <w:highlight w:val="none"/>
          <w:lang w:val="en-US" w:eastAsia="zh-CN"/>
        </w:rPr>
        <w:t>为</w:t>
      </w:r>
      <w:r>
        <w:rPr>
          <w:rFonts w:hint="eastAsia"/>
          <w:color w:val="auto"/>
          <w:sz w:val="24"/>
          <w:szCs w:val="20"/>
          <w:highlight w:val="none"/>
          <w:lang w:eastAsia="zh-CN"/>
        </w:rPr>
        <w:t>逐小时自动观测资料。观测要素包括：风向、风速、气温、能见度、降雪量、天气现象及积雪深度。</w:t>
      </w:r>
    </w:p>
    <w:p w14:paraId="30906509">
      <w:pPr>
        <w:pStyle w:val="133"/>
        <w:rPr>
          <w:color w:val="auto"/>
          <w:highlight w:val="none"/>
        </w:rPr>
      </w:pPr>
      <w:r>
        <w:rPr>
          <w:rFonts w:hint="eastAsia"/>
          <w:color w:val="auto"/>
          <w:highlight w:val="none"/>
        </w:rPr>
        <w:t>（1）温度</w:t>
      </w:r>
    </w:p>
    <w:p w14:paraId="0354E3D1">
      <w:pPr>
        <w:pStyle w:val="133"/>
        <w:rPr>
          <w:color w:val="auto"/>
          <w:highlight w:val="none"/>
        </w:rPr>
      </w:pPr>
      <w:r>
        <w:rPr>
          <w:rFonts w:hint="eastAsia"/>
          <w:color w:val="auto"/>
          <w:highlight w:val="none"/>
        </w:rPr>
        <w:t>年平均气温为</w:t>
      </w:r>
      <w:r>
        <w:rPr>
          <w:rFonts w:hint="eastAsia"/>
          <w:color w:val="auto"/>
          <w:highlight w:val="none"/>
          <w:lang w:val="en-US" w:eastAsia="zh-CN"/>
        </w:rPr>
        <w:t>9.1</w:t>
      </w:r>
      <w:r>
        <w:rPr>
          <w:rFonts w:hint="eastAsia"/>
          <w:color w:val="auto"/>
          <w:highlight w:val="none"/>
        </w:rPr>
        <w:t>℃，1月为全年最冷月，平均气温为-15.</w:t>
      </w:r>
      <w:r>
        <w:rPr>
          <w:rFonts w:hint="eastAsia"/>
          <w:color w:val="auto"/>
          <w:highlight w:val="none"/>
          <w:lang w:val="en-US" w:eastAsia="zh-CN"/>
        </w:rPr>
        <w:t>2</w:t>
      </w:r>
      <w:r>
        <w:rPr>
          <w:rFonts w:hint="eastAsia"/>
          <w:color w:val="auto"/>
          <w:highlight w:val="none"/>
        </w:rPr>
        <w:t>℃，7月为全年最热月，平均气温为27.5℃。极端最高气温为42.3℃，极端最低气温为-32.3℃。</w:t>
      </w:r>
    </w:p>
    <w:p w14:paraId="17CB7F07">
      <w:pPr>
        <w:pStyle w:val="133"/>
        <w:rPr>
          <w:color w:val="auto"/>
          <w:highlight w:val="none"/>
        </w:rPr>
      </w:pPr>
      <w:r>
        <w:rPr>
          <w:rFonts w:hint="eastAsia"/>
          <w:color w:val="auto"/>
          <w:highlight w:val="none"/>
        </w:rPr>
        <w:t>（2）风</w:t>
      </w:r>
    </w:p>
    <w:p w14:paraId="23852B15">
      <w:pPr>
        <w:pStyle w:val="133"/>
        <w:rPr>
          <w:rFonts w:hint="eastAsia"/>
          <w:color w:val="auto"/>
          <w:highlight w:val="none"/>
        </w:rPr>
      </w:pPr>
      <w:r>
        <w:rPr>
          <w:rFonts w:hint="eastAsia"/>
          <w:color w:val="auto"/>
          <w:highlight w:val="none"/>
        </w:rPr>
        <w:t>年平均风速2.2m/s，小于6.5m/s的风占98.21%。最多风向为南东南，频率为11.04%，其次为北风，频率为9.83%，平均风速大于6.5m/s的最多风向为北风。</w:t>
      </w:r>
    </w:p>
    <w:p w14:paraId="67E83680">
      <w:pPr>
        <w:pStyle w:val="133"/>
        <w:rPr>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）降水量</w:t>
      </w:r>
    </w:p>
    <w:p w14:paraId="38C36B46">
      <w:pPr>
        <w:pStyle w:val="133"/>
        <w:rPr>
          <w:color w:val="auto"/>
          <w:highlight w:val="none"/>
        </w:rPr>
      </w:pPr>
      <w:r>
        <w:rPr>
          <w:rFonts w:hint="eastAsia"/>
          <w:color w:val="auto"/>
          <w:highlight w:val="none"/>
        </w:rPr>
        <w:t>降雨主要集中在5-8月份，</w:t>
      </w:r>
      <w:r>
        <w:rPr>
          <w:rFonts w:hint="eastAsia"/>
          <w:color w:val="auto"/>
          <w:highlight w:val="none"/>
          <w:lang w:eastAsia="zh-CN"/>
        </w:rPr>
        <w:t>平均年降水量</w:t>
      </w:r>
      <w:r>
        <w:rPr>
          <w:rFonts w:hint="eastAsia"/>
          <w:color w:val="auto"/>
          <w:highlight w:val="none"/>
        </w:rPr>
        <w:t>113.5mm，年平均积雪深度为13cm，最大积雪深度为30cm。</w:t>
      </w:r>
    </w:p>
    <w:p w14:paraId="2112672E">
      <w:pPr>
        <w:pStyle w:val="133"/>
        <w:rPr>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）能见度</w:t>
      </w:r>
    </w:p>
    <w:p w14:paraId="2C374FE3">
      <w:pPr>
        <w:pStyle w:val="133"/>
        <w:rPr>
          <w:color w:val="auto"/>
          <w:highlight w:val="none"/>
        </w:rPr>
      </w:pPr>
      <w:r>
        <w:rPr>
          <w:rFonts w:hint="eastAsia"/>
          <w:color w:val="auto"/>
          <w:highlight w:val="none"/>
        </w:rPr>
        <w:t>年平均能见度13430.6m，能见度小于等于200m的天数占比0.9%，能见度小于等于800m的天数占比3.5%，能见度小于等于5000m的天数占比为30.3%，69.7%的天数能见度都大于5000m。</w:t>
      </w:r>
    </w:p>
    <w:p w14:paraId="56080EEA">
      <w:pPr>
        <w:pStyle w:val="133"/>
        <w:rPr>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）其它天气</w:t>
      </w:r>
    </w:p>
    <w:p w14:paraId="6D6C5080">
      <w:pPr>
        <w:pStyle w:val="133"/>
        <w:rPr>
          <w:color w:val="auto"/>
          <w:highlight w:val="none"/>
        </w:rPr>
      </w:pPr>
      <w:r>
        <w:rPr>
          <w:rFonts w:hint="eastAsia"/>
          <w:color w:val="auto"/>
          <w:highlight w:val="none"/>
        </w:rPr>
        <w:t>年平均雾霾日数为29天，年均冰雹日数0天，年均大风日数15.6天，年均沙尘暴日数0天。</w:t>
      </w:r>
    </w:p>
    <w:p w14:paraId="70B4272C">
      <w:pPr>
        <w:pStyle w:val="133"/>
        <w:rPr>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）风力负荷计算</w:t>
      </w:r>
    </w:p>
    <w:p w14:paraId="009A9BC8">
      <w:pPr>
        <w:pStyle w:val="133"/>
        <w:rPr>
          <w:color w:val="auto"/>
          <w:highlight w:val="none"/>
        </w:rPr>
      </w:pPr>
      <w:r>
        <w:rPr>
          <w:rFonts w:hint="eastAsia"/>
          <w:color w:val="auto"/>
          <w:highlight w:val="none"/>
        </w:rPr>
        <w:t>场址初定跑道方向风力负荷计算结果如下：</w:t>
      </w:r>
    </w:p>
    <w:p w14:paraId="4E21F264">
      <w:pPr>
        <w:pageBreakBefore w:val="0"/>
        <w:kinsoku/>
        <w:wordWrap/>
        <w:overflowPunct/>
        <w:bidi w:val="0"/>
        <w:spacing w:line="360" w:lineRule="auto"/>
        <w:ind w:firstLine="480"/>
        <w:rPr>
          <w:rFonts w:hint="eastAsia"/>
          <w:color w:val="auto"/>
          <w:highlight w:val="none"/>
          <w:lang w:eastAsia="zh-CN"/>
        </w:rPr>
      </w:pPr>
      <w:r>
        <w:rPr>
          <w:rFonts w:hint="eastAsia"/>
          <w:color w:val="auto"/>
          <w:highlight w:val="none"/>
        </w:rPr>
        <w:t>当跑道方向为180°-360°时，5m/s以下风力负荷为98.83%（红线所夹），跑道方向满足风保障率要求</w:t>
      </w:r>
      <w:r>
        <w:rPr>
          <w:rFonts w:hint="eastAsia"/>
          <w:color w:val="auto"/>
          <w:highlight w:val="none"/>
          <w:lang w:eastAsia="zh-CN"/>
        </w:rPr>
        <w:t>。</w:t>
      </w:r>
    </w:p>
    <w:p w14:paraId="4A841023">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净空条件</w:t>
      </w:r>
    </w:p>
    <w:p w14:paraId="6DADC536">
      <w:pPr>
        <w:pageBreakBefore w:val="0"/>
        <w:kinsoku/>
        <w:wordWrap/>
        <w:overflowPunct/>
        <w:bidi w:val="0"/>
        <w:spacing w:line="360" w:lineRule="auto"/>
        <w:ind w:firstLine="480"/>
        <w:rPr>
          <w:rFonts w:hint="eastAsia"/>
          <w:color w:val="auto"/>
          <w:highlight w:val="none"/>
          <w:lang w:eastAsia="zh-CN"/>
        </w:rPr>
      </w:pPr>
      <w:r>
        <w:rPr>
          <w:rFonts w:hint="eastAsia"/>
          <w:color w:val="auto"/>
          <w:highlight w:val="none"/>
          <w:lang w:eastAsia="zh-CN"/>
        </w:rPr>
        <w:t>本项目所在区域周边地势平坦，无自然障碍物超高。东西两侧分别存在110KV（皇三一线）高压线塔与220KV（莫皇线）高压线塔，南侧存在35KV高压线、110KV高压线，依据《精河县通用机场人工障碍物测量表技术总结报告》，均不超出场址障碍物限制面，航行评估分析对本场起降无影响，场址附近电杆根据有关附件已做好线路迁改，对本场起落无影响，经评估#199通讯塔、#203通讯塔超出内水平面，#198通讯塔超出锥形面，通过进一步航行评估，人工障碍物对航行安全无影响。经净空复核，场外无需要处理的自然障碍物及人工障碍物。</w:t>
      </w:r>
    </w:p>
    <w:p w14:paraId="46A1EF25">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空域条件</w:t>
      </w:r>
    </w:p>
    <w:p w14:paraId="50499F72">
      <w:pPr>
        <w:pageBreakBefore w:val="0"/>
        <w:kinsoku/>
        <w:wordWrap/>
        <w:overflowPunct/>
        <w:bidi w:val="0"/>
        <w:spacing w:line="360" w:lineRule="auto"/>
        <w:ind w:firstLine="480"/>
        <w:rPr>
          <w:rFonts w:hint="eastAsia"/>
          <w:color w:val="auto"/>
          <w:highlight w:val="none"/>
          <w:lang w:eastAsia="zh-CN"/>
        </w:rPr>
      </w:pPr>
      <w:r>
        <w:rPr>
          <w:rFonts w:hint="eastAsia"/>
          <w:color w:val="auto"/>
          <w:highlight w:val="none"/>
          <w:lang w:eastAsia="zh-CN"/>
        </w:rPr>
        <w:t>场址位于乌鲁木齐02扇管制区内，机场需在相关部门管制下运行；场址东侧现有强制报告点P165，可供本场航空器进离场使用。场址周边有4条航路航线：分别为J87航路航线，最低安全高度2850m；H69（</w:t>
      </w:r>
      <w:r>
        <w:rPr>
          <w:rFonts w:hint="eastAsia"/>
          <w:color w:val="auto"/>
          <w:highlight w:val="none"/>
          <w:lang w:val="en-US" w:eastAsia="zh-CN"/>
        </w:rPr>
        <w:t>南段</w:t>
      </w:r>
      <w:r>
        <w:rPr>
          <w:rFonts w:hint="eastAsia"/>
          <w:color w:val="auto"/>
          <w:highlight w:val="none"/>
          <w:lang w:eastAsia="zh-CN"/>
        </w:rPr>
        <w:t>）航路航线，最低安全高度4719m；H69（</w:t>
      </w:r>
      <w:r>
        <w:rPr>
          <w:rFonts w:hint="eastAsia"/>
          <w:color w:val="auto"/>
          <w:highlight w:val="none"/>
          <w:lang w:val="en-US" w:eastAsia="zh-CN"/>
        </w:rPr>
        <w:t>北段</w:t>
      </w:r>
      <w:r>
        <w:rPr>
          <w:rFonts w:hint="eastAsia"/>
          <w:color w:val="auto"/>
          <w:highlight w:val="none"/>
          <w:lang w:eastAsia="zh-CN"/>
        </w:rPr>
        <w:t>）航路航线，最低安全高度</w:t>
      </w:r>
      <w:r>
        <w:rPr>
          <w:rFonts w:hint="eastAsia"/>
          <w:color w:val="auto"/>
          <w:highlight w:val="none"/>
          <w:lang w:val="en-US" w:eastAsia="zh-CN"/>
        </w:rPr>
        <w:t>2600</w:t>
      </w:r>
      <w:r>
        <w:rPr>
          <w:rFonts w:hint="eastAsia"/>
          <w:color w:val="auto"/>
          <w:highlight w:val="none"/>
          <w:lang w:eastAsia="zh-CN"/>
        </w:rPr>
        <w:t>m；H70（</w:t>
      </w:r>
      <w:r>
        <w:rPr>
          <w:rFonts w:hint="eastAsia"/>
          <w:color w:val="auto"/>
          <w:highlight w:val="none"/>
          <w:lang w:val="en-US" w:eastAsia="zh-CN"/>
        </w:rPr>
        <w:t>东段</w:t>
      </w:r>
      <w:r>
        <w:rPr>
          <w:rFonts w:hint="eastAsia"/>
          <w:color w:val="auto"/>
          <w:highlight w:val="none"/>
          <w:lang w:eastAsia="zh-CN"/>
        </w:rPr>
        <w:t>）航路航线，最低安全高度5107m；H70（</w:t>
      </w:r>
      <w:r>
        <w:rPr>
          <w:rFonts w:hint="eastAsia"/>
          <w:color w:val="auto"/>
          <w:highlight w:val="none"/>
          <w:lang w:val="en-US" w:eastAsia="zh-CN"/>
        </w:rPr>
        <w:t>西</w:t>
      </w:r>
      <w:r>
        <w:rPr>
          <w:rFonts w:hint="eastAsia"/>
          <w:color w:val="auto"/>
          <w:highlight w:val="none"/>
          <w:lang w:eastAsia="zh-CN"/>
        </w:rPr>
        <w:t>段）航路航线，最低安全高度</w:t>
      </w:r>
      <w:r>
        <w:rPr>
          <w:rFonts w:hint="eastAsia"/>
          <w:color w:val="auto"/>
          <w:highlight w:val="none"/>
          <w:lang w:val="en-US" w:eastAsia="zh-CN"/>
        </w:rPr>
        <w:t>4237</w:t>
      </w:r>
      <w:r>
        <w:rPr>
          <w:rFonts w:hint="eastAsia"/>
          <w:color w:val="auto"/>
          <w:highlight w:val="none"/>
          <w:lang w:eastAsia="zh-CN"/>
        </w:rPr>
        <w:t>m；X56航路航线，最低安全高度4050m。场址周围无危险区、限制区、禁区，空域环境良好。</w:t>
      </w:r>
    </w:p>
    <w:p w14:paraId="7F553430">
      <w:pPr>
        <w:pageBreakBefore w:val="0"/>
        <w:kinsoku/>
        <w:wordWrap/>
        <w:overflowPunct/>
        <w:bidi w:val="0"/>
        <w:spacing w:line="360" w:lineRule="auto"/>
        <w:ind w:firstLine="480"/>
        <w:rPr>
          <w:rFonts w:hint="eastAsia"/>
          <w:color w:val="auto"/>
          <w:highlight w:val="none"/>
          <w:lang w:eastAsia="zh-CN"/>
        </w:rPr>
      </w:pPr>
      <w:r>
        <w:rPr>
          <w:rFonts w:hint="eastAsia"/>
          <w:color w:val="auto"/>
          <w:highlight w:val="none"/>
          <w:lang w:eastAsia="zh-CN"/>
        </w:rPr>
        <w:t>精河通用机场周边150km范围内有三个民用机场（博乐机场、那拉提机场、伊宁机场）；场址周边150km外范围存在三个拟规划或即将通航机场（乌苏军民合用机场、伊宁机场迁建场址、温泉通用机场）以及已通航的昭苏天马机场、和静巴音布鲁克机场。</w:t>
      </w:r>
    </w:p>
    <w:p w14:paraId="70F1F703">
      <w:pPr>
        <w:pageBreakBefore w:val="0"/>
        <w:kinsoku/>
        <w:wordWrap/>
        <w:overflowPunct/>
        <w:bidi w:val="0"/>
        <w:spacing w:line="360" w:lineRule="auto"/>
        <w:ind w:firstLine="480"/>
        <w:rPr>
          <w:rFonts w:hint="eastAsia"/>
          <w:color w:val="auto"/>
          <w:highlight w:val="none"/>
          <w:lang w:eastAsia="zh-CN"/>
        </w:rPr>
      </w:pPr>
      <w:r>
        <w:rPr>
          <w:rFonts w:hint="eastAsia"/>
          <w:color w:val="auto"/>
          <w:highlight w:val="none"/>
          <w:lang w:eastAsia="zh-CN"/>
        </w:rPr>
        <w:t>精河通用机场位置与伊宁机场、那拉提机场距离较远，与两民用机场程序管制区域及管制扇区均无影响。精河通用机场位置伊宁机场迁建场址距离175km，距离较远；与空军乌苏机场、巴音布鲁克机场、昭苏机场、温泉通用机场距离较远，根据八十号令规定本场拟用空域与乌苏军民合用机场邻接区满足安全间隔，军用机场运行不受影响，与两民用机场程序管制区域及管制扇区均无影响，与温泉通用机场距离较远，运行上无影响。</w:t>
      </w:r>
    </w:p>
    <w:p w14:paraId="47CB611B">
      <w:pPr>
        <w:pageBreakBefore w:val="0"/>
        <w:kinsoku/>
        <w:wordWrap/>
        <w:overflowPunct/>
        <w:bidi w:val="0"/>
        <w:spacing w:line="360" w:lineRule="auto"/>
        <w:ind w:firstLine="480"/>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lang w:eastAsia="zh-CN"/>
        </w:rPr>
        <w:t>）精河通用机场与博乐机场</w:t>
      </w:r>
      <w:r>
        <w:rPr>
          <w:rFonts w:hint="eastAsia"/>
          <w:b/>
          <w:bCs/>
          <w:color w:val="auto"/>
          <w:highlight w:val="none"/>
          <w:lang w:val="en-US" w:eastAsia="zh-CN"/>
        </w:rPr>
        <w:t>空域</w:t>
      </w:r>
      <w:r>
        <w:rPr>
          <w:rFonts w:hint="eastAsia"/>
          <w:b/>
          <w:bCs/>
          <w:color w:val="auto"/>
          <w:highlight w:val="none"/>
          <w:lang w:eastAsia="zh-CN"/>
        </w:rPr>
        <w:t>关系</w:t>
      </w:r>
    </w:p>
    <w:p w14:paraId="14433FE2">
      <w:pPr>
        <w:pageBreakBefore w:val="0"/>
        <w:kinsoku/>
        <w:wordWrap/>
        <w:overflowPunct/>
        <w:bidi w:val="0"/>
        <w:spacing w:line="360" w:lineRule="auto"/>
        <w:ind w:firstLine="480"/>
        <w:rPr>
          <w:rFonts w:hint="eastAsia"/>
          <w:color w:val="auto"/>
          <w:highlight w:val="none"/>
          <w:lang w:eastAsia="zh-CN"/>
        </w:rPr>
      </w:pPr>
      <w:r>
        <w:rPr>
          <w:rFonts w:hint="eastAsia"/>
          <w:color w:val="auto"/>
          <w:highlight w:val="none"/>
          <w:lang w:eastAsia="zh-CN"/>
        </w:rPr>
        <w:t>博乐机场相对于精河通用机场位置30</w:t>
      </w:r>
      <w:r>
        <w:rPr>
          <w:rFonts w:hint="eastAsia"/>
          <w:color w:val="auto"/>
          <w:highlight w:val="none"/>
          <w:lang w:val="en-US" w:eastAsia="zh-CN"/>
        </w:rPr>
        <w:t>8</w:t>
      </w:r>
      <w:r>
        <w:rPr>
          <w:rFonts w:hint="eastAsia"/>
          <w:color w:val="auto"/>
          <w:highlight w:val="none"/>
          <w:lang w:eastAsia="zh-CN"/>
        </w:rPr>
        <w:t>°距离为46km，场址上空有博乐进离场程序，最低高度为1500m，本场训练飞行的高度较低，可在900m以下进行。结合博乐机场进近程序及管制方法（程序管制）本场拟用空域与博乐机场起始进近程序最近点距离5km，西向进近（主降方向）进近程序的水平距离及高度，经评估本场拟用空域与博乐机场28号进近（包括传统进近、精密进近、类精密进近）起始进近定位点距离较近，最近处约7.5km，不满足管制间隔，在程序管制时会产生一定影响，故精河通用机场在运行时应与相关管制单位签署协议，明确管制责任及管制办法，建立相互通报关系。</w:t>
      </w:r>
    </w:p>
    <w:p w14:paraId="75DAD29A">
      <w:pPr>
        <w:pageBreakBefore w:val="0"/>
        <w:kinsoku/>
        <w:wordWrap/>
        <w:overflowPunct/>
        <w:bidi w:val="0"/>
        <w:spacing w:line="360" w:lineRule="auto"/>
        <w:ind w:firstLine="480"/>
        <w:rPr>
          <w:rFonts w:hint="eastAsia"/>
          <w:b/>
          <w:bCs/>
          <w:color w:val="auto"/>
          <w:highlight w:val="none"/>
          <w:lang w:eastAsia="zh-CN"/>
        </w:rPr>
      </w:pPr>
      <w:r>
        <w:rPr>
          <w:rFonts w:hint="eastAsia" w:eastAsia="宋体"/>
          <w:b/>
          <w:bCs/>
          <w:color w:val="auto"/>
          <w:highlight w:val="none"/>
          <w:lang w:eastAsia="zh-CN"/>
        </w:rPr>
        <w:t>（</w:t>
      </w:r>
      <w:r>
        <w:rPr>
          <w:rFonts w:hint="eastAsia"/>
          <w:b/>
          <w:bCs/>
          <w:color w:val="auto"/>
          <w:highlight w:val="none"/>
          <w:lang w:val="en-US" w:eastAsia="zh-CN"/>
        </w:rPr>
        <w:t>2</w:t>
      </w:r>
      <w:r>
        <w:rPr>
          <w:rFonts w:hint="eastAsia" w:eastAsia="宋体"/>
          <w:b/>
          <w:bCs/>
          <w:color w:val="auto"/>
          <w:highlight w:val="none"/>
          <w:lang w:eastAsia="zh-CN"/>
        </w:rPr>
        <w:t>）精河通用机场与天翔飞行学院训练空域关系</w:t>
      </w:r>
    </w:p>
    <w:p w14:paraId="00AAEB06">
      <w:pPr>
        <w:pageBreakBefore w:val="0"/>
        <w:kinsoku/>
        <w:wordWrap/>
        <w:overflowPunct/>
        <w:bidi w:val="0"/>
        <w:spacing w:line="360" w:lineRule="auto"/>
        <w:ind w:firstLine="480"/>
        <w:rPr>
          <w:rFonts w:hint="eastAsia"/>
          <w:color w:val="auto"/>
          <w:highlight w:val="none"/>
          <w:lang w:eastAsia="zh-CN"/>
        </w:rPr>
      </w:pPr>
      <w:r>
        <w:rPr>
          <w:rFonts w:hint="eastAsia"/>
          <w:color w:val="auto"/>
          <w:highlight w:val="none"/>
          <w:lang w:eastAsia="zh-CN"/>
        </w:rPr>
        <w:t>博乐机场起落航线为起落航线均在跑道南侧进行：高度为A、B类航空器700（302）m，C、D类航空器900（502）m；向096°方向起飞为右航线，向276°方向起飞为左航线。训练飞行时使用P165报告点进行石河子方向</w:t>
      </w:r>
      <w:r>
        <w:rPr>
          <w:rFonts w:hint="eastAsia"/>
          <w:color w:val="auto"/>
          <w:highlight w:val="none"/>
          <w:lang w:val="en-US" w:eastAsia="zh-CN"/>
        </w:rPr>
        <w:t>至</w:t>
      </w:r>
      <w:r>
        <w:rPr>
          <w:rFonts w:hint="eastAsia"/>
          <w:color w:val="auto"/>
          <w:highlight w:val="none"/>
          <w:lang w:eastAsia="zh-CN"/>
        </w:rPr>
        <w:t>克拉玛依方向转场飞行，最低训练高度低空700m，一般训练飞行高度在1000m（修正海压）以上，与本场训练飞行高度有重叠，故本场调机、转场飞行时应与博乐机场建立相互通报关系确保飞行安全。由于博乐机场</w:t>
      </w:r>
      <w:r>
        <w:rPr>
          <w:rFonts w:hint="eastAsia"/>
          <w:color w:val="auto"/>
          <w:highlight w:val="none"/>
          <w:lang w:val="en-US" w:eastAsia="zh-CN"/>
        </w:rPr>
        <w:t>内</w:t>
      </w:r>
      <w:r>
        <w:rPr>
          <w:rFonts w:hint="eastAsia"/>
          <w:color w:val="auto"/>
          <w:highlight w:val="none"/>
          <w:lang w:eastAsia="zh-CN"/>
        </w:rPr>
        <w:t>有天翔航校驻场训练飞行，训练空域经过本场上空，对于转场、调机等飞行则会与航校训练飞行产生冲突，此类飞行应与相关管制单位签署协议，明确管制责任及管制办法，确保飞行安全。</w:t>
      </w:r>
    </w:p>
    <w:p w14:paraId="3091C3FE">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工程地质</w:t>
      </w:r>
    </w:p>
    <w:p w14:paraId="48EC112A">
      <w:pPr>
        <w:pageBreakBefore w:val="0"/>
        <w:kinsoku/>
        <w:wordWrap/>
        <w:overflowPunct/>
        <w:bidi w:val="0"/>
        <w:spacing w:line="360" w:lineRule="auto"/>
        <w:ind w:firstLine="480"/>
        <w:rPr>
          <w:rFonts w:hint="eastAsia"/>
          <w:color w:val="auto"/>
          <w:highlight w:val="none"/>
          <w:lang w:eastAsia="zh-CN"/>
        </w:rPr>
      </w:pPr>
      <w:r>
        <w:rPr>
          <w:rFonts w:hint="eastAsia"/>
          <w:color w:val="auto"/>
          <w:highlight w:val="none"/>
          <w:lang w:eastAsia="zh-CN"/>
        </w:rPr>
        <w:t>拟建场地主要构成为耕土、软土、粉质黏土、粉土、砂砾等，未发现崩塌、泥石流、砂土液化、地面塌陷、地面沉降及裂缝等不良地质作用。</w:t>
      </w:r>
    </w:p>
    <w:p w14:paraId="66C33AA7">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水文</w:t>
      </w:r>
      <w:r>
        <w:rPr>
          <w:rFonts w:hint="eastAsia" w:ascii="Times New Roman" w:hAnsi="Times New Roman" w:eastAsia="黑体" w:cs="Times New Roman"/>
          <w:color w:val="auto"/>
          <w:spacing w:val="0"/>
          <w:kern w:val="2"/>
          <w:sz w:val="28"/>
          <w:szCs w:val="28"/>
          <w:highlight w:val="none"/>
          <w:lang w:val="en-US" w:eastAsia="zh-CN" w:bidi="ar-SA"/>
        </w:rPr>
        <w:t>地质</w:t>
      </w:r>
    </w:p>
    <w:p w14:paraId="0D57E602">
      <w:pPr>
        <w:pageBreakBefore w:val="0"/>
        <w:kinsoku/>
        <w:wordWrap/>
        <w:overflowPunct/>
        <w:bidi w:val="0"/>
        <w:spacing w:line="360" w:lineRule="auto"/>
        <w:ind w:firstLine="480"/>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lang w:eastAsia="zh-CN"/>
        </w:rPr>
        <w:t>）</w:t>
      </w:r>
      <w:r>
        <w:rPr>
          <w:rFonts w:hint="eastAsia"/>
          <w:b/>
          <w:bCs/>
          <w:color w:val="auto"/>
          <w:highlight w:val="none"/>
          <w:lang w:val="en-US" w:eastAsia="zh-CN"/>
        </w:rPr>
        <w:t>地表水</w:t>
      </w:r>
    </w:p>
    <w:p w14:paraId="5AB59B3A">
      <w:pPr>
        <w:pageBreakBefore w:val="0"/>
        <w:kinsoku/>
        <w:wordWrap/>
        <w:overflowPunct/>
        <w:bidi w:val="0"/>
        <w:spacing w:line="360" w:lineRule="auto"/>
        <w:ind w:firstLine="480"/>
        <w:rPr>
          <w:rFonts w:hint="eastAsia"/>
          <w:color w:val="auto"/>
          <w:highlight w:val="none"/>
          <w:lang w:eastAsia="zh-CN"/>
        </w:rPr>
      </w:pPr>
      <w:r>
        <w:rPr>
          <w:rFonts w:hint="eastAsia"/>
          <w:color w:val="auto"/>
          <w:highlight w:val="none"/>
          <w:lang w:eastAsia="zh-CN"/>
        </w:rPr>
        <w:t>精河县境内有精河、大河沿子河、托托河和阿恰勒河四条较大的河流，主要湖泊有艾比湖。具体分布情况，见下图：</w:t>
      </w:r>
    </w:p>
    <w:p w14:paraId="72504B9B">
      <w:pPr>
        <w:pStyle w:val="133"/>
        <w:ind w:firstLine="480" w:firstLineChars="200"/>
        <w:rPr>
          <w:color w:val="auto"/>
          <w:highlight w:val="none"/>
        </w:rPr>
      </w:pPr>
      <w:r>
        <w:rPr>
          <w:rFonts w:hint="eastAsia"/>
          <w:color w:val="auto"/>
          <w:highlight w:val="none"/>
        </w:rPr>
        <w:t>1）精河：发源于婆罗科努山北坡，由冬吐劲河、乌吐劲河和精河汇合而成，自东南向西北流经精河镇、茫丁乡，最后注入艾比湖。精河全长114km，流域面积2150km</w:t>
      </w:r>
      <w:r>
        <w:rPr>
          <w:rFonts w:hint="eastAsia"/>
          <w:color w:val="auto"/>
          <w:highlight w:val="none"/>
          <w:vertAlign w:val="superscript"/>
        </w:rPr>
        <w:t>2</w:t>
      </w:r>
      <w:r>
        <w:rPr>
          <w:rFonts w:hint="eastAsia"/>
          <w:color w:val="auto"/>
          <w:highlight w:val="none"/>
        </w:rPr>
        <w:t>，多年平均径流量为4.70亿m</w:t>
      </w:r>
      <w:r>
        <w:rPr>
          <w:rFonts w:hint="eastAsia"/>
          <w:color w:val="auto"/>
          <w:highlight w:val="none"/>
          <w:vertAlign w:val="superscript"/>
        </w:rPr>
        <w:t>3</w:t>
      </w:r>
      <w:r>
        <w:rPr>
          <w:rFonts w:hint="eastAsia"/>
          <w:color w:val="auto"/>
          <w:highlight w:val="none"/>
        </w:rPr>
        <w:t>，是县域内最长、水量最大的河流。</w:t>
      </w:r>
    </w:p>
    <w:p w14:paraId="5F5D2D21">
      <w:pPr>
        <w:pStyle w:val="133"/>
        <w:ind w:firstLine="480" w:firstLineChars="200"/>
        <w:rPr>
          <w:color w:val="auto"/>
          <w:highlight w:val="none"/>
        </w:rPr>
      </w:pPr>
      <w:r>
        <w:rPr>
          <w:rFonts w:hint="eastAsia"/>
          <w:color w:val="auto"/>
          <w:highlight w:val="none"/>
        </w:rPr>
        <w:t>精河县每年10月至翌年3月为枯水期，3月下旬至4月上旬随气温升高冬季积雪开始消融，降水量也逐渐增加，河水流量开始增大，6月至8月为洪水期，6月下旬至7月出现洪峰，11月以后水量又逐渐减小，洪水期较雨季稍后一个月左右，与高温期一致，说明河水除接受降水和山区地下水的补给，高山冰雪消融水也是一个重要补给源，为此河水动态变化显著。</w:t>
      </w:r>
    </w:p>
    <w:p w14:paraId="494E5E15">
      <w:pPr>
        <w:pStyle w:val="133"/>
        <w:ind w:firstLine="480" w:firstLineChars="200"/>
        <w:rPr>
          <w:color w:val="auto"/>
          <w:highlight w:val="none"/>
        </w:rPr>
      </w:pPr>
      <w:r>
        <w:rPr>
          <w:rFonts w:hint="eastAsia"/>
          <w:color w:val="auto"/>
          <w:highlight w:val="none"/>
        </w:rPr>
        <w:t>2）大河沿子河：发源于科古尔琴山北麓的萨尔巴斯套。上游由西向东贯穿呼苏木奇谷地，称为呼苏木奇河；出山口后转向北流，进入中下游，称为大河沿子河。大河沿子河流经大河沿子镇、阿合其农场，到新塔拉附近汇入博尔塔拉河。河流全长107km，流域面积1820km</w:t>
      </w:r>
      <w:r>
        <w:rPr>
          <w:rFonts w:hint="eastAsia"/>
          <w:color w:val="auto"/>
          <w:highlight w:val="none"/>
          <w:vertAlign w:val="superscript"/>
        </w:rPr>
        <w:t>2</w:t>
      </w:r>
      <w:r>
        <w:rPr>
          <w:rFonts w:hint="eastAsia"/>
          <w:color w:val="auto"/>
          <w:highlight w:val="none"/>
        </w:rPr>
        <w:t>，其中精河县域内面积1617km</w:t>
      </w:r>
      <w:r>
        <w:rPr>
          <w:rFonts w:hint="eastAsia"/>
          <w:color w:val="auto"/>
          <w:highlight w:val="none"/>
          <w:vertAlign w:val="superscript"/>
        </w:rPr>
        <w:t>2</w:t>
      </w:r>
      <w:r>
        <w:rPr>
          <w:rFonts w:hint="eastAsia"/>
          <w:color w:val="auto"/>
          <w:highlight w:val="none"/>
        </w:rPr>
        <w:t>。大河沿子河多年平均径流量为1.36亿m</w:t>
      </w:r>
      <w:r>
        <w:rPr>
          <w:rFonts w:hint="eastAsia"/>
          <w:color w:val="auto"/>
          <w:highlight w:val="none"/>
          <w:vertAlign w:val="superscript"/>
        </w:rPr>
        <w:t>3</w:t>
      </w:r>
      <w:r>
        <w:rPr>
          <w:rFonts w:hint="eastAsia"/>
          <w:color w:val="auto"/>
          <w:highlight w:val="none"/>
        </w:rPr>
        <w:t>，因河床渗漏及沿途灌溉用水的影响，其下游常出现季节性断流。</w:t>
      </w:r>
    </w:p>
    <w:p w14:paraId="70F9A8BA">
      <w:pPr>
        <w:pStyle w:val="133"/>
        <w:ind w:firstLine="480" w:firstLineChars="200"/>
        <w:rPr>
          <w:color w:val="auto"/>
          <w:highlight w:val="none"/>
        </w:rPr>
      </w:pPr>
      <w:r>
        <w:rPr>
          <w:rFonts w:hint="eastAsia"/>
          <w:color w:val="auto"/>
          <w:highlight w:val="none"/>
        </w:rPr>
        <w:t>3）托托河：发源于婆罗科努山北坡，上游称阿拉铁格河，向东北流出山口后称为托托河。托托河因流经托托乡得名。托托河全长60km，流至托托乡附近渐没于戈壁。托托河多年平均径流量为0.78亿m</w:t>
      </w:r>
      <w:r>
        <w:rPr>
          <w:rFonts w:hint="eastAsia"/>
          <w:color w:val="auto"/>
          <w:highlight w:val="none"/>
          <w:vertAlign w:val="superscript"/>
        </w:rPr>
        <w:t>3</w:t>
      </w:r>
      <w:r>
        <w:rPr>
          <w:rFonts w:hint="eastAsia"/>
          <w:color w:val="auto"/>
          <w:highlight w:val="none"/>
        </w:rPr>
        <w:t>，是新疆生产建设兵团第五师91团场和托托乡农田灌溉的主要水源。</w:t>
      </w:r>
    </w:p>
    <w:p w14:paraId="6D5FA01E">
      <w:pPr>
        <w:pStyle w:val="133"/>
        <w:ind w:firstLine="480" w:firstLineChars="200"/>
        <w:rPr>
          <w:color w:val="auto"/>
          <w:highlight w:val="none"/>
        </w:rPr>
      </w:pPr>
      <w:r>
        <w:rPr>
          <w:rFonts w:hint="eastAsia"/>
          <w:color w:val="auto"/>
          <w:highlight w:val="none"/>
        </w:rPr>
        <w:t>4）阿恰勒河：发源于科古尔琴山南坡（尼勒克县境内），东流至登努斯口，接纳自东南流入的尼勒克河（精河、尼勒克两县界河）后进入精河县境，然后沿北偏东流向，出山口后没于山前洪积冲积扇。阿恰勒河全长55km，流域面积460km</w:t>
      </w:r>
      <w:r>
        <w:rPr>
          <w:rFonts w:hint="eastAsia"/>
          <w:color w:val="auto"/>
          <w:highlight w:val="none"/>
          <w:vertAlign w:val="superscript"/>
        </w:rPr>
        <w:t>2</w:t>
      </w:r>
      <w:r>
        <w:rPr>
          <w:rFonts w:hint="eastAsia"/>
          <w:color w:val="auto"/>
          <w:highlight w:val="none"/>
        </w:rPr>
        <w:t>，多年平均径流量为1.44亿m</w:t>
      </w:r>
      <w:r>
        <w:rPr>
          <w:rFonts w:hint="eastAsia"/>
          <w:color w:val="auto"/>
          <w:highlight w:val="none"/>
          <w:vertAlign w:val="superscript"/>
        </w:rPr>
        <w:t>3</w:t>
      </w:r>
      <w:r>
        <w:rPr>
          <w:rFonts w:hint="eastAsia"/>
          <w:color w:val="auto"/>
          <w:highlight w:val="none"/>
        </w:rPr>
        <w:t>，主要用于第五师83团场和托里乡部分农田灌溉。</w:t>
      </w:r>
    </w:p>
    <w:p w14:paraId="2AE4356E">
      <w:pPr>
        <w:pStyle w:val="133"/>
        <w:ind w:firstLine="480" w:firstLineChars="200"/>
        <w:rPr>
          <w:color w:val="auto"/>
          <w:highlight w:val="none"/>
        </w:rPr>
      </w:pPr>
      <w:r>
        <w:rPr>
          <w:rFonts w:hint="eastAsia"/>
          <w:color w:val="auto"/>
          <w:highlight w:val="none"/>
        </w:rPr>
        <w:t>5）艾比湖：是</w:t>
      </w:r>
      <w:r>
        <w:rPr>
          <w:rFonts w:hint="eastAsia"/>
          <w:color w:val="auto"/>
          <w:highlight w:val="none"/>
          <w:lang w:eastAsia="zh-CN"/>
        </w:rPr>
        <w:t>准噶尔盆地</w:t>
      </w:r>
      <w:r>
        <w:rPr>
          <w:rFonts w:hint="eastAsia"/>
          <w:color w:val="auto"/>
          <w:highlight w:val="none"/>
        </w:rPr>
        <w:t>最大的湖泊，也是新疆最大的咸水湖（矿化度维持在70g/L~100g/L），位于精河县城以北35km处，西与北疆铁路精河到阿拉山口段相邻，东为甘家湖梭梭林自然保护区。艾比湖接纳周边河流补给和精河盆地地下水径流和泉水排泄，形成椭圆状湖面。地表水补给源，原有包括博尔塔拉河、精河和奎屯河等23条河，因</w:t>
      </w:r>
      <w:r>
        <w:rPr>
          <w:rFonts w:hint="eastAsia"/>
          <w:color w:val="auto"/>
          <w:highlight w:val="none"/>
          <w:lang w:eastAsia="zh-CN"/>
        </w:rPr>
        <w:t>20世纪</w:t>
      </w:r>
      <w:r>
        <w:rPr>
          <w:rFonts w:hint="eastAsia"/>
          <w:color w:val="auto"/>
          <w:highlight w:val="none"/>
        </w:rPr>
        <w:t>50年代以来开始大规模农业开发，修建柳沟、奎屯河、黄沟一、黄沟二等十几座水库，大量引水灌溉导致各主要河流入湖水量大量减少甚至断流（</w:t>
      </w:r>
      <w:r>
        <w:rPr>
          <w:rFonts w:hint="eastAsia"/>
          <w:color w:val="auto"/>
          <w:highlight w:val="none"/>
          <w:lang w:eastAsia="zh-CN"/>
        </w:rPr>
        <w:t>20世纪</w:t>
      </w:r>
      <w:r>
        <w:rPr>
          <w:rFonts w:hint="eastAsia"/>
          <w:color w:val="auto"/>
          <w:highlight w:val="none"/>
        </w:rPr>
        <w:t>70年代末奎屯河口完全断流，博尔塔拉河夏季断流，精河春季断流），1977年艾比湖水面缩小到522km</w:t>
      </w:r>
      <w:r>
        <w:rPr>
          <w:rFonts w:hint="eastAsia"/>
          <w:color w:val="auto"/>
          <w:highlight w:val="none"/>
          <w:vertAlign w:val="superscript"/>
        </w:rPr>
        <w:t>2</w:t>
      </w:r>
      <w:r>
        <w:rPr>
          <w:rFonts w:hint="eastAsia"/>
          <w:color w:val="auto"/>
          <w:highlight w:val="none"/>
        </w:rPr>
        <w:t>。地下水补给量也受到大规模开荒等活动的影响。总之，在气候变化和人类活动的双重影响下，艾比湖水域面积由1950年的1200km</w:t>
      </w:r>
      <w:r>
        <w:rPr>
          <w:rFonts w:hint="eastAsia"/>
          <w:color w:val="auto"/>
          <w:highlight w:val="none"/>
          <w:vertAlign w:val="superscript"/>
        </w:rPr>
        <w:t>2</w:t>
      </w:r>
      <w:r>
        <w:rPr>
          <w:rFonts w:hint="eastAsia"/>
          <w:color w:val="auto"/>
          <w:highlight w:val="none"/>
        </w:rPr>
        <w:t>锐减到2013年的408km</w:t>
      </w:r>
      <w:r>
        <w:rPr>
          <w:rFonts w:hint="eastAsia"/>
          <w:color w:val="auto"/>
          <w:highlight w:val="none"/>
          <w:vertAlign w:val="superscript"/>
        </w:rPr>
        <w:t>2</w:t>
      </w:r>
      <w:r>
        <w:rPr>
          <w:rFonts w:hint="eastAsia"/>
          <w:color w:val="auto"/>
          <w:highlight w:val="none"/>
        </w:rPr>
        <w:t>。近些年，随着灌区节水改造和实行最严格的水资源管理制度、加大生态环境保护等，湖面面积有所恢复。</w:t>
      </w:r>
    </w:p>
    <w:p w14:paraId="7BA95E91">
      <w:pPr>
        <w:pStyle w:val="133"/>
        <w:ind w:firstLine="482" w:firstLineChars="200"/>
        <w:rPr>
          <w:b/>
          <w:bCs/>
          <w:color w:val="auto"/>
          <w:highlight w:val="none"/>
        </w:rPr>
      </w:pPr>
      <w:r>
        <w:rPr>
          <w:rFonts w:hint="eastAsia"/>
          <w:b/>
          <w:bCs/>
          <w:color w:val="auto"/>
          <w:highlight w:val="none"/>
        </w:rPr>
        <w:t>（2）地下水</w:t>
      </w:r>
    </w:p>
    <w:p w14:paraId="5DB3B163">
      <w:pPr>
        <w:pStyle w:val="133"/>
        <w:ind w:firstLine="480" w:firstLineChars="200"/>
        <w:rPr>
          <w:color w:val="auto"/>
          <w:highlight w:val="none"/>
        </w:rPr>
      </w:pPr>
      <w:r>
        <w:rPr>
          <w:rFonts w:hint="eastAsia"/>
          <w:color w:val="auto"/>
          <w:highlight w:val="none"/>
        </w:rPr>
        <w:t>1）地下水埋藏分布规律</w:t>
      </w:r>
    </w:p>
    <w:p w14:paraId="29CAD0CF">
      <w:pPr>
        <w:pStyle w:val="133"/>
        <w:ind w:firstLine="480" w:firstLineChars="200"/>
        <w:rPr>
          <w:color w:val="auto"/>
          <w:highlight w:val="none"/>
        </w:rPr>
      </w:pPr>
      <w:r>
        <w:rPr>
          <w:rFonts w:hint="eastAsia"/>
          <w:color w:val="auto"/>
          <w:highlight w:val="none"/>
        </w:rPr>
        <w:t>精河县东南部山区埋藏有丰富的基岩裂隙水与冻结层水。中部低山丘陵区发育有巨厚的第四纪松散堆积物，埋藏有丰富的孔隙水。北部平原区储藏有大量潜水-承压水，西北湿地区主要在艾比湖水系周围分布。沙漠戈壁区上部存储有水量贫乏的高矿化度潜水，深部为多层结构的承压-潜水。</w:t>
      </w:r>
    </w:p>
    <w:p w14:paraId="169E1924">
      <w:pPr>
        <w:pStyle w:val="133"/>
        <w:ind w:firstLine="480" w:firstLineChars="200"/>
        <w:rPr>
          <w:color w:val="auto"/>
          <w:highlight w:val="none"/>
        </w:rPr>
      </w:pPr>
      <w:r>
        <w:rPr>
          <w:rFonts w:hint="eastAsia"/>
          <w:color w:val="auto"/>
          <w:highlight w:val="none"/>
        </w:rPr>
        <w:t>2）地下水类型</w:t>
      </w:r>
    </w:p>
    <w:p w14:paraId="5D7B0F20">
      <w:pPr>
        <w:pStyle w:val="133"/>
        <w:ind w:firstLine="480" w:firstLineChars="200"/>
        <w:rPr>
          <w:color w:val="auto"/>
          <w:highlight w:val="none"/>
        </w:rPr>
      </w:pPr>
      <w:r>
        <w:rPr>
          <w:rFonts w:hint="eastAsia"/>
          <w:color w:val="auto"/>
          <w:highlight w:val="none"/>
        </w:rPr>
        <w:t>基岩裂隙水主要分布在项目区南部的婆罗科努山、科古琴山等中高山区，含水层岩性主要为泥盆、石炭系的沉积岩、变质岩和火成岩。</w:t>
      </w:r>
    </w:p>
    <w:p w14:paraId="7F5B96B0">
      <w:pPr>
        <w:pStyle w:val="133"/>
        <w:ind w:firstLine="480" w:firstLineChars="200"/>
        <w:rPr>
          <w:color w:val="auto"/>
          <w:highlight w:val="none"/>
        </w:rPr>
      </w:pPr>
      <w:r>
        <w:rPr>
          <w:rFonts w:hint="eastAsia"/>
          <w:color w:val="auto"/>
          <w:highlight w:val="none"/>
        </w:rPr>
        <w:t>碎屑岩类裂隙孔隙水分布在库松木切克—阿恰勒河中下游—基普克一带以及精河上游等地出露的第三系碎屑岩类的裂隙孔隙中，含水层岩性为砂砾岩、砂岩、砂质泥岩及粘土。</w:t>
      </w:r>
    </w:p>
    <w:p w14:paraId="18749A24">
      <w:pPr>
        <w:pStyle w:val="133"/>
        <w:ind w:firstLine="480" w:firstLineChars="200"/>
        <w:rPr>
          <w:color w:val="auto"/>
          <w:highlight w:val="none"/>
        </w:rPr>
      </w:pPr>
      <w:r>
        <w:rPr>
          <w:rFonts w:hint="eastAsia"/>
          <w:color w:val="auto"/>
          <w:highlight w:val="none"/>
        </w:rPr>
        <w:t>松散岩类孔隙水包括单一结构孔隙潜水、多层结构孔隙潜水—承压水。单一结构孔隙潜水分布在312国道以南山口至冲洪积扇扇缘之间倾斜平原区，含水层岩性为卵砾石、砂砾石、中粗砂、细砂，由南向北粒度逐渐变小，含水层厚度较大，潜水位埋深由南向北逐渐变浅。含水层富水性由于受岩性、所处地貌部位、水位埋深及补给量等因素影响，由南向北具有一定的变化，但总体上富水性较好，矿化度小于2克/升。多层结构孔隙潜水—承压水分布在312国道以北冲洪积扇缘至溢出带之间的冲洪积平原—湖滨平原区，上部潜水含水层厚度薄、颗粒细，富水性与水质差，矿化度一般在2克/升以上。</w:t>
      </w:r>
    </w:p>
    <w:p w14:paraId="3BE635C7">
      <w:pPr>
        <w:pStyle w:val="133"/>
        <w:ind w:firstLine="480" w:firstLineChars="200"/>
        <w:rPr>
          <w:color w:val="auto"/>
          <w:highlight w:val="none"/>
        </w:rPr>
      </w:pPr>
      <w:r>
        <w:rPr>
          <w:rFonts w:hint="eastAsia"/>
          <w:color w:val="auto"/>
          <w:highlight w:val="none"/>
        </w:rPr>
        <w:t>下部承压水含水层岩性为砂砾石、砂土、粘土等，呈互层结构，单层厚度不大，由南向北含水层颗粒渐细、厚度变薄。地下水富水性中等。</w:t>
      </w:r>
    </w:p>
    <w:p w14:paraId="3BA1671B">
      <w:pPr>
        <w:pStyle w:val="133"/>
        <w:ind w:firstLine="480" w:firstLineChars="200"/>
        <w:rPr>
          <w:color w:val="auto"/>
          <w:highlight w:val="none"/>
        </w:rPr>
      </w:pPr>
      <w:r>
        <w:rPr>
          <w:rFonts w:hint="eastAsia"/>
          <w:color w:val="auto"/>
          <w:highlight w:val="none"/>
        </w:rPr>
        <w:t>3）地下水补给、径流、排泄特征</w:t>
      </w:r>
    </w:p>
    <w:p w14:paraId="17B6BBC4">
      <w:pPr>
        <w:pStyle w:val="133"/>
        <w:ind w:firstLine="480" w:firstLineChars="200"/>
        <w:rPr>
          <w:color w:val="auto"/>
          <w:highlight w:val="none"/>
        </w:rPr>
      </w:pPr>
      <w:r>
        <w:rPr>
          <w:rFonts w:hint="eastAsia"/>
          <w:color w:val="auto"/>
          <w:highlight w:val="none"/>
        </w:rPr>
        <w:t>基岩山区面积较大，地下水主要靠大气降水和冰川冻土融化水补给。地下水通过断裂、裂隙、孔隙顺地形最终汇成山溪自然或人工排泄出山，部分顺裂隙向深部运动，以潜流形式直接补给山前平原地下水。</w:t>
      </w:r>
    </w:p>
    <w:p w14:paraId="6376F18C">
      <w:pPr>
        <w:pStyle w:val="133"/>
        <w:ind w:firstLine="480" w:firstLineChars="200"/>
        <w:rPr>
          <w:color w:val="auto"/>
          <w:highlight w:val="none"/>
        </w:rPr>
      </w:pPr>
      <w:r>
        <w:rPr>
          <w:rFonts w:hint="eastAsia"/>
          <w:color w:val="auto"/>
          <w:highlight w:val="none"/>
        </w:rPr>
        <w:t>靠近山区拗陷</w:t>
      </w:r>
      <w:r>
        <w:rPr>
          <w:rFonts w:hint="eastAsia"/>
          <w:color w:val="auto"/>
          <w:highlight w:val="none"/>
          <w:lang w:eastAsia="zh-CN"/>
        </w:rPr>
        <w:t>部分</w:t>
      </w:r>
      <w:r>
        <w:rPr>
          <w:rFonts w:hint="eastAsia"/>
          <w:color w:val="auto"/>
          <w:highlight w:val="none"/>
        </w:rPr>
        <w:t>—山前倾斜平原，地表坡度大，透水性强，径流条件好，地下水直接承受山区大量的地表径流及沟谷潜流的源源补给，并且大部分以地下径流方式迅速的沿地形向北部艾比湖汇流中心流动，补给深部承压水及潜水含水层。</w:t>
      </w:r>
    </w:p>
    <w:p w14:paraId="51A3FFC9">
      <w:pPr>
        <w:pStyle w:val="133"/>
        <w:ind w:firstLine="480" w:firstLineChars="200"/>
        <w:rPr>
          <w:color w:val="auto"/>
          <w:highlight w:val="none"/>
        </w:rPr>
      </w:pPr>
      <w:r>
        <w:rPr>
          <w:rFonts w:hint="eastAsia"/>
          <w:color w:val="auto"/>
          <w:highlight w:val="none"/>
        </w:rPr>
        <w:t>4）地下水化学类型</w:t>
      </w:r>
    </w:p>
    <w:p w14:paraId="456533E4">
      <w:pPr>
        <w:pageBreakBefore w:val="0"/>
        <w:kinsoku/>
        <w:wordWrap/>
        <w:overflowPunct/>
        <w:bidi w:val="0"/>
        <w:spacing w:line="360" w:lineRule="auto"/>
        <w:ind w:firstLine="480"/>
        <w:rPr>
          <w:rFonts w:hint="eastAsia"/>
          <w:color w:val="auto"/>
          <w:highlight w:val="none"/>
        </w:rPr>
      </w:pPr>
      <w:r>
        <w:rPr>
          <w:rFonts w:hint="eastAsia"/>
          <w:color w:val="auto"/>
          <w:highlight w:val="none"/>
        </w:rPr>
        <w:t>大河沿子镇一带潜水水化学类型主要为Cl·HCO</w:t>
      </w:r>
      <w:r>
        <w:rPr>
          <w:rFonts w:hint="eastAsia"/>
          <w:color w:val="auto"/>
          <w:highlight w:val="none"/>
          <w:vertAlign w:val="subscript"/>
        </w:rPr>
        <w:t>3</w:t>
      </w:r>
      <w:r>
        <w:rPr>
          <w:rFonts w:hint="eastAsia"/>
          <w:color w:val="auto"/>
          <w:highlight w:val="none"/>
        </w:rPr>
        <w:t>-Na·Ca型，托里镇下游一带地下水化学类型主要为SO</w:t>
      </w:r>
      <w:r>
        <w:rPr>
          <w:rFonts w:hint="eastAsia"/>
          <w:color w:val="auto"/>
          <w:highlight w:val="none"/>
          <w:vertAlign w:val="subscript"/>
        </w:rPr>
        <w:t>4</w:t>
      </w:r>
      <w:r>
        <w:rPr>
          <w:rFonts w:hint="eastAsia"/>
          <w:color w:val="auto"/>
          <w:highlight w:val="none"/>
        </w:rPr>
        <w:t>·HCO</w:t>
      </w:r>
      <w:r>
        <w:rPr>
          <w:rFonts w:hint="eastAsia"/>
          <w:color w:val="auto"/>
          <w:highlight w:val="none"/>
          <w:vertAlign w:val="subscript"/>
        </w:rPr>
        <w:t>3</w:t>
      </w:r>
      <w:r>
        <w:rPr>
          <w:rFonts w:hint="eastAsia"/>
          <w:color w:val="auto"/>
          <w:highlight w:val="none"/>
        </w:rPr>
        <w:t>-Na·Ca型水，八家户农场、茫丁乡靠近精河中上游一带地下水化学类型主要为 SO</w:t>
      </w:r>
      <w:r>
        <w:rPr>
          <w:rFonts w:hint="eastAsia"/>
          <w:color w:val="auto"/>
          <w:highlight w:val="none"/>
          <w:vertAlign w:val="subscript"/>
        </w:rPr>
        <w:t>4</w:t>
      </w:r>
      <w:r>
        <w:rPr>
          <w:rFonts w:hint="eastAsia"/>
          <w:color w:val="auto"/>
          <w:highlight w:val="none"/>
        </w:rPr>
        <w:t>·Cl-Ca 型水；对应的潜水矿化度从上游向下游逐渐增加，精河中上游一般小于1g/L，下游靠近艾比湖段一般大于1g/L~3g/L。精河县承压水水化学类型为 HCO</w:t>
      </w:r>
      <w:r>
        <w:rPr>
          <w:rFonts w:hint="eastAsia"/>
          <w:color w:val="auto"/>
          <w:highlight w:val="none"/>
          <w:vertAlign w:val="subscript"/>
        </w:rPr>
        <w:t>3</w:t>
      </w:r>
      <w:r>
        <w:rPr>
          <w:rFonts w:hint="eastAsia"/>
          <w:color w:val="auto"/>
          <w:highlight w:val="none"/>
        </w:rPr>
        <w:t>·SO</w:t>
      </w:r>
      <w:r>
        <w:rPr>
          <w:rFonts w:hint="eastAsia"/>
          <w:color w:val="auto"/>
          <w:highlight w:val="none"/>
          <w:vertAlign w:val="subscript"/>
        </w:rPr>
        <w:t>4</w:t>
      </w:r>
      <w:r>
        <w:rPr>
          <w:rFonts w:hint="eastAsia"/>
          <w:color w:val="auto"/>
          <w:highlight w:val="none"/>
        </w:rPr>
        <w:t>-Ca·Na 型水，矿化度一般小于1g/L，局部1g/L~3g/L。</w:t>
      </w:r>
    </w:p>
    <w:p w14:paraId="75EF3B0B">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地震</w:t>
      </w:r>
    </w:p>
    <w:p w14:paraId="65664B3E">
      <w:pPr>
        <w:pageBreakBefore w:val="0"/>
        <w:kinsoku/>
        <w:wordWrap/>
        <w:overflowPunct/>
        <w:bidi w:val="0"/>
        <w:spacing w:line="360" w:lineRule="auto"/>
        <w:ind w:firstLine="480"/>
        <w:rPr>
          <w:rFonts w:hint="eastAsia"/>
          <w:color w:val="auto"/>
          <w:highlight w:val="none"/>
        </w:rPr>
      </w:pPr>
      <w:r>
        <w:rPr>
          <w:rFonts w:hint="eastAsia"/>
          <w:color w:val="auto"/>
          <w:highlight w:val="none"/>
        </w:rPr>
        <w:t>区内分布的主要断裂有博罗科努</w:t>
      </w:r>
      <w:r>
        <w:rPr>
          <w:rFonts w:hint="eastAsia"/>
          <w:color w:val="auto"/>
          <w:highlight w:val="none"/>
          <w:lang w:val="en-US" w:eastAsia="zh-CN"/>
        </w:rPr>
        <w:t>-</w:t>
      </w:r>
      <w:r>
        <w:rPr>
          <w:rFonts w:hint="eastAsia"/>
          <w:color w:val="auto"/>
          <w:highlight w:val="none"/>
        </w:rPr>
        <w:t>阿其克库都克断裂、库松木契克山山前断裂、库松木契克河断裂、科古琴断裂、蒙马拉尔断裂、博尔博松断裂、伊犁盆地北缘断裂、扎娄勒山断裂。其中，博罗科努</w:t>
      </w:r>
      <w:r>
        <w:rPr>
          <w:rFonts w:hint="eastAsia"/>
          <w:color w:val="auto"/>
          <w:highlight w:val="none"/>
          <w:lang w:val="en-US" w:eastAsia="zh-CN"/>
        </w:rPr>
        <w:t>-</w:t>
      </w:r>
      <w:r>
        <w:rPr>
          <w:rFonts w:hint="eastAsia"/>
          <w:color w:val="auto"/>
          <w:highlight w:val="none"/>
        </w:rPr>
        <w:t>阿其克库都克断裂是精河县城周边的主要活动断裂。该断裂位于县城东北，距离县政府3.7km。博罗科努</w:t>
      </w:r>
      <w:r>
        <w:rPr>
          <w:rFonts w:hint="eastAsia"/>
          <w:color w:val="auto"/>
          <w:highlight w:val="none"/>
          <w:lang w:val="en-US" w:eastAsia="zh-CN"/>
        </w:rPr>
        <w:t>-</w:t>
      </w:r>
      <w:r>
        <w:rPr>
          <w:rFonts w:hint="eastAsia"/>
          <w:color w:val="auto"/>
          <w:highlight w:val="none"/>
        </w:rPr>
        <w:t>阿其克库都克断裂为全新世活动断裂，长度千余公里，具备7级地震构造条件。场址跑道中心点与博罗科努</w:t>
      </w:r>
      <w:r>
        <w:rPr>
          <w:rFonts w:hint="eastAsia"/>
          <w:color w:val="auto"/>
          <w:highlight w:val="none"/>
          <w:lang w:val="en-US" w:eastAsia="zh-CN"/>
        </w:rPr>
        <w:t>-</w:t>
      </w:r>
      <w:r>
        <w:rPr>
          <w:rFonts w:hint="eastAsia"/>
          <w:color w:val="auto"/>
          <w:highlight w:val="none"/>
        </w:rPr>
        <w:t>阿其克库都克断裂带垂直距离约7km。场址地震峰值加速度0.2g，特征周期为0.45s，设防基本烈度为8度。</w:t>
      </w:r>
    </w:p>
    <w:p w14:paraId="3468FE6C">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生态环境</w:t>
      </w:r>
    </w:p>
    <w:p w14:paraId="465B1554">
      <w:pPr>
        <w:pageBreakBefore w:val="0"/>
        <w:kinsoku/>
        <w:wordWrap/>
        <w:overflowPunct/>
        <w:bidi w:val="0"/>
        <w:spacing w:line="360" w:lineRule="auto"/>
        <w:ind w:firstLine="480"/>
        <w:rPr>
          <w:rFonts w:hint="eastAsia"/>
          <w:color w:val="auto"/>
          <w:highlight w:val="none"/>
        </w:rPr>
      </w:pPr>
      <w:r>
        <w:rPr>
          <w:rFonts w:hint="eastAsia"/>
          <w:color w:val="auto"/>
          <w:highlight w:val="none"/>
        </w:rPr>
        <w:t>截</w:t>
      </w:r>
      <w:r>
        <w:rPr>
          <w:rFonts w:hint="default" w:ascii="Times New Roman" w:hAnsi="Times New Roman" w:cs="Times New Roman"/>
          <w:color w:val="auto"/>
          <w:highlight w:val="none"/>
        </w:rPr>
        <w:t>至2024年12月30日，精河县空气质量优良率91.2%，PM</w:t>
      </w:r>
      <w:r>
        <w:rPr>
          <w:rFonts w:hint="default" w:ascii="Times New Roman" w:hAnsi="Times New Roman" w:cs="Times New Roman"/>
          <w:color w:val="auto"/>
          <w:highlight w:val="none"/>
          <w:vertAlign w:val="subscript"/>
        </w:rPr>
        <w:t>10</w:t>
      </w:r>
      <w:r>
        <w:rPr>
          <w:rFonts w:hint="default" w:ascii="Times New Roman" w:hAnsi="Times New Roman" w:cs="Times New Roman"/>
          <w:color w:val="auto"/>
          <w:highlight w:val="none"/>
        </w:rPr>
        <w:t>和PM</w:t>
      </w:r>
      <w:r>
        <w:rPr>
          <w:rFonts w:hint="default" w:ascii="Times New Roman" w:hAnsi="Times New Roman" w:cs="Times New Roman"/>
          <w:color w:val="auto"/>
          <w:highlight w:val="none"/>
          <w:vertAlign w:val="subscript"/>
        </w:rPr>
        <w:t>2.5</w:t>
      </w:r>
      <w:r>
        <w:rPr>
          <w:rFonts w:hint="default" w:ascii="Times New Roman" w:hAnsi="Times New Roman" w:cs="Times New Roman"/>
          <w:color w:val="auto"/>
          <w:highlight w:val="none"/>
        </w:rPr>
        <w:t>平均浓度分别为47μg/m</w:t>
      </w:r>
      <w:r>
        <w:rPr>
          <w:rFonts w:hint="eastAsia"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rPr>
        <w:t>、20μg/m</w:t>
      </w:r>
      <w:r>
        <w:rPr>
          <w:rFonts w:hint="eastAsia"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rPr>
        <w:t>，PM</w:t>
      </w:r>
      <w:r>
        <w:rPr>
          <w:rFonts w:hint="default" w:ascii="Times New Roman" w:hAnsi="Times New Roman" w:cs="Times New Roman"/>
          <w:color w:val="auto"/>
          <w:highlight w:val="none"/>
          <w:vertAlign w:val="subscript"/>
        </w:rPr>
        <w:t>10</w:t>
      </w:r>
      <w:r>
        <w:rPr>
          <w:rFonts w:hint="default" w:ascii="Times New Roman" w:hAnsi="Times New Roman" w:cs="Times New Roman"/>
          <w:color w:val="auto"/>
          <w:highlight w:val="none"/>
        </w:rPr>
        <w:t>达到国家环境空气功能区二类浓度限值，空气质量较好。精河县</w:t>
      </w:r>
      <w:r>
        <w:rPr>
          <w:rFonts w:hint="eastAsia"/>
          <w:color w:val="auto"/>
          <w:highlight w:val="none"/>
        </w:rPr>
        <w:t>主要河流监测断面水质均达到Ⅲ类及以上标准，达标率100%。县城集中式饮用水水源地水质达到国家地下水环境质量Ⅱ类标准，达标率100%。精河县土壤环境质量总体保持稳定，受污染耕地安全利用率保持在100%，农用地和建设用地土壤环境风险在可管控范围内。野生动物资源：林区内已查明野生动物340余种，其中国家一级重点保护野生动物有雪豹、金雕2种，二级重点保护野生动物有北山羊、雪兔等35种，还有自治区级重点保护野生动物若干，野生动物种群丰富。污染防治：2023年投入环境污染治理支出合计15046.45万元，生态保护与修复支出合计2439.59万元。通过推进清洁取暖、淘汰燃煤锅炉、加大扬尘治理等措施，空气质量持续改善；推行河湖长制，完成城镇污水处理综合利用和饮用水源保护区规范化建设，水环境质量提升；加大土壤面源污染治理力度，农药、化肥使用量逐年降低，畜禽粪污综合利用率达92.5%。生态修复：2023年实施草原生态修复工程10万亩，包括鼠害防治4万亩，虫害防治6万亩等。2024年大力推进国土绿化，新植造林任务10000亩，已完成5500亩；退化林修复任务10000亩，已完成4000亩，生态系统得到进一步修复和保护。农村环境整治：大力实施农村人居环境整治提升五年行动，争取项目资金铺设排水管网、建设化粪池和垃圾中转站等，完成多个村庄绿化美化项目，农村环境得到有效改善。</w:t>
      </w:r>
    </w:p>
    <w:p w14:paraId="065EB02D">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行政区划与人口</w:t>
      </w:r>
    </w:p>
    <w:p w14:paraId="3527E21E">
      <w:pPr>
        <w:pStyle w:val="133"/>
        <w:pageBreakBefore w:val="0"/>
        <w:kinsoku/>
        <w:wordWrap/>
        <w:overflowPunct/>
        <w:bidi w:val="0"/>
        <w:rPr>
          <w:rFonts w:hint="eastAsia"/>
          <w:color w:val="auto"/>
          <w:sz w:val="24"/>
          <w:szCs w:val="20"/>
          <w:highlight w:val="none"/>
          <w:lang w:eastAsia="zh-CN"/>
        </w:rPr>
      </w:pPr>
      <w:r>
        <w:rPr>
          <w:rFonts w:hint="eastAsia"/>
          <w:color w:val="auto"/>
          <w:sz w:val="24"/>
          <w:szCs w:val="20"/>
          <w:highlight w:val="none"/>
          <w:lang w:val="en-US" w:eastAsia="zh-CN"/>
        </w:rPr>
        <w:t>项目所在的精河县以“精河河”得名，位于新疆西北部，是古“丝绸之路”北道重镇。县域总面积1.12万平方公里，建成区面积9.7平方公里，绿化覆盖率36%。辖四镇一乡两个国营农场，驻有兵团第五师83团和91团，居住着汉、维吾尔、蒙古、哈萨克等29个民族，户籍总人口14.44万人</w:t>
      </w:r>
      <w:r>
        <w:rPr>
          <w:rFonts w:hint="eastAsia"/>
          <w:color w:val="auto"/>
          <w:sz w:val="24"/>
          <w:szCs w:val="20"/>
          <w:highlight w:val="none"/>
          <w:lang w:eastAsia="zh-CN"/>
        </w:rPr>
        <w:t>。</w:t>
      </w:r>
    </w:p>
    <w:p w14:paraId="0C131CC5">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区域相关规划</w:t>
      </w:r>
    </w:p>
    <w:p w14:paraId="31E0FA62">
      <w:pPr>
        <w:pStyle w:val="133"/>
        <w:pageBreakBefore w:val="0"/>
        <w:kinsoku/>
        <w:wordWrap/>
        <w:overflowPunct/>
        <w:bidi w:val="0"/>
        <w:rPr>
          <w:rFonts w:hint="eastAsia"/>
          <w:color w:val="auto"/>
          <w:sz w:val="24"/>
          <w:szCs w:val="20"/>
          <w:highlight w:val="none"/>
          <w:lang w:val="en-US" w:eastAsia="zh-CN"/>
        </w:rPr>
      </w:pPr>
      <w:r>
        <w:rPr>
          <w:rFonts w:hint="eastAsia"/>
          <w:color w:val="auto"/>
          <w:sz w:val="24"/>
          <w:szCs w:val="20"/>
          <w:highlight w:val="none"/>
          <w:lang w:val="en-US" w:eastAsia="zh-CN"/>
        </w:rPr>
        <w:t>根据《精河县国土空间总体规划（2021-2035年）》（博州政函〔2024〕37号），到2035年，精河县耕地保有量不低于118.58万亩，其中永久基本农田保护面积不低于82.03万亩；生态保护红线面积不低于5460.81平方千米（不含兵团）；城镇开发边界扩展倍数控制在基于2020年城镇建设用地规模的1.30倍以内。明确自然灾害风险重点防控区域，划定洪涝、抗震防灾等风险控制线，落实战略性矿产资源、历史文化保护等安全保障空间，全面锚固高质量发展的空间底线。</w:t>
      </w:r>
    </w:p>
    <w:p w14:paraId="274C745E">
      <w:pPr>
        <w:pStyle w:val="133"/>
        <w:pageBreakBefore w:val="0"/>
        <w:kinsoku/>
        <w:wordWrap/>
        <w:overflowPunct/>
        <w:bidi w:val="0"/>
        <w:rPr>
          <w:rFonts w:hint="eastAsia"/>
          <w:color w:val="auto"/>
          <w:sz w:val="24"/>
          <w:szCs w:val="20"/>
          <w:highlight w:val="none"/>
          <w:lang w:val="en-US" w:eastAsia="zh-CN"/>
        </w:rPr>
      </w:pPr>
      <w:r>
        <w:rPr>
          <w:rFonts w:hint="eastAsia"/>
          <w:color w:val="auto"/>
          <w:sz w:val="24"/>
          <w:szCs w:val="20"/>
          <w:highlight w:val="none"/>
          <w:lang w:val="en-US" w:eastAsia="zh-CN"/>
        </w:rPr>
        <w:t>落实主体功能区战略，突出南山北湖、东漠西田的自然地理格局，构建“一核两轴、两带两区”的县域国土空间总体格局。严格保护耕地资源，重点依托枸杞、棉花等现代特色农业，拓展特色优势农产品生产空间。严守生态保护红线，加强天山（博罗科努山）以及艾比湖、甘家湖国家级自然保护区等重要生态空间保护，推进山水林田湖草沙一体化保护和系统治理，严格重要水源地、自然岸线保护和水土保持，筑牢生物多样性保护网络，构建“一屏一带、四区六廊”的县域生态空间格局。以“博乐—双河—阿拉山口—精河”城镇组群为载体，推进以人为核心的新型城镇化，提升县域中心城市、重点镇综合服务能级，推动小城镇（农场）与乡村高效协同发展，构建“一主一副、两轴多点”的县域城镇空间格局。构筑活力共享与便民利民的城乡生活圈，推进各民族相互嵌入式的社会结构和社区环境形成，持续改善城乡人居环境。</w:t>
      </w:r>
    </w:p>
    <w:p w14:paraId="60B52461">
      <w:pPr>
        <w:pStyle w:val="133"/>
        <w:pageBreakBefore w:val="0"/>
        <w:kinsoku/>
        <w:wordWrap/>
        <w:overflowPunct/>
        <w:bidi w:val="0"/>
        <w:rPr>
          <w:rFonts w:hint="eastAsia"/>
          <w:color w:val="auto"/>
          <w:sz w:val="24"/>
          <w:szCs w:val="20"/>
          <w:highlight w:val="none"/>
          <w:lang w:val="en-US" w:eastAsia="zh-CN"/>
        </w:rPr>
      </w:pPr>
      <w:r>
        <w:rPr>
          <w:rFonts w:hint="eastAsia"/>
          <w:color w:val="auto"/>
          <w:sz w:val="24"/>
          <w:szCs w:val="20"/>
          <w:highlight w:val="none"/>
          <w:lang w:val="en-US" w:eastAsia="zh-CN"/>
        </w:rPr>
        <w:t>严守城镇开发边界，严控新增城镇建设用地。加强城镇空间的规划引导和统筹协调，做好分阶段时序管控，合理安排新增城镇建设用地的规模、结构和布局。加大城乡存量用地挖潜力度，统筹城市地上地下空间开发利用，推进低效用地再开发，提高土地节约集约利用水平，促进城市内涵式集约发展。优化中心城区空间结构和用地布局，统筹布局教育、文化、体育、医疗、养老、旅游等公共服务设施和公园、广场等绿地开敞空间，强化城市设计与城市更新。</w:t>
      </w:r>
    </w:p>
    <w:p w14:paraId="6656399B">
      <w:pPr>
        <w:pStyle w:val="133"/>
        <w:pageBreakBefore w:val="0"/>
        <w:kinsoku/>
        <w:wordWrap/>
        <w:overflowPunct/>
        <w:bidi w:val="0"/>
        <w:rPr>
          <w:rFonts w:hint="eastAsia"/>
          <w:color w:val="auto"/>
          <w:sz w:val="24"/>
          <w:szCs w:val="20"/>
          <w:highlight w:val="none"/>
          <w:lang w:val="en-US" w:eastAsia="zh-CN"/>
        </w:rPr>
      </w:pPr>
      <w:r>
        <w:rPr>
          <w:rFonts w:hint="eastAsia"/>
          <w:color w:val="auto"/>
          <w:sz w:val="24"/>
          <w:szCs w:val="20"/>
          <w:highlight w:val="none"/>
          <w:lang w:val="en-US" w:eastAsia="zh-CN"/>
        </w:rPr>
        <w:t>构建遗产保护空间体系，挖掘并保护精河—阿拉山口、精河—伊宁在内的丝绸之路遗产廊道（北道），展现各民族交往交流交融历史事实的话语体系和有效载体。加大传统村落保护力度，切实保护好传统风貌和格局，落实历史文化保护管理要求，重点保护好重要历史建筑、各级文物保护单位及其周边环境。深度挖掘湖泊、湿地、沙漠、草原、森林、雪山、冰川、地质构造、草原游牧、千年丝路、边疆人文历史等核心旅游资源，塑造山湖相映、城田相依的景观风貌格局。</w:t>
      </w:r>
    </w:p>
    <w:p w14:paraId="7A287BB9">
      <w:pPr>
        <w:pStyle w:val="133"/>
        <w:pageBreakBefore w:val="0"/>
        <w:kinsoku/>
        <w:wordWrap/>
        <w:overflowPunct/>
        <w:bidi w:val="0"/>
        <w:rPr>
          <w:rFonts w:hint="eastAsia"/>
          <w:color w:val="auto"/>
          <w:sz w:val="24"/>
          <w:szCs w:val="20"/>
          <w:highlight w:val="none"/>
          <w:lang w:val="en-US" w:eastAsia="zh-CN"/>
        </w:rPr>
      </w:pPr>
      <w:r>
        <w:rPr>
          <w:rFonts w:hint="eastAsia"/>
          <w:color w:val="auto"/>
          <w:sz w:val="24"/>
          <w:szCs w:val="20"/>
          <w:highlight w:val="none"/>
          <w:lang w:val="en-US" w:eastAsia="zh-CN"/>
        </w:rPr>
        <w:t>重点打造丝绸之路经济带阿拉山口口岸国际廊道和丝绸之路经济带霍尔果斯口岸国际廊道。完善城乡各类基础设施建设，统筹提升水、电、气、通信、环境卫生等基础设施的保障能力。提高城市安全韧性，建立健全“平急两用”的公共安全和防灾体系。保障乌霍高速铁路、精阿铁路、精伊霍铁路以及高速公路、国省干线等交通基础设施建设，推动区域引调水工程和沙尔托海水利枢纽二期等水利工程建设，完善多式联运物流枢纽功能，建设“一带一路”精河国际陆港。严格落实防洪、抗震、排涝、消防设施布局要求，加强精河化工产业集中区及周边地区安全管控，健全公共安全和防灾减灾体系，保障城市生命线稳定运行。</w:t>
      </w:r>
    </w:p>
    <w:p w14:paraId="7CD60AB6">
      <w:pPr>
        <w:pStyle w:val="133"/>
        <w:pageBreakBefore w:val="0"/>
        <w:kinsoku/>
        <w:wordWrap/>
        <w:overflowPunct/>
        <w:bidi w:val="0"/>
        <w:rPr>
          <w:rFonts w:hint="eastAsia"/>
          <w:color w:val="auto"/>
          <w:sz w:val="24"/>
          <w:szCs w:val="20"/>
          <w:highlight w:val="none"/>
          <w:lang w:eastAsia="zh-CN"/>
        </w:rPr>
      </w:pPr>
      <w:r>
        <w:rPr>
          <w:rFonts w:hint="eastAsia"/>
          <w:color w:val="auto"/>
          <w:sz w:val="24"/>
          <w:szCs w:val="20"/>
          <w:highlight w:val="none"/>
          <w:lang w:val="en-US" w:eastAsia="zh-CN"/>
        </w:rPr>
        <w:t>加强区域协调与兵地融合。依托铁路、G30公路等重要区域通道，强化与国内疆内物流枢纽等方面的协作。加强与第五师双河市共筑生态保护格局，共建开放型现代产业体系，共同发展艾比湖和甘家湖、木特塔尔沙漠生态文化旅游，促进生态环境共保共治、公共服务和基础设施共建共享，打造兵地旅游共同体，实现交通、管道、水资源、公共服务设施的兵地协同联动，共同开展流域综合治理。</w:t>
      </w:r>
    </w:p>
    <w:p w14:paraId="6147268E">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环境功能区划</w:t>
      </w:r>
    </w:p>
    <w:p w14:paraId="56758705">
      <w:pPr>
        <w:ind w:firstLine="480" w:firstLineChars="200"/>
        <w:rPr>
          <w:color w:val="auto"/>
          <w:highlight w:val="none"/>
        </w:rPr>
      </w:pPr>
      <w:r>
        <w:rPr>
          <w:color w:val="auto"/>
          <w:highlight w:val="none"/>
        </w:rPr>
        <w:t>根据《新疆生态功能区划》，</w:t>
      </w:r>
      <w:r>
        <w:rPr>
          <w:rFonts w:hint="eastAsia" w:ascii="Times New Roman" w:eastAsia="宋体"/>
          <w:color w:val="auto"/>
          <w:highlight w:val="none"/>
          <w:lang w:val="en-US" w:eastAsia="zh-CN"/>
        </w:rPr>
        <w:t>本</w:t>
      </w:r>
      <w:r>
        <w:rPr>
          <w:color w:val="auto"/>
          <w:highlight w:val="none"/>
        </w:rPr>
        <w:t>项目所在区域属准噶尔盆地温性荒漠与绿洲农业生态区、准噶尔盆地西部荒漠及绿洲农业生态亚区、精河-博尔塔拉谷地绿洲农业生态功能区，</w:t>
      </w:r>
      <w:r>
        <w:rPr>
          <w:rFonts w:hint="eastAsia"/>
          <w:color w:val="auto"/>
          <w:highlight w:val="none"/>
        </w:rPr>
        <w:t>详见</w:t>
      </w:r>
      <w:r>
        <w:rPr>
          <w:color w:val="auto"/>
          <w:highlight w:val="none"/>
        </w:rPr>
        <w:t>图4</w:t>
      </w:r>
      <w:r>
        <w:rPr>
          <w:rFonts w:hint="eastAsia"/>
          <w:color w:val="auto"/>
          <w:highlight w:val="none"/>
          <w:lang w:val="en-US" w:eastAsia="zh-CN"/>
        </w:rPr>
        <w:t>.1</w:t>
      </w:r>
      <w:r>
        <w:rPr>
          <w:color w:val="auto"/>
          <w:highlight w:val="none"/>
        </w:rPr>
        <w:t>-</w:t>
      </w:r>
      <w:r>
        <w:rPr>
          <w:rFonts w:hint="eastAsia"/>
          <w:color w:val="auto"/>
          <w:highlight w:val="none"/>
          <w:lang w:val="en-US" w:eastAsia="zh-CN"/>
        </w:rPr>
        <w:t>14</w:t>
      </w:r>
      <w:r>
        <w:rPr>
          <w:color w:val="auto"/>
          <w:highlight w:val="none"/>
        </w:rPr>
        <w:t>新疆生态功能区划图。</w:t>
      </w:r>
    </w:p>
    <w:p w14:paraId="7A6C38B2">
      <w:pPr>
        <w:ind w:firstLine="480" w:firstLineChars="200"/>
        <w:rPr>
          <w:color w:val="auto"/>
          <w:highlight w:val="none"/>
        </w:rPr>
      </w:pPr>
      <w:r>
        <w:rPr>
          <w:color w:val="auto"/>
          <w:highlight w:val="none"/>
        </w:rPr>
        <w:t>生态功能区的主要环境状况见表</w:t>
      </w:r>
      <w:r>
        <w:rPr>
          <w:rFonts w:eastAsia="Times New Roman"/>
          <w:color w:val="auto"/>
          <w:highlight w:val="none"/>
        </w:rPr>
        <w:t>4</w:t>
      </w:r>
      <w:r>
        <w:rPr>
          <w:rFonts w:hint="eastAsia" w:eastAsia="宋体"/>
          <w:color w:val="auto"/>
          <w:highlight w:val="none"/>
          <w:lang w:val="en-US" w:eastAsia="zh-CN"/>
        </w:rPr>
        <w:t>.1</w:t>
      </w:r>
      <w:r>
        <w:rPr>
          <w:rFonts w:eastAsia="Times New Roman"/>
          <w:color w:val="auto"/>
          <w:highlight w:val="none"/>
        </w:rPr>
        <w:t>-</w:t>
      </w:r>
      <w:r>
        <w:rPr>
          <w:rFonts w:hint="eastAsia" w:eastAsia="宋体"/>
          <w:color w:val="auto"/>
          <w:highlight w:val="none"/>
          <w:lang w:val="en-US" w:eastAsia="zh-CN"/>
        </w:rPr>
        <w:t>2</w:t>
      </w:r>
      <w:r>
        <w:rPr>
          <w:color w:val="auto"/>
          <w:highlight w:val="none"/>
        </w:rPr>
        <w:t>。</w:t>
      </w:r>
    </w:p>
    <w:p w14:paraId="1B4C5307">
      <w:pPr>
        <w:spacing w:after="1" w:line="258" w:lineRule="auto"/>
        <w:ind w:left="48" w:right="2508" w:firstLine="480"/>
        <w:jc w:val="right"/>
        <w:rPr>
          <w:color w:val="auto"/>
          <w:highlight w:val="none"/>
        </w:rPr>
      </w:pPr>
      <w:r>
        <w:rPr>
          <w:rFonts w:hint="eastAsia" w:ascii="黑体" w:hAnsi="黑体" w:eastAsia="黑体" w:cs="黑体"/>
          <w:b w:val="0"/>
          <w:bCs w:val="0"/>
          <w:color w:val="auto"/>
          <w:sz w:val="21"/>
          <w:szCs w:val="21"/>
          <w:highlight w:val="none"/>
        </w:rPr>
        <w:t>表4.1-</w:t>
      </w:r>
      <w:r>
        <w:rPr>
          <w:rFonts w:hint="eastAsia" w:ascii="黑体" w:hAnsi="黑体" w:eastAsia="黑体" w:cs="黑体"/>
          <w:b w:val="0"/>
          <w:bCs w:val="0"/>
          <w:color w:val="auto"/>
          <w:sz w:val="21"/>
          <w:szCs w:val="21"/>
          <w:highlight w:val="none"/>
          <w:lang w:val="en-US" w:eastAsia="zh-CN"/>
        </w:rPr>
        <w:t>2</w:t>
      </w:r>
      <w:r>
        <w:rPr>
          <w:rFonts w:hint="eastAsia" w:ascii="黑体" w:hAnsi="黑体" w:eastAsia="黑体" w:cs="黑体"/>
          <w:b w:val="0"/>
          <w:bCs w:val="0"/>
          <w:color w:val="auto"/>
          <w:sz w:val="21"/>
          <w:szCs w:val="21"/>
          <w:highlight w:val="none"/>
        </w:rPr>
        <w:t xml:space="preserve"> 项目所属生态功能区情况</w:t>
      </w:r>
    </w:p>
    <w:tbl>
      <w:tblPr>
        <w:tblStyle w:val="5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6640"/>
      </w:tblGrid>
      <w:tr w14:paraId="25D1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92" w:type="pct"/>
            <w:vAlign w:val="center"/>
          </w:tcPr>
          <w:p w14:paraId="1DD3D6D5">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生态区</w:t>
            </w:r>
          </w:p>
        </w:tc>
        <w:tc>
          <w:tcPr>
            <w:tcW w:w="3808" w:type="pct"/>
            <w:vAlign w:val="center"/>
          </w:tcPr>
          <w:p w14:paraId="1A608E0D">
            <w:pPr>
              <w:keepNext w:val="0"/>
              <w:keepLines w:val="0"/>
              <w:suppressLineNumbers w:val="0"/>
              <w:spacing w:before="0" w:beforeAutospacing="0" w:after="0" w:afterAutospacing="0" w:line="240" w:lineRule="auto"/>
              <w:ind w:left="0" w:right="0" w:firstLine="0"/>
              <w:rPr>
                <w:rFonts w:hint="default"/>
                <w:color w:val="auto"/>
                <w:sz w:val="21"/>
                <w:szCs w:val="21"/>
                <w:highlight w:val="none"/>
              </w:rPr>
            </w:pPr>
            <w:r>
              <w:rPr>
                <w:rFonts w:hint="eastAsia"/>
                <w:color w:val="auto"/>
                <w:sz w:val="21"/>
                <w:szCs w:val="21"/>
                <w:highlight w:val="none"/>
                <w:lang w:eastAsia="zh-CN"/>
              </w:rPr>
              <w:t>Ⅱ</w:t>
            </w:r>
            <w:r>
              <w:rPr>
                <w:rFonts w:hint="default"/>
                <w:color w:val="auto"/>
                <w:sz w:val="21"/>
                <w:szCs w:val="21"/>
                <w:highlight w:val="none"/>
              </w:rPr>
              <w:t>准噶尔盆地温性荒漠与绿洲农业生态区</w:t>
            </w:r>
          </w:p>
        </w:tc>
      </w:tr>
      <w:tr w14:paraId="5485C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92" w:type="pct"/>
            <w:vAlign w:val="center"/>
          </w:tcPr>
          <w:p w14:paraId="6A1B2D8E">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生态亚区</w:t>
            </w:r>
          </w:p>
        </w:tc>
        <w:tc>
          <w:tcPr>
            <w:tcW w:w="3808" w:type="pct"/>
            <w:vAlign w:val="center"/>
          </w:tcPr>
          <w:p w14:paraId="796DFB91">
            <w:pPr>
              <w:keepNext w:val="0"/>
              <w:keepLines w:val="0"/>
              <w:suppressLineNumbers w:val="0"/>
              <w:spacing w:before="0" w:beforeAutospacing="0" w:after="0" w:afterAutospacing="0" w:line="240" w:lineRule="auto"/>
              <w:ind w:left="0" w:right="0" w:firstLine="0"/>
              <w:rPr>
                <w:rFonts w:hint="default"/>
                <w:color w:val="auto"/>
                <w:sz w:val="21"/>
                <w:szCs w:val="21"/>
                <w:highlight w:val="none"/>
              </w:rPr>
            </w:pPr>
            <w:r>
              <w:rPr>
                <w:rFonts w:hint="default"/>
                <w:color w:val="auto"/>
                <w:sz w:val="21"/>
                <w:szCs w:val="21"/>
                <w:highlight w:val="none"/>
              </w:rPr>
              <w:t>II</w:t>
            </w:r>
            <w:r>
              <w:rPr>
                <w:rFonts w:hint="default"/>
                <w:color w:val="auto"/>
                <w:sz w:val="21"/>
                <w:szCs w:val="21"/>
                <w:highlight w:val="none"/>
                <w:vertAlign w:val="subscript"/>
              </w:rPr>
              <w:t>2</w:t>
            </w:r>
            <w:r>
              <w:rPr>
                <w:rFonts w:hint="default"/>
                <w:color w:val="auto"/>
                <w:sz w:val="21"/>
                <w:szCs w:val="21"/>
                <w:highlight w:val="none"/>
              </w:rPr>
              <w:t>准噶尔盆地西部荒漠及绿洲农业生态亚区</w:t>
            </w:r>
          </w:p>
        </w:tc>
      </w:tr>
      <w:tr w14:paraId="2CA4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92" w:type="pct"/>
            <w:vAlign w:val="center"/>
          </w:tcPr>
          <w:p w14:paraId="58383C4F">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生态功能区</w:t>
            </w:r>
          </w:p>
        </w:tc>
        <w:tc>
          <w:tcPr>
            <w:tcW w:w="3808" w:type="pct"/>
            <w:vAlign w:val="center"/>
          </w:tcPr>
          <w:p w14:paraId="5FF83279">
            <w:pPr>
              <w:keepNext w:val="0"/>
              <w:keepLines w:val="0"/>
              <w:suppressLineNumbers w:val="0"/>
              <w:spacing w:before="0" w:beforeAutospacing="0" w:after="0" w:afterAutospacing="0" w:line="240" w:lineRule="auto"/>
              <w:ind w:left="0" w:right="0" w:firstLine="0"/>
              <w:rPr>
                <w:rFonts w:hint="default"/>
                <w:color w:val="auto"/>
                <w:sz w:val="21"/>
                <w:szCs w:val="21"/>
                <w:highlight w:val="none"/>
              </w:rPr>
            </w:pPr>
            <w:r>
              <w:rPr>
                <w:rFonts w:hint="default" w:eastAsia="Times New Roman"/>
                <w:color w:val="auto"/>
                <w:sz w:val="21"/>
                <w:szCs w:val="21"/>
                <w:highlight w:val="none"/>
              </w:rPr>
              <w:t>21.</w:t>
            </w:r>
            <w:r>
              <w:rPr>
                <w:rFonts w:hint="default"/>
                <w:color w:val="auto"/>
                <w:sz w:val="21"/>
                <w:szCs w:val="21"/>
                <w:highlight w:val="none"/>
              </w:rPr>
              <w:t>精河-博尔塔拉谷地绿洲农业生态功能区</w:t>
            </w:r>
          </w:p>
        </w:tc>
      </w:tr>
      <w:tr w14:paraId="6A1A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92" w:type="pct"/>
            <w:vAlign w:val="center"/>
          </w:tcPr>
          <w:p w14:paraId="5DE779C3">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主要生态服务功能</w:t>
            </w:r>
          </w:p>
        </w:tc>
        <w:tc>
          <w:tcPr>
            <w:tcW w:w="3808" w:type="pct"/>
            <w:vAlign w:val="center"/>
          </w:tcPr>
          <w:p w14:paraId="0096DC92">
            <w:pPr>
              <w:keepNext w:val="0"/>
              <w:keepLines w:val="0"/>
              <w:suppressLineNumbers w:val="0"/>
              <w:spacing w:before="0" w:beforeAutospacing="0" w:after="0" w:afterAutospacing="0" w:line="240" w:lineRule="auto"/>
              <w:ind w:left="0" w:right="0" w:firstLine="0"/>
              <w:rPr>
                <w:rFonts w:hint="default"/>
                <w:color w:val="auto"/>
                <w:sz w:val="21"/>
                <w:szCs w:val="21"/>
                <w:highlight w:val="none"/>
              </w:rPr>
            </w:pPr>
            <w:r>
              <w:rPr>
                <w:rFonts w:hint="default"/>
                <w:color w:val="auto"/>
                <w:sz w:val="21"/>
                <w:szCs w:val="21"/>
                <w:highlight w:val="none"/>
              </w:rPr>
              <w:t>农畜产品生产、人居环境</w:t>
            </w:r>
          </w:p>
        </w:tc>
      </w:tr>
      <w:tr w14:paraId="01F6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92" w:type="pct"/>
            <w:vAlign w:val="center"/>
          </w:tcPr>
          <w:p w14:paraId="19F7A9B8">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主要生态环境问题</w:t>
            </w:r>
          </w:p>
        </w:tc>
        <w:tc>
          <w:tcPr>
            <w:tcW w:w="3808" w:type="pct"/>
            <w:vAlign w:val="center"/>
          </w:tcPr>
          <w:p w14:paraId="103BC5F6">
            <w:pPr>
              <w:keepNext w:val="0"/>
              <w:keepLines w:val="0"/>
              <w:suppressLineNumbers w:val="0"/>
              <w:spacing w:before="0" w:beforeAutospacing="0" w:after="0" w:afterAutospacing="0" w:line="240" w:lineRule="auto"/>
              <w:ind w:left="0" w:right="0" w:firstLine="0"/>
              <w:rPr>
                <w:rFonts w:hint="default"/>
                <w:color w:val="auto"/>
                <w:sz w:val="21"/>
                <w:szCs w:val="21"/>
                <w:highlight w:val="none"/>
              </w:rPr>
            </w:pPr>
            <w:r>
              <w:rPr>
                <w:rFonts w:hint="default"/>
                <w:color w:val="auto"/>
                <w:sz w:val="21"/>
                <w:szCs w:val="21"/>
                <w:highlight w:val="none"/>
              </w:rPr>
              <w:t>荒漠植被破坏，土壤盐渍化、风沙危害、农田污染</w:t>
            </w:r>
          </w:p>
        </w:tc>
      </w:tr>
      <w:tr w14:paraId="5689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92" w:type="pct"/>
            <w:vAlign w:val="center"/>
          </w:tcPr>
          <w:p w14:paraId="45CBE998">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主要生态敏感因子、敏感程度</w:t>
            </w:r>
          </w:p>
        </w:tc>
        <w:tc>
          <w:tcPr>
            <w:tcW w:w="3808" w:type="pct"/>
            <w:vAlign w:val="center"/>
          </w:tcPr>
          <w:p w14:paraId="6673E73B">
            <w:pPr>
              <w:keepNext w:val="0"/>
              <w:keepLines w:val="0"/>
              <w:suppressLineNumbers w:val="0"/>
              <w:spacing w:before="0" w:beforeAutospacing="0" w:after="0" w:afterAutospacing="0" w:line="240" w:lineRule="auto"/>
              <w:ind w:left="0" w:right="0" w:firstLine="0"/>
              <w:rPr>
                <w:rFonts w:hint="default"/>
                <w:color w:val="auto"/>
                <w:sz w:val="21"/>
                <w:szCs w:val="21"/>
                <w:highlight w:val="none"/>
              </w:rPr>
            </w:pPr>
            <w:r>
              <w:rPr>
                <w:rFonts w:hint="default"/>
                <w:color w:val="auto"/>
                <w:sz w:val="21"/>
                <w:szCs w:val="21"/>
                <w:highlight w:val="none"/>
              </w:rPr>
              <w:t>生物多样性及其生境不敏感、高度敏感，土地沙漠化轻度敏感，土壤侵蚀极度敏感、轻度敏感，局部地区土壤盐渍化高度敏感</w:t>
            </w:r>
          </w:p>
        </w:tc>
      </w:tr>
      <w:tr w14:paraId="765F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92" w:type="pct"/>
            <w:vAlign w:val="center"/>
          </w:tcPr>
          <w:p w14:paraId="089C8885">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主要保护目标</w:t>
            </w:r>
          </w:p>
        </w:tc>
        <w:tc>
          <w:tcPr>
            <w:tcW w:w="3808" w:type="pct"/>
            <w:vAlign w:val="center"/>
          </w:tcPr>
          <w:p w14:paraId="66ECBB9F">
            <w:pPr>
              <w:keepNext w:val="0"/>
              <w:keepLines w:val="0"/>
              <w:suppressLineNumbers w:val="0"/>
              <w:spacing w:before="0" w:beforeAutospacing="0" w:after="0" w:afterAutospacing="0" w:line="240" w:lineRule="auto"/>
              <w:ind w:left="0" w:right="0" w:firstLine="0"/>
              <w:rPr>
                <w:rFonts w:hint="default"/>
                <w:color w:val="auto"/>
                <w:sz w:val="21"/>
                <w:szCs w:val="21"/>
                <w:highlight w:val="none"/>
              </w:rPr>
            </w:pPr>
            <w:r>
              <w:rPr>
                <w:rFonts w:hint="default"/>
                <w:color w:val="auto"/>
                <w:sz w:val="21"/>
                <w:szCs w:val="21"/>
                <w:highlight w:val="none"/>
              </w:rPr>
              <w:t>保护基本农田、保护土壤环境质量、保护天然植被</w:t>
            </w:r>
          </w:p>
        </w:tc>
      </w:tr>
      <w:tr w14:paraId="384D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92" w:type="pct"/>
            <w:vAlign w:val="center"/>
          </w:tcPr>
          <w:p w14:paraId="5CC83780">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主要保护措施</w:t>
            </w:r>
          </w:p>
        </w:tc>
        <w:tc>
          <w:tcPr>
            <w:tcW w:w="3808" w:type="pct"/>
            <w:vAlign w:val="center"/>
          </w:tcPr>
          <w:p w14:paraId="77097A67">
            <w:pPr>
              <w:keepNext w:val="0"/>
              <w:keepLines w:val="0"/>
              <w:suppressLineNumbers w:val="0"/>
              <w:spacing w:before="0" w:beforeAutospacing="0" w:after="0" w:afterAutospacing="0" w:line="240" w:lineRule="auto"/>
              <w:ind w:left="0" w:right="0" w:firstLine="0"/>
              <w:rPr>
                <w:rFonts w:hint="default"/>
                <w:color w:val="auto"/>
                <w:sz w:val="21"/>
                <w:szCs w:val="21"/>
                <w:highlight w:val="none"/>
              </w:rPr>
            </w:pPr>
            <w:r>
              <w:rPr>
                <w:rFonts w:hint="default"/>
                <w:color w:val="auto"/>
                <w:sz w:val="21"/>
                <w:szCs w:val="21"/>
                <w:highlight w:val="none"/>
              </w:rPr>
              <w:t>建设防护林带、土壤培肥、节水灌溉、合理使用农药、化肥和地膜</w:t>
            </w:r>
          </w:p>
        </w:tc>
      </w:tr>
      <w:tr w14:paraId="3618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92" w:type="pct"/>
            <w:vAlign w:val="center"/>
          </w:tcPr>
          <w:p w14:paraId="6DF71224">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适宜发展方向</w:t>
            </w:r>
          </w:p>
        </w:tc>
        <w:tc>
          <w:tcPr>
            <w:tcW w:w="3808" w:type="pct"/>
            <w:vAlign w:val="center"/>
          </w:tcPr>
          <w:p w14:paraId="05F205F3">
            <w:pPr>
              <w:keepNext w:val="0"/>
              <w:keepLines w:val="0"/>
              <w:suppressLineNumbers w:val="0"/>
              <w:spacing w:before="0" w:beforeAutospacing="0" w:after="0" w:afterAutospacing="0" w:line="240" w:lineRule="auto"/>
              <w:ind w:left="0" w:right="0" w:firstLine="0"/>
              <w:rPr>
                <w:rFonts w:hint="default"/>
                <w:color w:val="auto"/>
                <w:sz w:val="21"/>
                <w:szCs w:val="21"/>
                <w:highlight w:val="none"/>
              </w:rPr>
            </w:pPr>
            <w:r>
              <w:rPr>
                <w:rFonts w:hint="default"/>
                <w:color w:val="auto"/>
                <w:sz w:val="21"/>
                <w:szCs w:val="21"/>
                <w:highlight w:val="none"/>
              </w:rPr>
              <w:t>改善农业结构，大力发展枸杞等特色种植业和养殖业，加强牧民定居经济带建设</w:t>
            </w:r>
          </w:p>
        </w:tc>
      </w:tr>
    </w:tbl>
    <w:p w14:paraId="1B665538">
      <w:pPr>
        <w:pStyle w:val="133"/>
        <w:pageBreakBefore w:val="0"/>
        <w:kinsoku/>
        <w:wordWrap/>
        <w:overflowPunct/>
        <w:bidi w:val="0"/>
        <w:rPr>
          <w:rFonts w:hint="default"/>
          <w:color w:val="auto"/>
          <w:sz w:val="24"/>
          <w:szCs w:val="20"/>
          <w:highlight w:val="none"/>
          <w:lang w:val="en-US" w:eastAsia="zh-CN"/>
        </w:rPr>
      </w:pPr>
      <w:r>
        <w:rPr>
          <w:rFonts w:hint="eastAsia"/>
          <w:color w:val="auto"/>
          <w:sz w:val="24"/>
          <w:szCs w:val="20"/>
          <w:highlight w:val="none"/>
          <w:lang w:val="en-US" w:eastAsia="zh-CN"/>
        </w:rPr>
        <w:t>根据精河县人民政府官网资料，本项目所在区域位于精河县县域生态环境保护规划中的农牧业保护区。区域以农田生态系统为主，本项目占地区域不涉及永久基本农田保护区。</w:t>
      </w:r>
    </w:p>
    <w:p w14:paraId="6D6D4FB1">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生态环境分区管控方案</w:t>
      </w:r>
    </w:p>
    <w:p w14:paraId="6969261F">
      <w:pPr>
        <w:pageBreakBefore w:val="0"/>
        <w:tabs>
          <w:tab w:val="left" w:pos="720"/>
        </w:tabs>
        <w:kinsoku/>
        <w:overflowPunct/>
        <w:autoSpaceDE w:val="0"/>
        <w:autoSpaceDN w:val="0"/>
        <w:bidi w:val="0"/>
        <w:spacing w:line="360" w:lineRule="auto"/>
        <w:ind w:right="17" w:firstLine="480" w:firstLineChars="200"/>
        <w:rPr>
          <w:rFonts w:hint="eastAsia" w:ascii="Times New Roman" w:hAnsi="Times New Roman" w:eastAsia="宋体" w:cs="Times New Roman"/>
          <w:bCs/>
          <w:color w:val="auto"/>
          <w:sz w:val="24"/>
          <w:highlight w:val="none"/>
        </w:rPr>
      </w:pPr>
      <w:r>
        <w:rPr>
          <w:rFonts w:hint="eastAsia" w:ascii="Times New Roman" w:hAnsi="Times New Roman" w:eastAsia="宋体" w:cs="Times New Roman"/>
          <w:bCs/>
          <w:color w:val="auto"/>
          <w:sz w:val="24"/>
          <w:highlight w:val="none"/>
          <w:lang w:val="en-US" w:eastAsia="zh-CN"/>
        </w:rPr>
        <w:t>根据《2023年博尔塔拉蒙古自治州“三线一单”生态环境分区管控动态更新成果》（博州环发〔2024〕16号），本项目所在单元为“精河县一般管控单元1（ZH65272230001）”。</w:t>
      </w:r>
      <w:r>
        <w:rPr>
          <w:rFonts w:hint="eastAsia" w:cs="Times New Roman"/>
          <w:bCs/>
          <w:color w:val="auto"/>
          <w:sz w:val="24"/>
          <w:highlight w:val="none"/>
          <w:lang w:val="en-US" w:eastAsia="zh-CN"/>
        </w:rPr>
        <w:t>具体生态环境分区管控方案如下：</w:t>
      </w:r>
    </w:p>
    <w:p w14:paraId="5BF1D574">
      <w:pPr>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ascii="黑体" w:hAnsi="黑体" w:eastAsia="黑体" w:cs="黑体"/>
          <w:bCs/>
          <w:color w:val="auto"/>
          <w:kern w:val="0"/>
          <w:sz w:val="24"/>
          <w:szCs w:val="24"/>
          <w:highlight w:val="none"/>
          <w:lang w:val="en-US" w:eastAsia="zh-CN" w:bidi="ar"/>
        </w:rPr>
      </w:pPr>
      <w:r>
        <w:rPr>
          <w:rFonts w:hint="eastAsia" w:ascii="黑体" w:hAnsi="黑体" w:eastAsia="黑体" w:cs="黑体"/>
          <w:bCs/>
          <w:color w:val="auto"/>
          <w:kern w:val="0"/>
          <w:sz w:val="24"/>
          <w:szCs w:val="24"/>
          <w:highlight w:val="none"/>
          <w:lang w:val="en-US" w:eastAsia="zh-CN" w:bidi="ar"/>
        </w:rPr>
        <w:t>表4.1-3  生态环境分区管控方案一览表</w:t>
      </w:r>
    </w:p>
    <w:tbl>
      <w:tblPr>
        <w:tblStyle w:val="8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144"/>
        <w:gridCol w:w="2704"/>
        <w:gridCol w:w="1639"/>
        <w:gridCol w:w="1627"/>
        <w:gridCol w:w="1600"/>
      </w:tblGrid>
      <w:tr w14:paraId="4A088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656" w:type="pct"/>
            <w:vAlign w:val="center"/>
          </w:tcPr>
          <w:p w14:paraId="242DE40D">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auto"/>
                <w:kern w:val="0"/>
                <w:sz w:val="21"/>
                <w:szCs w:val="21"/>
                <w:highlight w:val="none"/>
                <w:lang w:val="en-US" w:eastAsia="zh-CN" w:bidi="ar-SA"/>
              </w:rPr>
            </w:pPr>
            <w:r>
              <w:rPr>
                <w:rFonts w:hint="eastAsia" w:ascii="Times New Roman" w:hAnsi="Times New Roman" w:eastAsia="宋体" w:cs="宋体"/>
                <w:b/>
                <w:bCs w:val="0"/>
                <w:color w:val="auto"/>
                <w:kern w:val="0"/>
                <w:sz w:val="21"/>
                <w:szCs w:val="21"/>
                <w:highlight w:val="none"/>
                <w:lang w:val="en-US" w:eastAsia="zh-CN" w:bidi="ar-SA"/>
              </w:rPr>
              <w:t>单元编码</w:t>
            </w:r>
          </w:p>
        </w:tc>
        <w:tc>
          <w:tcPr>
            <w:tcW w:w="1551" w:type="pct"/>
            <w:vAlign w:val="center"/>
          </w:tcPr>
          <w:p w14:paraId="1DBA407A">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auto"/>
                <w:kern w:val="0"/>
                <w:sz w:val="21"/>
                <w:szCs w:val="21"/>
                <w:highlight w:val="none"/>
                <w:lang w:val="en-US" w:eastAsia="zh-CN" w:bidi="ar-SA"/>
              </w:rPr>
            </w:pPr>
            <w:r>
              <w:rPr>
                <w:rFonts w:hint="eastAsia" w:ascii="Times New Roman" w:hAnsi="Times New Roman" w:eastAsia="宋体" w:cs="宋体"/>
                <w:b/>
                <w:bCs w:val="0"/>
                <w:color w:val="auto"/>
                <w:kern w:val="0"/>
                <w:sz w:val="21"/>
                <w:szCs w:val="21"/>
                <w:highlight w:val="none"/>
                <w:lang w:val="en-US" w:eastAsia="zh-CN" w:bidi="ar-SA"/>
              </w:rPr>
              <w:t>单元名称</w:t>
            </w:r>
          </w:p>
        </w:tc>
        <w:tc>
          <w:tcPr>
            <w:tcW w:w="940" w:type="pct"/>
            <w:vAlign w:val="center"/>
          </w:tcPr>
          <w:p w14:paraId="04E1BC1A">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auto"/>
                <w:kern w:val="0"/>
                <w:sz w:val="21"/>
                <w:szCs w:val="21"/>
                <w:highlight w:val="none"/>
                <w:lang w:val="en-US" w:eastAsia="zh-CN" w:bidi="ar-SA"/>
              </w:rPr>
            </w:pPr>
            <w:r>
              <w:rPr>
                <w:rFonts w:hint="eastAsia" w:ascii="Times New Roman" w:hAnsi="Times New Roman" w:eastAsia="宋体" w:cs="宋体"/>
                <w:b/>
                <w:bCs w:val="0"/>
                <w:color w:val="auto"/>
                <w:kern w:val="0"/>
                <w:sz w:val="21"/>
                <w:szCs w:val="21"/>
                <w:highlight w:val="none"/>
                <w:lang w:val="en-US" w:eastAsia="zh-CN" w:bidi="ar-SA"/>
              </w:rPr>
              <w:t>单元属性</w:t>
            </w:r>
          </w:p>
        </w:tc>
        <w:tc>
          <w:tcPr>
            <w:tcW w:w="933" w:type="pct"/>
            <w:vAlign w:val="center"/>
          </w:tcPr>
          <w:p w14:paraId="50D0FBA2">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auto"/>
                <w:kern w:val="0"/>
                <w:sz w:val="21"/>
                <w:szCs w:val="21"/>
                <w:highlight w:val="none"/>
                <w:lang w:val="en-US" w:eastAsia="zh-CN" w:bidi="ar-SA"/>
              </w:rPr>
            </w:pPr>
            <w:r>
              <w:rPr>
                <w:rFonts w:hint="eastAsia" w:ascii="Times New Roman" w:hAnsi="Times New Roman" w:eastAsia="宋体" w:cs="宋体"/>
                <w:b/>
                <w:bCs w:val="0"/>
                <w:color w:val="auto"/>
                <w:kern w:val="0"/>
                <w:sz w:val="21"/>
                <w:szCs w:val="21"/>
                <w:highlight w:val="none"/>
                <w:lang w:val="en-US" w:eastAsia="zh-CN" w:bidi="ar-SA"/>
              </w:rPr>
              <w:t>单元特征</w:t>
            </w:r>
          </w:p>
        </w:tc>
        <w:tc>
          <w:tcPr>
            <w:tcW w:w="918" w:type="pct"/>
            <w:vAlign w:val="center"/>
          </w:tcPr>
          <w:p w14:paraId="2E4C6CD2">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auto"/>
                <w:kern w:val="0"/>
                <w:sz w:val="21"/>
                <w:szCs w:val="21"/>
                <w:highlight w:val="none"/>
                <w:lang w:val="en-US" w:eastAsia="zh-CN" w:bidi="ar-SA"/>
              </w:rPr>
            </w:pPr>
            <w:r>
              <w:rPr>
                <w:rFonts w:hint="eastAsia" w:ascii="Times New Roman" w:hAnsi="Times New Roman" w:eastAsia="宋体" w:cs="宋体"/>
                <w:b/>
                <w:bCs w:val="0"/>
                <w:color w:val="auto"/>
                <w:kern w:val="0"/>
                <w:sz w:val="21"/>
                <w:szCs w:val="21"/>
                <w:highlight w:val="none"/>
                <w:lang w:val="en-US" w:eastAsia="zh-CN" w:bidi="ar-SA"/>
              </w:rPr>
              <w:t>环境要素属性</w:t>
            </w:r>
          </w:p>
        </w:tc>
      </w:tr>
      <w:tr w14:paraId="7F93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656" w:type="pct"/>
            <w:vAlign w:val="center"/>
          </w:tcPr>
          <w:p w14:paraId="2CF6DE79">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lang w:val="en-US" w:eastAsia="zh-CN" w:bidi="ar-SA"/>
              </w:rPr>
              <w:t>ZH65272230001</w:t>
            </w:r>
          </w:p>
        </w:tc>
        <w:tc>
          <w:tcPr>
            <w:tcW w:w="1551" w:type="pct"/>
            <w:vAlign w:val="center"/>
          </w:tcPr>
          <w:p w14:paraId="034143DD">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lang w:val="en-US" w:eastAsia="zh-CN" w:bidi="ar-SA"/>
              </w:rPr>
              <w:t>精河县一般管控单元1</w:t>
            </w:r>
          </w:p>
        </w:tc>
        <w:tc>
          <w:tcPr>
            <w:tcW w:w="940" w:type="pct"/>
            <w:vAlign w:val="center"/>
          </w:tcPr>
          <w:p w14:paraId="73BDB140">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lang w:val="en-US" w:eastAsia="zh-CN" w:bidi="ar-SA"/>
              </w:rPr>
              <w:t>一般管控单元</w:t>
            </w:r>
          </w:p>
        </w:tc>
        <w:tc>
          <w:tcPr>
            <w:tcW w:w="933" w:type="pct"/>
            <w:vAlign w:val="center"/>
          </w:tcPr>
          <w:p w14:paraId="6FD94D24">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0"/>
                <w:sz w:val="21"/>
                <w:szCs w:val="21"/>
                <w:highlight w:val="none"/>
                <w:lang w:val="en-US" w:eastAsia="zh-CN" w:bidi="ar-SA"/>
              </w:rPr>
            </w:pPr>
            <w:r>
              <w:rPr>
                <w:rFonts w:hint="eastAsia" w:ascii="Times New Roman" w:hAnsi="Times New Roman" w:eastAsia="宋体" w:cs="Times New Roman"/>
                <w:bCs/>
                <w:color w:val="auto"/>
                <w:kern w:val="0"/>
                <w:sz w:val="21"/>
                <w:szCs w:val="21"/>
                <w:highlight w:val="none"/>
                <w:lang w:val="en-US" w:eastAsia="zh-CN" w:bidi="ar-SA"/>
              </w:rPr>
              <w:t>——</w:t>
            </w:r>
          </w:p>
        </w:tc>
        <w:tc>
          <w:tcPr>
            <w:tcW w:w="918" w:type="pct"/>
            <w:vAlign w:val="center"/>
          </w:tcPr>
          <w:p w14:paraId="53A57FFB">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0"/>
                <w:sz w:val="21"/>
                <w:szCs w:val="21"/>
                <w:highlight w:val="none"/>
                <w:lang w:val="en-US" w:eastAsia="zh-CN" w:bidi="ar-SA"/>
              </w:rPr>
            </w:pPr>
            <w:r>
              <w:rPr>
                <w:rFonts w:hint="eastAsia" w:ascii="Times New Roman" w:hAnsi="Times New Roman" w:eastAsia="宋体" w:cs="Times New Roman"/>
                <w:bCs/>
                <w:color w:val="auto"/>
                <w:kern w:val="0"/>
                <w:sz w:val="21"/>
                <w:szCs w:val="21"/>
                <w:highlight w:val="none"/>
                <w:lang w:val="en-US" w:eastAsia="zh-CN" w:bidi="ar-SA"/>
              </w:rPr>
              <w:t>——</w:t>
            </w:r>
          </w:p>
        </w:tc>
      </w:tr>
      <w:tr w14:paraId="606A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656" w:type="pct"/>
            <w:vAlign w:val="center"/>
          </w:tcPr>
          <w:p w14:paraId="5C707390">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auto"/>
                <w:kern w:val="0"/>
                <w:sz w:val="21"/>
                <w:szCs w:val="21"/>
                <w:highlight w:val="none"/>
                <w:lang w:val="en-US" w:eastAsia="zh-CN" w:bidi="ar-SA"/>
              </w:rPr>
            </w:pPr>
            <w:r>
              <w:rPr>
                <w:rFonts w:hint="eastAsia" w:ascii="Times New Roman" w:hAnsi="Times New Roman" w:eastAsia="宋体" w:cs="宋体"/>
                <w:b/>
                <w:bCs w:val="0"/>
                <w:color w:val="auto"/>
                <w:kern w:val="0"/>
                <w:sz w:val="21"/>
                <w:szCs w:val="21"/>
                <w:highlight w:val="none"/>
                <w:lang w:val="en-US" w:eastAsia="zh-CN" w:bidi="ar-SA"/>
              </w:rPr>
              <w:t>维度</w:t>
            </w:r>
          </w:p>
        </w:tc>
        <w:tc>
          <w:tcPr>
            <w:tcW w:w="4343" w:type="pct"/>
            <w:gridSpan w:val="4"/>
            <w:vAlign w:val="center"/>
          </w:tcPr>
          <w:p w14:paraId="593C9A09">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auto"/>
                <w:kern w:val="0"/>
                <w:sz w:val="21"/>
                <w:szCs w:val="21"/>
                <w:highlight w:val="none"/>
                <w:lang w:val="en-US" w:eastAsia="zh-CN" w:bidi="ar-SA"/>
              </w:rPr>
            </w:pPr>
            <w:r>
              <w:rPr>
                <w:rFonts w:hint="eastAsia" w:ascii="Times New Roman" w:hAnsi="Times New Roman" w:eastAsia="宋体" w:cs="宋体"/>
                <w:b/>
                <w:bCs w:val="0"/>
                <w:color w:val="auto"/>
                <w:kern w:val="0"/>
                <w:sz w:val="21"/>
                <w:szCs w:val="21"/>
                <w:highlight w:val="none"/>
                <w:lang w:val="en-US" w:eastAsia="zh-CN" w:bidi="ar-SA"/>
              </w:rPr>
              <w:t>管控要求</w:t>
            </w:r>
          </w:p>
        </w:tc>
      </w:tr>
      <w:tr w14:paraId="7887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656" w:type="pct"/>
            <w:vAlign w:val="center"/>
          </w:tcPr>
          <w:p w14:paraId="078FFF68">
            <w:pPr>
              <w:keepNext w:val="0"/>
              <w:keepLines w:val="0"/>
              <w:widowControl w:val="0"/>
              <w:suppressLineNumbers w:val="0"/>
              <w:spacing w:before="0" w:beforeAutospacing="0" w:after="0" w:afterAutospacing="0" w:line="240" w:lineRule="auto"/>
              <w:ind w:left="0" w:right="0" w:firstLine="0" w:firstLineChars="0"/>
              <w:jc w:val="center"/>
              <w:rPr>
                <w:rFonts w:hint="eastAsia" w:ascii="Times New Roman" w:hAnsi="Times New Roman" w:eastAsia="宋体" w:cs="宋体"/>
                <w:b/>
                <w:bCs w:val="0"/>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空间布局约束</w:t>
            </w:r>
          </w:p>
        </w:tc>
        <w:tc>
          <w:tcPr>
            <w:tcW w:w="4343" w:type="pct"/>
            <w:gridSpan w:val="4"/>
            <w:vAlign w:val="center"/>
          </w:tcPr>
          <w:p w14:paraId="6F849064">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宋体"/>
                <w:b w:val="0"/>
                <w:bCs/>
                <w:color w:val="auto"/>
                <w:kern w:val="0"/>
                <w:sz w:val="21"/>
                <w:szCs w:val="21"/>
                <w:highlight w:val="none"/>
                <w:lang w:val="en-US" w:eastAsia="zh-CN" w:bidi="ar-SA"/>
              </w:rPr>
            </w:pPr>
            <w:r>
              <w:rPr>
                <w:rFonts w:hint="default" w:ascii="Times New Roman" w:hAnsi="Times New Roman" w:eastAsia="宋体" w:cs="宋体"/>
                <w:b w:val="0"/>
                <w:bCs/>
                <w:color w:val="auto"/>
                <w:kern w:val="0"/>
                <w:sz w:val="21"/>
                <w:szCs w:val="21"/>
                <w:highlight w:val="none"/>
                <w:lang w:val="en-US" w:eastAsia="zh-CN" w:bidi="ar-SA"/>
              </w:rPr>
              <w:t>1.对博罗科努山草原等重要水源涵养地实施草场阶段性禁牧，其他地区实行季节性休牧、划区轮牧。</w:t>
            </w:r>
          </w:p>
          <w:p w14:paraId="09A11870">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宋体"/>
                <w:b w:val="0"/>
                <w:bCs/>
                <w:color w:val="auto"/>
                <w:kern w:val="0"/>
                <w:sz w:val="21"/>
                <w:szCs w:val="21"/>
                <w:highlight w:val="none"/>
                <w:lang w:val="en-US" w:eastAsia="zh-CN" w:bidi="ar-SA"/>
              </w:rPr>
            </w:pPr>
            <w:r>
              <w:rPr>
                <w:rFonts w:hint="default" w:ascii="Times New Roman" w:hAnsi="Times New Roman" w:eastAsia="宋体" w:cs="宋体"/>
                <w:b w:val="0"/>
                <w:bCs/>
                <w:color w:val="auto"/>
                <w:kern w:val="0"/>
                <w:sz w:val="21"/>
                <w:szCs w:val="21"/>
                <w:highlight w:val="none"/>
                <w:lang w:val="en-US" w:eastAsia="zh-CN" w:bidi="ar-SA"/>
              </w:rPr>
              <w:t>2.严格执行空间布局约束。限制进行大规模高强度工业化城镇化开发，严格控制金属冶炼、石油化工、焦化等“高污染、高环境风险产品”工业项目，原则上不增加产能，现有“高污染、高环境风险产品”工业项目持续削减污染物排放总量并严格控制环境风险。原则上禁止建设涉及一类重金属、持久性有机污染物排放的工业项目。建立集镇居住商业区、耕地保护区与工业功能区等集聚区块之间的防护带。严格执行畜禽养殖禁养区规定，根据区域用地和消纳水平，合理确定养殖规模。加强基本农田保护，严格限制非农项目占用耕地。</w:t>
            </w:r>
          </w:p>
          <w:p w14:paraId="62FA46DB">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宋体"/>
                <w:b w:val="0"/>
                <w:bCs/>
                <w:color w:val="auto"/>
                <w:kern w:val="0"/>
                <w:sz w:val="21"/>
                <w:szCs w:val="21"/>
                <w:highlight w:val="none"/>
                <w:lang w:val="en-US" w:eastAsia="zh-CN" w:bidi="ar-SA"/>
              </w:rPr>
            </w:pPr>
            <w:r>
              <w:rPr>
                <w:rFonts w:hint="default" w:ascii="Times New Roman" w:hAnsi="Times New Roman" w:eastAsia="宋体" w:cs="宋体"/>
                <w:b w:val="0"/>
                <w:bCs/>
                <w:color w:val="auto"/>
                <w:kern w:val="0"/>
                <w:sz w:val="21"/>
                <w:szCs w:val="21"/>
                <w:highlight w:val="none"/>
                <w:lang w:val="en-US" w:eastAsia="zh-CN" w:bidi="ar-SA"/>
              </w:rPr>
              <w:t>3.严格执行污染物排放管控要求。（1）加强农业面源污染治理，严格控制化肥农药施加量，逐步削减农业面源污染物排放量。（2）到2025年，生态环境持续改善，主要污染物排放总量持续下降，单位地区生产总值二氧化碳排放完成国家下达指标。（3）重污染天气明显减少。城市黑臭水体基本消除。城镇生活污水处理率达到97%以上、城镇生活垃圾无害化处理率保持在98%以上，农村生活污水治理率达到30%左右，土壤污染风险得到有效管控，固体废物和新污染物治理能力明显增强，生态系统质量和稳定性持续提升，生态环境治理体系更加完善，生态文明建设实现新进步。（4）到2035年，生态环境根本好转，广泛形成绿色生产生活方式</w:t>
            </w:r>
            <w:r>
              <w:rPr>
                <w:rFonts w:hint="eastAsia" w:ascii="Times New Roman" w:hAnsi="Times New Roman" w:eastAsia="宋体" w:cs="宋体"/>
                <w:b w:val="0"/>
                <w:bCs/>
                <w:color w:val="auto"/>
                <w:kern w:val="0"/>
                <w:sz w:val="21"/>
                <w:szCs w:val="21"/>
                <w:highlight w:val="none"/>
                <w:lang w:val="en-US" w:eastAsia="zh-CN" w:bidi="ar-SA"/>
              </w:rPr>
              <w:t>。</w:t>
            </w:r>
          </w:p>
          <w:p w14:paraId="6B0E9345">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宋体"/>
                <w:b w:val="0"/>
                <w:bCs/>
                <w:color w:val="auto"/>
                <w:kern w:val="0"/>
                <w:sz w:val="21"/>
                <w:szCs w:val="21"/>
                <w:highlight w:val="none"/>
                <w:lang w:val="en-US" w:eastAsia="zh-CN" w:bidi="ar-SA"/>
              </w:rPr>
            </w:pPr>
            <w:r>
              <w:rPr>
                <w:rFonts w:hint="default" w:ascii="Times New Roman" w:hAnsi="Times New Roman" w:eastAsia="宋体" w:cs="宋体"/>
                <w:b w:val="0"/>
                <w:bCs/>
                <w:color w:val="auto"/>
                <w:kern w:val="0"/>
                <w:sz w:val="21"/>
                <w:szCs w:val="21"/>
                <w:highlight w:val="none"/>
                <w:lang w:val="en-US" w:eastAsia="zh-CN" w:bidi="ar-SA"/>
              </w:rPr>
              <w:t>4.落实环境风险防控要求。</w:t>
            </w:r>
          </w:p>
          <w:p w14:paraId="600B44F7">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宋体"/>
                <w:b w:val="0"/>
                <w:bCs/>
                <w:color w:val="auto"/>
                <w:kern w:val="0"/>
                <w:sz w:val="21"/>
                <w:szCs w:val="21"/>
                <w:highlight w:val="none"/>
                <w:lang w:val="en-US" w:eastAsia="zh-CN" w:bidi="ar-SA"/>
              </w:rPr>
            </w:pPr>
            <w:r>
              <w:rPr>
                <w:rFonts w:hint="default" w:ascii="Times New Roman" w:hAnsi="Times New Roman" w:eastAsia="宋体" w:cs="宋体"/>
                <w:b w:val="0"/>
                <w:bCs/>
                <w:color w:val="auto"/>
                <w:kern w:val="0"/>
                <w:sz w:val="21"/>
                <w:szCs w:val="21"/>
                <w:highlight w:val="none"/>
                <w:lang w:val="en-US" w:eastAsia="zh-CN" w:bidi="ar-SA"/>
              </w:rPr>
              <w:t>（1）加强生态公益林保护与建设，防止水土流失。禁止向农用地排放重金属或者其他有毒有害物质含量超标的污水、污泥，以及可能造成土壤污染的尾矿、矿渣等。加强农田土壤、灌溉水的监测及评价，对周边或区域环境风险源进行评估。（2）统筹农村河湖管控与生态治理保护，深入开展河湖监督检查，强化河长湖长履职尽责，严厉打击河道乱占、乱采、乱堆、乱建等违法违规行为。建立健全促进水质改善的长效运行维护机制。</w:t>
            </w:r>
          </w:p>
          <w:p w14:paraId="56D5F72A">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宋体"/>
                <w:b w:val="0"/>
                <w:bCs/>
                <w:color w:val="auto"/>
                <w:kern w:val="0"/>
                <w:sz w:val="21"/>
                <w:szCs w:val="21"/>
                <w:highlight w:val="none"/>
                <w:lang w:val="en-US" w:eastAsia="zh-CN" w:bidi="ar-SA"/>
              </w:rPr>
            </w:pPr>
            <w:r>
              <w:rPr>
                <w:rFonts w:hint="default" w:ascii="Times New Roman" w:hAnsi="Times New Roman" w:eastAsia="宋体" w:cs="宋体"/>
                <w:b w:val="0"/>
                <w:bCs/>
                <w:color w:val="auto"/>
                <w:kern w:val="0"/>
                <w:sz w:val="21"/>
                <w:szCs w:val="21"/>
                <w:highlight w:val="none"/>
                <w:lang w:val="en-US" w:eastAsia="zh-CN" w:bidi="ar-SA"/>
              </w:rPr>
              <w:t>5.执行资源利用管控要求。</w:t>
            </w:r>
          </w:p>
          <w:p w14:paraId="238B0143">
            <w:pPr>
              <w:keepNext w:val="0"/>
              <w:keepLines w:val="0"/>
              <w:widowControl w:val="0"/>
              <w:suppressLineNumbers w:val="0"/>
              <w:spacing w:before="0" w:beforeAutospacing="0" w:after="0" w:afterAutospacing="0" w:line="240" w:lineRule="auto"/>
              <w:ind w:left="0" w:right="0" w:firstLine="0" w:firstLineChars="0"/>
              <w:jc w:val="both"/>
              <w:rPr>
                <w:rFonts w:hint="eastAsia" w:ascii="Times New Roman" w:hAnsi="Times New Roman" w:eastAsia="宋体" w:cs="宋体"/>
                <w:b w:val="0"/>
                <w:bCs/>
                <w:color w:val="auto"/>
                <w:kern w:val="0"/>
                <w:sz w:val="21"/>
                <w:szCs w:val="21"/>
                <w:highlight w:val="none"/>
                <w:lang w:val="en-US" w:eastAsia="zh-CN" w:bidi="ar-SA"/>
              </w:rPr>
            </w:pPr>
            <w:r>
              <w:rPr>
                <w:rFonts w:hint="default" w:ascii="Times New Roman" w:hAnsi="Times New Roman" w:eastAsia="宋体" w:cs="宋体"/>
                <w:b w:val="0"/>
                <w:bCs/>
                <w:color w:val="auto"/>
                <w:kern w:val="0"/>
                <w:sz w:val="21"/>
                <w:szCs w:val="21"/>
                <w:highlight w:val="none"/>
                <w:lang w:val="en-US" w:eastAsia="zh-CN" w:bidi="ar-SA"/>
              </w:rPr>
              <w:t>（1）实行水资源消耗总量和强度双控，推进农业节水，提高农业用水效率。优化能源结构，加强能源清洁利用。（2）实施节水行动，强化农业节水增效、工业节水减排、城镇节水降损。推进污水资源化利用，到2025年城镇生活污水再生利用率力争达到60%。（3）壮大清洁能源产业，加快非化石能源发展，实施绿电替代，优化用能结构，到2025年非化石能源消费比重提高到18%左右。推进大型清洁能源基地建设，积极开发分布式太阳能发电和分散式风电。积极推动储能产业进步，推进抽水蓄能电站建设，加快新型储能技术和模式示范推广应用。持续完善750千伏骨干电网及农村电网建设，积极发展可再生能源微电网、局域网，提高可再生能源的推广和消纳能力。（4）严格保护优先保护类农用地，确保其面积不减少、土壤环境质量不下降。加强耕地污染源源头控制，推进耕地周边涉镉等重金属行业企业排查整治。鼓励采取种植结构调整等措施，确保受污染耕地全部实现安全利用。动态调整耕地土壤环境质量类别</w:t>
            </w:r>
            <w:r>
              <w:rPr>
                <w:rFonts w:hint="eastAsia" w:ascii="Times New Roman" w:hAnsi="Times New Roman" w:eastAsia="宋体" w:cs="宋体"/>
                <w:b w:val="0"/>
                <w:bCs/>
                <w:color w:val="auto"/>
                <w:kern w:val="0"/>
                <w:sz w:val="21"/>
                <w:szCs w:val="21"/>
                <w:highlight w:val="none"/>
                <w:lang w:val="en-US" w:eastAsia="zh-CN" w:bidi="ar-SA"/>
              </w:rPr>
              <w:t>。</w:t>
            </w:r>
          </w:p>
        </w:tc>
      </w:tr>
      <w:tr w14:paraId="1C5F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656" w:type="pct"/>
            <w:vAlign w:val="center"/>
          </w:tcPr>
          <w:p w14:paraId="638FAEFC">
            <w:pPr>
              <w:keepNext w:val="0"/>
              <w:keepLines w:val="0"/>
              <w:widowControl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污染物排放管控</w:t>
            </w:r>
          </w:p>
        </w:tc>
        <w:tc>
          <w:tcPr>
            <w:tcW w:w="4343" w:type="pct"/>
            <w:gridSpan w:val="4"/>
            <w:vAlign w:val="center"/>
          </w:tcPr>
          <w:p w14:paraId="0827A23F">
            <w:pPr>
              <w:keepNext w:val="0"/>
              <w:keepLines w:val="0"/>
              <w:widowControl w:val="0"/>
              <w:suppressLineNumbers w:val="0"/>
              <w:spacing w:before="0" w:beforeAutospacing="0" w:after="0" w:afterAutospacing="0" w:line="240" w:lineRule="auto"/>
              <w:ind w:left="0" w:right="0" w:firstLine="0" w:firstLineChars="0"/>
              <w:jc w:val="both"/>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1.单元内向环境中排放污染物的项目，应符合国家或地方污染物排放标准及重点污染物总量控制要求，有行业排放标准的执行行业标准，无行业排放标准的执行综合排放标准。</w:t>
            </w:r>
          </w:p>
          <w:p w14:paraId="08984673">
            <w:pPr>
              <w:keepNext w:val="0"/>
              <w:keepLines w:val="0"/>
              <w:widowControl w:val="0"/>
              <w:suppressLineNumbers w:val="0"/>
              <w:spacing w:before="0" w:beforeAutospacing="0" w:after="0" w:afterAutospacing="0" w:line="240" w:lineRule="auto"/>
              <w:ind w:left="0" w:right="0" w:firstLine="0" w:firstLineChars="0"/>
              <w:jc w:val="both"/>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2.加强尾矿库监督监管。加强涉重金属行业污染防控。加强工业废物处理处置。</w:t>
            </w:r>
          </w:p>
          <w:p w14:paraId="4FAA58E0">
            <w:pPr>
              <w:keepNext w:val="0"/>
              <w:keepLines w:val="0"/>
              <w:widowControl w:val="0"/>
              <w:suppressLineNumbers w:val="0"/>
              <w:spacing w:before="0" w:beforeAutospacing="0" w:after="0" w:afterAutospacing="0" w:line="240" w:lineRule="auto"/>
              <w:ind w:left="0" w:right="0" w:firstLine="0" w:firstLineChars="0"/>
              <w:jc w:val="both"/>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3.对矿坑废水、选矿废水等进行处理，回用于露天采区洒水、道路洒水等，禁止直接排入区域内任何地表水体。</w:t>
            </w:r>
          </w:p>
        </w:tc>
      </w:tr>
      <w:tr w14:paraId="5990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656" w:type="pct"/>
            <w:vAlign w:val="center"/>
          </w:tcPr>
          <w:p w14:paraId="6B75E3BA">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环境风险防控</w:t>
            </w:r>
          </w:p>
        </w:tc>
        <w:tc>
          <w:tcPr>
            <w:tcW w:w="4343" w:type="pct"/>
            <w:gridSpan w:val="4"/>
            <w:vAlign w:val="center"/>
          </w:tcPr>
          <w:p w14:paraId="772D8149">
            <w:pPr>
              <w:keepNext w:val="0"/>
              <w:keepLines w:val="0"/>
              <w:widowControl w:val="0"/>
              <w:suppressLineNumbers w:val="0"/>
              <w:spacing w:before="0" w:beforeAutospacing="0" w:after="0" w:afterAutospacing="0" w:line="240" w:lineRule="auto"/>
              <w:ind w:left="0" w:right="0" w:firstLine="0" w:firstLineChars="0"/>
              <w:jc w:val="both"/>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1.加强生态公益林保护与建设，防止水土流失。禁止向农用地排放重金属或者其他有毒有害物质含量超标的污水、污泥，以及可能造成土壤污染的尾矿、矿渣等。加强农田土壤、灌溉水的监测及评价，对周边或区域环境风险源进行评估。</w:t>
            </w:r>
          </w:p>
          <w:p w14:paraId="7372AF4B">
            <w:pPr>
              <w:keepNext w:val="0"/>
              <w:keepLines w:val="0"/>
              <w:widowControl w:val="0"/>
              <w:suppressLineNumbers w:val="0"/>
              <w:spacing w:before="0" w:beforeAutospacing="0" w:after="0" w:afterAutospacing="0" w:line="240" w:lineRule="auto"/>
              <w:ind w:left="0" w:right="0" w:firstLine="0" w:firstLineChars="0"/>
              <w:jc w:val="both"/>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2.统筹农村河湖管控与生态治理保护，深入开展河湖监督检查，强化河长湖长履职尽责，严厉打击河道乱占、乱采、乱堆、乱建等违法违规行为。建立健全促进水质改善的长效运行维护机制。</w:t>
            </w:r>
          </w:p>
          <w:p w14:paraId="274A4C15">
            <w:pPr>
              <w:keepNext w:val="0"/>
              <w:keepLines w:val="0"/>
              <w:widowControl w:val="0"/>
              <w:suppressLineNumbers w:val="0"/>
              <w:spacing w:before="0" w:beforeAutospacing="0" w:after="0" w:afterAutospacing="0" w:line="240" w:lineRule="auto"/>
              <w:ind w:left="0" w:right="0" w:firstLine="0" w:firstLineChars="0"/>
              <w:jc w:val="both"/>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3.产生、利用或处置固体废物的采矿区、塑料加工等企业，在贮存、转移、利用、处置固体废物过程中，应配套防扬散、防流失、防渗漏及其他防止污染环境的措施。</w:t>
            </w:r>
          </w:p>
        </w:tc>
      </w:tr>
      <w:tr w14:paraId="54CB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656" w:type="pct"/>
            <w:vAlign w:val="center"/>
          </w:tcPr>
          <w:p w14:paraId="1E59A57F">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b w:val="0"/>
                <w:bCs/>
                <w:color w:val="auto"/>
                <w:kern w:val="0"/>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bidi="ar-SA"/>
              </w:rPr>
              <w:t>资源利用效率</w:t>
            </w:r>
          </w:p>
        </w:tc>
        <w:tc>
          <w:tcPr>
            <w:tcW w:w="4343" w:type="pct"/>
            <w:gridSpan w:val="4"/>
            <w:vAlign w:val="center"/>
          </w:tcPr>
          <w:p w14:paraId="4F6816F8">
            <w:pPr>
              <w:keepNext w:val="0"/>
              <w:keepLines w:val="0"/>
              <w:widowControl w:val="0"/>
              <w:suppressLineNumbers w:val="0"/>
              <w:spacing w:before="0" w:beforeAutospacing="0" w:after="0" w:afterAutospacing="0" w:line="240" w:lineRule="auto"/>
              <w:ind w:left="0" w:right="0" w:firstLine="0" w:firstLineChars="0"/>
              <w:jc w:val="both"/>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1.到2030年，自治州农田灌溉水有效利用系数提高到0.64。</w:t>
            </w:r>
          </w:p>
          <w:p w14:paraId="4652441A">
            <w:pPr>
              <w:keepNext w:val="0"/>
              <w:keepLines w:val="0"/>
              <w:widowControl w:val="0"/>
              <w:suppressLineNumbers w:val="0"/>
              <w:spacing w:before="0" w:beforeAutospacing="0" w:after="0" w:afterAutospacing="0" w:line="240" w:lineRule="auto"/>
              <w:ind w:left="0" w:right="0" w:firstLine="0" w:firstLineChars="0"/>
              <w:jc w:val="both"/>
              <w:rPr>
                <w:rFonts w:hint="eastAsia" w:ascii="Times New Roman" w:hAnsi="Times New Roman" w:eastAsia="宋体" w:cs="宋体"/>
                <w:b w:val="0"/>
                <w:bCs/>
                <w:color w:val="auto"/>
                <w:kern w:val="0"/>
                <w:sz w:val="21"/>
                <w:szCs w:val="21"/>
                <w:highlight w:val="none"/>
                <w:lang w:val="en-US" w:eastAsia="zh-CN" w:bidi="ar-SA"/>
              </w:rPr>
            </w:pPr>
            <w:r>
              <w:rPr>
                <w:rFonts w:hint="eastAsia" w:ascii="Times New Roman" w:hAnsi="Times New Roman" w:eastAsia="宋体" w:cs="宋体"/>
                <w:b w:val="0"/>
                <w:bCs/>
                <w:color w:val="auto"/>
                <w:kern w:val="0"/>
                <w:sz w:val="21"/>
                <w:szCs w:val="21"/>
                <w:highlight w:val="none"/>
                <w:lang w:val="en-US" w:eastAsia="zh-CN" w:bidi="ar-SA"/>
              </w:rPr>
              <w:t>2.到2025年，农田灌溉水有效利用系数提高到0.63。到2030年，农田灌溉水有效利用系数提高到0.64。</w:t>
            </w:r>
          </w:p>
        </w:tc>
      </w:tr>
    </w:tbl>
    <w:p w14:paraId="1E480B0F">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区域内主要环境敏感区</w:t>
      </w:r>
    </w:p>
    <w:p w14:paraId="0456E688">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艾比湖湿地国家级自然保护区</w:t>
      </w:r>
    </w:p>
    <w:p w14:paraId="4DA68353">
      <w:pPr>
        <w:pStyle w:val="133"/>
        <w:pageBreakBefore w:val="0"/>
        <w:kinsoku/>
        <w:wordWrap/>
        <w:overflowPunct/>
        <w:bidi w:val="0"/>
        <w:rPr>
          <w:rFonts w:hint="eastAsia"/>
          <w:color w:val="auto"/>
          <w:sz w:val="24"/>
          <w:szCs w:val="20"/>
          <w:highlight w:val="none"/>
          <w:lang w:val="en-US" w:eastAsia="zh-CN"/>
        </w:rPr>
      </w:pPr>
      <w:r>
        <w:rPr>
          <w:rFonts w:hint="eastAsia"/>
          <w:color w:val="auto"/>
          <w:sz w:val="24"/>
          <w:szCs w:val="20"/>
          <w:highlight w:val="none"/>
          <w:lang w:val="en-US" w:eastAsia="zh-CN"/>
        </w:rPr>
        <w:t>经核查，本项目东北距艾比湖湖区约23km、北距艾比湖湿地鸟类重要停歇地约18km、东北距艾比湖湿地国家级自然保护区约10.8km。本项目占地范围、本场空域及生态评价范围与上述区域均无交叠。</w:t>
      </w:r>
    </w:p>
    <w:p w14:paraId="7C1B2644">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新疆甘家湖梭梭林国家级自然保护区</w:t>
      </w:r>
    </w:p>
    <w:p w14:paraId="58D52D8C">
      <w:pPr>
        <w:pStyle w:val="133"/>
        <w:pageBreakBefore w:val="0"/>
        <w:kinsoku/>
        <w:wordWrap/>
        <w:overflowPunct/>
        <w:bidi w:val="0"/>
        <w:rPr>
          <w:rFonts w:hint="eastAsia"/>
          <w:color w:val="auto"/>
          <w:sz w:val="24"/>
          <w:szCs w:val="20"/>
          <w:highlight w:val="none"/>
          <w:lang w:val="en-US" w:eastAsia="zh-CN"/>
        </w:rPr>
      </w:pPr>
      <w:r>
        <w:rPr>
          <w:rFonts w:hint="eastAsia"/>
          <w:color w:val="auto"/>
          <w:sz w:val="24"/>
          <w:szCs w:val="20"/>
          <w:highlight w:val="none"/>
          <w:lang w:val="en-US" w:eastAsia="zh-CN"/>
        </w:rPr>
        <w:t>根据核查，本项目不占用新疆甘家湖梭梭林国家级自然保护区，在本项目东北约51.8km处。</w:t>
      </w:r>
    </w:p>
    <w:p w14:paraId="3F7E4B78">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永久基本农田</w:t>
      </w:r>
    </w:p>
    <w:p w14:paraId="4AE8C2FC">
      <w:pPr>
        <w:pStyle w:val="133"/>
        <w:pageBreakBefore w:val="0"/>
        <w:kinsoku/>
        <w:wordWrap/>
        <w:overflowPunct/>
        <w:bidi w:val="0"/>
        <w:rPr>
          <w:rFonts w:hint="eastAsia"/>
          <w:color w:val="auto"/>
          <w:sz w:val="24"/>
          <w:szCs w:val="20"/>
          <w:highlight w:val="none"/>
          <w:lang w:val="en-US" w:eastAsia="zh-CN"/>
        </w:rPr>
      </w:pPr>
      <w:r>
        <w:rPr>
          <w:rFonts w:hint="eastAsia"/>
          <w:color w:val="auto"/>
          <w:sz w:val="24"/>
          <w:szCs w:val="20"/>
          <w:highlight w:val="none"/>
          <w:lang w:val="en-US" w:eastAsia="zh-CN"/>
        </w:rPr>
        <w:t>永久基本农田（</w:t>
      </w:r>
      <w:r>
        <w:rPr>
          <w:rFonts w:hint="eastAsia"/>
          <w:i/>
          <w:iCs/>
          <w:color w:val="auto"/>
          <w:sz w:val="24"/>
          <w:szCs w:val="20"/>
          <w:highlight w:val="none"/>
          <w:lang w:val="en-US" w:eastAsia="zh-CN"/>
        </w:rPr>
        <w:t>permanent basic farmland</w:t>
      </w:r>
      <w:r>
        <w:rPr>
          <w:rFonts w:hint="eastAsia"/>
          <w:color w:val="auto"/>
          <w:sz w:val="24"/>
          <w:szCs w:val="20"/>
          <w:highlight w:val="none"/>
          <w:lang w:val="en-US" w:eastAsia="zh-CN"/>
        </w:rPr>
        <w:t>）是指为确保国家粮食安全，按照一定时期人口和经济社会发展对农产品的需求，依据国土空间规划确定的不得擅自占用或者改变用途，实行永久保护、特殊保护的耕地。至2023年，中国耕地和永久基本农田面积分别保持在18.65亿亩和15.46亿亩以上。永久基本农田是耕地的精华，划定永久基本农田并实行特殊保护是耕地保护工作的重中之重，是国家意志、刚性约束。全面划定永久基本农田是保障国家粮食安全、提高粮食综合生产能力的重大举措，是推动节约集约用地、促进生态文明建设的重要途径，是推动农村发展和农业现代化建设、维护农民权益的重要保障。</w:t>
      </w:r>
    </w:p>
    <w:p w14:paraId="1680A572">
      <w:pPr>
        <w:pStyle w:val="133"/>
        <w:pageBreakBefore w:val="0"/>
        <w:kinsoku/>
        <w:wordWrap/>
        <w:overflowPunct/>
        <w:bidi w:val="0"/>
        <w:rPr>
          <w:rFonts w:hint="eastAsia"/>
          <w:color w:val="auto"/>
          <w:sz w:val="24"/>
          <w:szCs w:val="20"/>
          <w:highlight w:val="none"/>
          <w:lang w:val="en-US" w:eastAsia="zh-CN"/>
        </w:rPr>
      </w:pPr>
      <w:r>
        <w:rPr>
          <w:rFonts w:hint="eastAsia"/>
          <w:color w:val="auto"/>
          <w:sz w:val="24"/>
          <w:szCs w:val="20"/>
          <w:highlight w:val="none"/>
          <w:lang w:val="en-US" w:eastAsia="zh-CN"/>
        </w:rPr>
        <w:t>从生产功能来看，划定一定数量的基本农田实行永久保护，是保证粮食生产、保障粮食安全、促进农业现代化发展的根本；从空间功能来看，永久基本农田一经划定，不得随意调整、占用，这条“红线”将引导各地探索串联式、组团式、卫星城式的新型城镇化发展道路，逐步形成合理的空间开发格局；从生态功能来看，永久基本农田是自然生态特别是农业生态系统的重要组成部分，发挥着湿地、绿地、景观等多种生态功能，是生态文明建设的需要。</w:t>
      </w:r>
    </w:p>
    <w:p w14:paraId="377A1C80">
      <w:pPr>
        <w:pStyle w:val="133"/>
        <w:pageBreakBefore w:val="0"/>
        <w:kinsoku/>
        <w:wordWrap/>
        <w:overflowPunct/>
        <w:bidi w:val="0"/>
        <w:rPr>
          <w:rFonts w:hint="eastAsia"/>
          <w:color w:val="auto"/>
          <w:sz w:val="24"/>
          <w:szCs w:val="20"/>
          <w:highlight w:val="none"/>
          <w:lang w:val="en-US" w:eastAsia="zh-CN"/>
        </w:rPr>
      </w:pPr>
      <w:r>
        <w:rPr>
          <w:rFonts w:hint="eastAsia"/>
          <w:color w:val="auto"/>
          <w:sz w:val="24"/>
          <w:szCs w:val="20"/>
          <w:highlight w:val="none"/>
          <w:lang w:val="en-US" w:eastAsia="zh-CN"/>
        </w:rPr>
        <w:t>根据核查，本项目不占用永久基本农田。</w:t>
      </w:r>
    </w:p>
    <w:p w14:paraId="1734644A">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天山北坡诸小河流域</w:t>
      </w:r>
      <w:r>
        <w:rPr>
          <w:rFonts w:hint="eastAsia" w:cs="Times New Roman"/>
          <w:b/>
          <w:bCs/>
          <w:color w:val="auto"/>
          <w:kern w:val="2"/>
          <w:sz w:val="24"/>
          <w:szCs w:val="24"/>
          <w:highlight w:val="none"/>
          <w:lang w:val="en-US" w:eastAsia="zh-CN" w:bidi="ar-SA"/>
        </w:rPr>
        <w:t>水土流失</w:t>
      </w:r>
      <w:r>
        <w:rPr>
          <w:rFonts w:hint="eastAsia" w:ascii="Times New Roman" w:hAnsi="Times New Roman" w:eastAsia="宋体" w:cs="Times New Roman"/>
          <w:b/>
          <w:bCs/>
          <w:color w:val="auto"/>
          <w:kern w:val="2"/>
          <w:sz w:val="24"/>
          <w:szCs w:val="24"/>
          <w:highlight w:val="none"/>
          <w:lang w:val="en-US" w:eastAsia="zh-CN" w:bidi="ar-SA"/>
        </w:rPr>
        <w:t>重点治理区</w:t>
      </w:r>
    </w:p>
    <w:p w14:paraId="5E3A4F9B">
      <w:pPr>
        <w:pStyle w:val="133"/>
        <w:pageBreakBefore w:val="0"/>
        <w:kinsoku/>
        <w:wordWrap/>
        <w:overflowPunct/>
        <w:bidi w:val="0"/>
        <w:rPr>
          <w:rFonts w:hint="eastAsia"/>
          <w:color w:val="auto"/>
          <w:sz w:val="24"/>
          <w:szCs w:val="20"/>
          <w:highlight w:val="none"/>
          <w:lang w:val="en-US" w:eastAsia="zh-CN"/>
        </w:rPr>
      </w:pPr>
      <w:r>
        <w:rPr>
          <w:rFonts w:hint="eastAsia"/>
          <w:color w:val="auto"/>
          <w:sz w:val="24"/>
          <w:szCs w:val="20"/>
          <w:highlight w:val="none"/>
          <w:lang w:val="en-US" w:eastAsia="zh-CN"/>
        </w:rPr>
        <w:t>根据新疆水利水电科学研究院完成的《新疆维吾尔自治区水土流失重点预防区和重点治理区复核划分技术报告》（2017年8月），全疆共划分了2个自治区级重点预防区，4个自治区级重点治理区。其中重点预防区面积19615.9km²，包括天山山区重点预防区、塔里木河中上游重点预防区；重点治理区面积283963km</w:t>
      </w:r>
      <w:r>
        <w:rPr>
          <w:rFonts w:hint="eastAsia"/>
          <w:color w:val="auto"/>
          <w:sz w:val="24"/>
          <w:szCs w:val="20"/>
          <w:highlight w:val="none"/>
          <w:vertAlign w:val="superscript"/>
          <w:lang w:val="en-US" w:eastAsia="zh-CN"/>
        </w:rPr>
        <w:t>2</w:t>
      </w:r>
      <w:r>
        <w:rPr>
          <w:rFonts w:hint="eastAsia"/>
          <w:color w:val="auto"/>
          <w:sz w:val="24"/>
          <w:szCs w:val="20"/>
          <w:highlight w:val="none"/>
          <w:lang w:val="en-US" w:eastAsia="zh-CN"/>
        </w:rPr>
        <w:t>，包括额尔齐斯河流域重点治理区、天山北坡诸小河流域重点治理区、塔里木河流域重点治理区、伊犁河流域重点治理区。其中项目所在的精河县属天山北坡诸小河流域水土流失重点治理区。</w:t>
      </w:r>
    </w:p>
    <w:p w14:paraId="3CE7F62F">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生态保护红线</w:t>
      </w:r>
    </w:p>
    <w:p w14:paraId="21ABCC47">
      <w:pPr>
        <w:pStyle w:val="133"/>
        <w:pageBreakBefore w:val="0"/>
        <w:kinsoku/>
        <w:wordWrap/>
        <w:overflowPunct/>
        <w:bidi w:val="0"/>
        <w:rPr>
          <w:rFonts w:hint="eastAsia"/>
          <w:color w:val="auto"/>
          <w:sz w:val="24"/>
          <w:szCs w:val="20"/>
          <w:highlight w:val="none"/>
          <w:lang w:val="en-US" w:eastAsia="zh-CN"/>
        </w:rPr>
      </w:pPr>
      <w:r>
        <w:rPr>
          <w:rFonts w:hint="eastAsia"/>
          <w:color w:val="auto"/>
          <w:sz w:val="24"/>
          <w:szCs w:val="20"/>
          <w:highlight w:val="none"/>
          <w:lang w:val="en-US" w:eastAsia="zh-CN"/>
        </w:rPr>
        <w:t>生态保护红线指在生态空间范围内具有特殊重要生态功能、必须强制性严格保护的区域，是保障和维护国家生态安全的底线和生命线，通常包括具有重要水源涵养、生物多样性维护、水土保持、防风固沙等功能的生态功能重要区域，以及水土流失、土地沙化、石漠化、盐渍化等生态敏感脆弱区域。</w:t>
      </w:r>
    </w:p>
    <w:p w14:paraId="18C5AA91">
      <w:pPr>
        <w:pStyle w:val="133"/>
        <w:pageBreakBefore w:val="0"/>
        <w:kinsoku/>
        <w:wordWrap/>
        <w:overflowPunct/>
        <w:bidi w:val="0"/>
        <w:rPr>
          <w:rFonts w:hint="eastAsia"/>
          <w:color w:val="auto"/>
          <w:sz w:val="24"/>
          <w:szCs w:val="20"/>
          <w:highlight w:val="none"/>
          <w:lang w:val="en-US" w:eastAsia="zh-CN"/>
        </w:rPr>
      </w:pPr>
      <w:r>
        <w:rPr>
          <w:rFonts w:hint="eastAsia"/>
          <w:color w:val="auto"/>
          <w:sz w:val="24"/>
          <w:szCs w:val="20"/>
          <w:highlight w:val="none"/>
          <w:lang w:val="en-US" w:eastAsia="zh-CN"/>
        </w:rPr>
        <w:t>艾比湖流域生物多样性维护与防风固沙生态保护红线主要分布在阿拉山口市、博乐市、精河县、托里县、乌苏市、奎屯市、胡杨河市、双河市等。生物多样性维护主要生态功能为重点维护生物种类的多样性、基因的多样性和生态系统的多样性及稳定性；主要保护要求为重要生态功能区域生态功能不降低、面积不减少、性质不改变。土地沙化防控主要生态功能为防风固沙，主要保护要求为在风沙危害大的区域，转变传统畜牧业生产方式，实行禁牧休牧，推行舍饲圈养，以草定畜，严格控制载畜量。加大退牧还草、退耕还林和防沙治沙力度，恢复自然植被。</w:t>
      </w:r>
    </w:p>
    <w:p w14:paraId="680B5560">
      <w:pPr>
        <w:pStyle w:val="133"/>
        <w:pageBreakBefore w:val="0"/>
        <w:kinsoku/>
        <w:wordWrap/>
        <w:overflowPunct/>
        <w:bidi w:val="0"/>
        <w:rPr>
          <w:rFonts w:hint="default"/>
          <w:color w:val="auto"/>
          <w:sz w:val="24"/>
          <w:szCs w:val="20"/>
          <w:highlight w:val="none"/>
          <w:lang w:val="en-US" w:eastAsia="zh-CN"/>
        </w:rPr>
      </w:pPr>
      <w:r>
        <w:rPr>
          <w:rFonts w:hint="eastAsia"/>
          <w:color w:val="auto"/>
          <w:sz w:val="24"/>
          <w:szCs w:val="20"/>
          <w:highlight w:val="none"/>
          <w:lang w:val="en-US" w:eastAsia="zh-CN"/>
        </w:rPr>
        <w:t>经核查，本项目距离艾比湖流域生物多样性维护与防风固沙生态保护红线约10.8km（NE），与本场空域及生态评价范围均无交叠。</w:t>
      </w:r>
    </w:p>
    <w:p w14:paraId="6412396C">
      <w:pPr>
        <w:keepNext/>
        <w:keepLines/>
        <w:pageBreakBefore w:val="0"/>
        <w:widowControl w:val="0"/>
        <w:numPr>
          <w:ilvl w:val="1"/>
          <w:numId w:val="10"/>
        </w:numPr>
        <w:kinsoku/>
        <w:overflowPunct/>
        <w:bidi w:val="0"/>
        <w:spacing w:line="360" w:lineRule="auto"/>
        <w:ind w:left="567" w:hanging="567"/>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52" w:name="_Toc32589"/>
      <w:r>
        <w:rPr>
          <w:rFonts w:hint="eastAsia" w:ascii="Times New Roman" w:hAnsi="Times New Roman" w:eastAsia="黑体" w:cs="Times New Roman"/>
          <w:bCs/>
          <w:color w:val="auto"/>
          <w:spacing w:val="0"/>
          <w:w w:val="100"/>
          <w:kern w:val="28"/>
          <w:sz w:val="30"/>
          <w:szCs w:val="30"/>
          <w:highlight w:val="none"/>
          <w:lang w:val="en-US" w:eastAsia="zh-CN" w:bidi="ar-SA"/>
        </w:rPr>
        <w:t>声环境现状调查与评价</w:t>
      </w:r>
      <w:bookmarkEnd w:id="252"/>
    </w:p>
    <w:p w14:paraId="624092AC">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bookmarkStart w:id="253" w:name="_Toc22309"/>
      <w:r>
        <w:rPr>
          <w:rFonts w:hint="eastAsia" w:eastAsia="黑体" w:cs="Times New Roman"/>
          <w:color w:val="auto"/>
          <w:spacing w:val="0"/>
          <w:kern w:val="2"/>
          <w:sz w:val="28"/>
          <w:szCs w:val="28"/>
          <w:highlight w:val="none"/>
          <w:lang w:val="en-US" w:eastAsia="zh-CN" w:bidi="ar-SA"/>
        </w:rPr>
        <w:t>声环境现状监测</w:t>
      </w:r>
    </w:p>
    <w:p w14:paraId="4FDAFAD0">
      <w:pPr>
        <w:ind w:firstLine="480" w:firstLineChars="200"/>
        <w:rPr>
          <w:color w:val="auto"/>
          <w:highlight w:val="none"/>
        </w:rPr>
      </w:pPr>
      <w:r>
        <w:rPr>
          <w:color w:val="auto"/>
          <w:highlight w:val="none"/>
        </w:rPr>
        <w:t>（1）监测点布设</w:t>
      </w:r>
    </w:p>
    <w:p w14:paraId="070B0999">
      <w:pPr>
        <w:ind w:firstLine="480" w:firstLineChars="200"/>
        <w:rPr>
          <w:color w:val="auto"/>
          <w:highlight w:val="none"/>
        </w:rPr>
      </w:pPr>
      <w:r>
        <w:rPr>
          <w:color w:val="auto"/>
          <w:highlight w:val="none"/>
        </w:rPr>
        <w:t>本项目为新建</w:t>
      </w:r>
      <w:r>
        <w:rPr>
          <w:rFonts w:hint="eastAsia"/>
          <w:color w:val="auto"/>
          <w:highlight w:val="none"/>
        </w:rPr>
        <w:t>通用</w:t>
      </w:r>
      <w:r>
        <w:rPr>
          <w:color w:val="auto"/>
          <w:highlight w:val="none"/>
        </w:rPr>
        <w:t>机场项目，噪声监测为声环境质量现状监测。</w:t>
      </w:r>
    </w:p>
    <w:p w14:paraId="6006FE66">
      <w:pPr>
        <w:ind w:firstLine="480" w:firstLineChars="200"/>
        <w:rPr>
          <w:rFonts w:hint="eastAsia" w:eastAsia="宋体"/>
          <w:color w:val="auto"/>
          <w:highlight w:val="none"/>
          <w:lang w:eastAsia="zh-CN"/>
        </w:rPr>
      </w:pPr>
      <w:r>
        <w:rPr>
          <w:color w:val="auto"/>
          <w:highlight w:val="none"/>
        </w:rPr>
        <w:t>本次监测点位充分考虑监测点位代表性，选择</w:t>
      </w:r>
      <w:r>
        <w:rPr>
          <w:rFonts w:hint="eastAsia"/>
          <w:color w:val="auto"/>
          <w:highlight w:val="none"/>
        </w:rPr>
        <w:t>评价范围内</w:t>
      </w:r>
      <w:r>
        <w:rPr>
          <w:color w:val="auto"/>
          <w:highlight w:val="none"/>
        </w:rPr>
        <w:t>有代表性的点位进行监测，以</w:t>
      </w:r>
      <w:r>
        <w:rPr>
          <w:rFonts w:hint="eastAsia"/>
          <w:color w:val="auto"/>
          <w:highlight w:val="none"/>
          <w:lang w:eastAsia="zh-CN"/>
        </w:rPr>
        <w:t>反映</w:t>
      </w:r>
      <w:r>
        <w:rPr>
          <w:color w:val="auto"/>
          <w:highlight w:val="none"/>
        </w:rPr>
        <w:t>当地声环境质量情况。</w:t>
      </w:r>
    </w:p>
    <w:p w14:paraId="7D167D07">
      <w:pPr>
        <w:ind w:firstLine="480" w:firstLineChars="200"/>
        <w:rPr>
          <w:color w:val="auto"/>
          <w:szCs w:val="22"/>
          <w:highlight w:val="none"/>
        </w:rPr>
      </w:pPr>
      <w:r>
        <w:rPr>
          <w:color w:val="auto"/>
          <w:highlight w:val="none"/>
        </w:rPr>
        <w:t>本次声环境</w:t>
      </w:r>
      <w:r>
        <w:rPr>
          <w:rFonts w:hint="eastAsia"/>
          <w:color w:val="auto"/>
          <w:highlight w:val="none"/>
        </w:rPr>
        <w:t>质量现状</w:t>
      </w:r>
      <w:r>
        <w:rPr>
          <w:color w:val="auto"/>
          <w:highlight w:val="none"/>
        </w:rPr>
        <w:t>监测共布设了5个监测点。环境噪声现状监测点见表</w:t>
      </w:r>
      <w:r>
        <w:rPr>
          <w:rFonts w:hint="eastAsia"/>
          <w:color w:val="auto"/>
          <w:highlight w:val="none"/>
          <w:lang w:eastAsia="zh-CN"/>
        </w:rPr>
        <w:t>4.2</w:t>
      </w:r>
      <w:r>
        <w:rPr>
          <w:color w:val="auto"/>
          <w:highlight w:val="none"/>
        </w:rPr>
        <w:t>-1与图</w:t>
      </w:r>
      <w:r>
        <w:rPr>
          <w:rFonts w:hint="eastAsia"/>
          <w:color w:val="auto"/>
          <w:highlight w:val="none"/>
        </w:rPr>
        <w:t>4</w:t>
      </w:r>
      <w:r>
        <w:rPr>
          <w:rFonts w:hint="eastAsia"/>
          <w:color w:val="auto"/>
          <w:highlight w:val="none"/>
          <w:lang w:val="en-US" w:eastAsia="zh-CN"/>
        </w:rPr>
        <w:t>.</w:t>
      </w:r>
      <w:r>
        <w:rPr>
          <w:color w:val="auto"/>
          <w:highlight w:val="none"/>
        </w:rPr>
        <w:t>2-1。</w:t>
      </w:r>
    </w:p>
    <w:p w14:paraId="23136D52">
      <w:pPr>
        <w:widowControl/>
        <w:ind w:left="480" w:leftChars="200" w:firstLine="0"/>
        <w:rPr>
          <w:rFonts w:hint="eastAsia" w:eastAsia="宋体"/>
          <w:color w:val="auto"/>
          <w:szCs w:val="22"/>
          <w:highlight w:val="none"/>
          <w:lang w:eastAsia="zh-CN"/>
        </w:rPr>
      </w:pPr>
      <w:r>
        <w:rPr>
          <w:color w:val="auto"/>
          <w:szCs w:val="22"/>
          <w:highlight w:val="none"/>
        </w:rPr>
        <w:t>（2）监测因子</w:t>
      </w:r>
    </w:p>
    <w:p w14:paraId="47975B09">
      <w:pPr>
        <w:widowControl/>
        <w:ind w:firstLine="480" w:firstLineChars="200"/>
        <w:rPr>
          <w:rFonts w:hint="eastAsia" w:eastAsia="宋体"/>
          <w:color w:val="auto"/>
          <w:szCs w:val="22"/>
          <w:highlight w:val="none"/>
          <w:lang w:eastAsia="zh-CN"/>
        </w:rPr>
      </w:pPr>
      <w:r>
        <w:rPr>
          <w:color w:val="auto"/>
          <w:szCs w:val="22"/>
          <w:highlight w:val="none"/>
        </w:rPr>
        <w:t>等效连续</w:t>
      </w:r>
      <w:r>
        <w:rPr>
          <w:rFonts w:eastAsia="Times New Roman"/>
          <w:color w:val="auto"/>
          <w:szCs w:val="22"/>
          <w:highlight w:val="none"/>
        </w:rPr>
        <w:t>A</w:t>
      </w:r>
      <w:r>
        <w:rPr>
          <w:color w:val="auto"/>
          <w:szCs w:val="22"/>
          <w:highlight w:val="none"/>
        </w:rPr>
        <w:t>声级（</w:t>
      </w:r>
      <w:r>
        <w:rPr>
          <w:rFonts w:eastAsia="Times New Roman"/>
          <w:color w:val="auto"/>
          <w:szCs w:val="22"/>
          <w:highlight w:val="none"/>
        </w:rPr>
        <w:t>L</w:t>
      </w:r>
      <w:r>
        <w:rPr>
          <w:rFonts w:eastAsia="Times New Roman"/>
          <w:color w:val="auto"/>
          <w:szCs w:val="22"/>
          <w:highlight w:val="none"/>
          <w:vertAlign w:val="subscript"/>
        </w:rPr>
        <w:t>Aeq</w:t>
      </w:r>
      <w:r>
        <w:rPr>
          <w:color w:val="auto"/>
          <w:szCs w:val="22"/>
          <w:highlight w:val="none"/>
        </w:rPr>
        <w:t>）。</w:t>
      </w:r>
    </w:p>
    <w:p w14:paraId="60406581">
      <w:pPr>
        <w:widowControl/>
        <w:ind w:left="480" w:leftChars="200" w:firstLine="0"/>
        <w:rPr>
          <w:rFonts w:hint="eastAsia" w:eastAsia="宋体"/>
          <w:color w:val="auto"/>
          <w:szCs w:val="22"/>
          <w:highlight w:val="none"/>
          <w:lang w:eastAsia="zh-CN"/>
        </w:rPr>
      </w:pPr>
      <w:r>
        <w:rPr>
          <w:color w:val="auto"/>
          <w:szCs w:val="22"/>
          <w:highlight w:val="none"/>
        </w:rPr>
        <w:t>（3）监测时间及频次</w:t>
      </w:r>
    </w:p>
    <w:p w14:paraId="7A39490D">
      <w:pPr>
        <w:widowControl/>
        <w:ind w:firstLine="480" w:firstLineChars="200"/>
        <w:rPr>
          <w:rFonts w:hint="eastAsia" w:eastAsia="宋体"/>
          <w:color w:val="auto"/>
          <w:szCs w:val="22"/>
          <w:highlight w:val="none"/>
          <w:lang w:eastAsia="zh-CN"/>
        </w:rPr>
      </w:pPr>
      <w:r>
        <w:rPr>
          <w:color w:val="auto"/>
          <w:szCs w:val="22"/>
          <w:highlight w:val="none"/>
        </w:rPr>
        <w:t>连续监测两天，每天昼间2次，夜间1次。</w:t>
      </w:r>
    </w:p>
    <w:p w14:paraId="2B8E2B1A">
      <w:pPr>
        <w:widowControl/>
        <w:ind w:firstLine="480" w:firstLineChars="200"/>
        <w:rPr>
          <w:rFonts w:hint="eastAsia" w:eastAsia="宋体"/>
          <w:color w:val="auto"/>
          <w:szCs w:val="22"/>
          <w:highlight w:val="none"/>
          <w:lang w:eastAsia="zh-CN"/>
        </w:rPr>
      </w:pPr>
      <w:r>
        <w:rPr>
          <w:color w:val="auto"/>
          <w:szCs w:val="22"/>
          <w:highlight w:val="none"/>
        </w:rPr>
        <w:t>（4）监测方法</w:t>
      </w:r>
    </w:p>
    <w:p w14:paraId="65A53856">
      <w:pPr>
        <w:widowControl/>
        <w:ind w:firstLine="480" w:firstLineChars="200"/>
        <w:rPr>
          <w:rFonts w:hint="eastAsia" w:eastAsia="宋体"/>
          <w:color w:val="auto"/>
          <w:szCs w:val="22"/>
          <w:highlight w:val="none"/>
          <w:lang w:eastAsia="zh-CN"/>
        </w:rPr>
      </w:pPr>
      <w:r>
        <w:rPr>
          <w:color w:val="auto"/>
          <w:szCs w:val="22"/>
          <w:highlight w:val="none"/>
        </w:rPr>
        <w:t>环境噪声按《声环境质量标准》（</w:t>
      </w:r>
      <w:r>
        <w:rPr>
          <w:rFonts w:eastAsia="Times New Roman"/>
          <w:color w:val="auto"/>
          <w:szCs w:val="22"/>
          <w:highlight w:val="none"/>
        </w:rPr>
        <w:t>GB3096-2008</w:t>
      </w:r>
      <w:r>
        <w:rPr>
          <w:color w:val="auto"/>
          <w:szCs w:val="22"/>
          <w:highlight w:val="none"/>
        </w:rPr>
        <w:t>）和《环境监测技术规范》的规定进行监测。</w:t>
      </w:r>
    </w:p>
    <w:p w14:paraId="52B9F34D">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监测结果与评价</w:t>
      </w:r>
    </w:p>
    <w:p w14:paraId="7F1980B2">
      <w:pPr>
        <w:widowControl/>
        <w:ind w:firstLine="480" w:firstLineChars="200"/>
        <w:rPr>
          <w:color w:val="auto"/>
          <w:szCs w:val="22"/>
          <w:highlight w:val="none"/>
        </w:rPr>
      </w:pPr>
      <w:r>
        <w:rPr>
          <w:color w:val="auto"/>
          <w:szCs w:val="22"/>
          <w:highlight w:val="none"/>
        </w:rPr>
        <w:t>声环境质量现状监测结果见表</w:t>
      </w:r>
      <w:r>
        <w:rPr>
          <w:rFonts w:hint="eastAsia"/>
          <w:color w:val="auto"/>
          <w:szCs w:val="22"/>
          <w:highlight w:val="none"/>
          <w:lang w:eastAsia="zh-CN"/>
        </w:rPr>
        <w:t>4.2</w:t>
      </w:r>
      <w:r>
        <w:rPr>
          <w:rFonts w:eastAsia="Times New Roman"/>
          <w:color w:val="auto"/>
          <w:szCs w:val="22"/>
          <w:highlight w:val="none"/>
        </w:rPr>
        <w:t>-2</w:t>
      </w:r>
      <w:r>
        <w:rPr>
          <w:color w:val="auto"/>
          <w:szCs w:val="22"/>
          <w:highlight w:val="none"/>
        </w:rPr>
        <w:t>。</w:t>
      </w:r>
    </w:p>
    <w:p w14:paraId="6AC906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Cs w:val="21"/>
          <w:highlight w:val="none"/>
          <w:lang w:eastAsia="zh-CN"/>
        </w:rPr>
      </w:pPr>
      <w:r>
        <w:rPr>
          <w:rFonts w:hint="eastAsia"/>
          <w:color w:val="auto"/>
          <w:szCs w:val="21"/>
          <w:highlight w:val="none"/>
        </w:rPr>
        <w:t>结果显示</w:t>
      </w:r>
      <w:r>
        <w:rPr>
          <w:color w:val="auto"/>
          <w:szCs w:val="21"/>
          <w:highlight w:val="none"/>
        </w:rPr>
        <w:t>，</w:t>
      </w:r>
      <w:r>
        <w:rPr>
          <w:rFonts w:hint="eastAsia"/>
          <w:color w:val="auto"/>
          <w:szCs w:val="21"/>
          <w:highlight w:val="none"/>
        </w:rPr>
        <w:t>监测期间各</w:t>
      </w:r>
      <w:r>
        <w:rPr>
          <w:color w:val="auto"/>
          <w:szCs w:val="21"/>
          <w:highlight w:val="none"/>
        </w:rPr>
        <w:t>监测点</w:t>
      </w:r>
      <w:r>
        <w:rPr>
          <w:rFonts w:hint="eastAsia"/>
          <w:color w:val="auto"/>
          <w:szCs w:val="21"/>
          <w:highlight w:val="none"/>
        </w:rPr>
        <w:t>声环境质量</w:t>
      </w:r>
      <w:r>
        <w:rPr>
          <w:color w:val="auto"/>
          <w:szCs w:val="21"/>
          <w:highlight w:val="none"/>
        </w:rPr>
        <w:t>均能满足《声环境质量标准》（GB3096-2008）中2类区标准要求</w:t>
      </w:r>
      <w:r>
        <w:rPr>
          <w:rFonts w:hint="eastAsia"/>
          <w:color w:val="auto"/>
          <w:szCs w:val="21"/>
          <w:highlight w:val="none"/>
          <w:lang w:eastAsia="zh-CN"/>
        </w:rPr>
        <w:t>。</w:t>
      </w:r>
    </w:p>
    <w:bookmarkEnd w:id="253"/>
    <w:p w14:paraId="4B1686AF">
      <w:pPr>
        <w:keepNext/>
        <w:keepLines/>
        <w:pageBreakBefore w:val="0"/>
        <w:widowControl w:val="0"/>
        <w:numPr>
          <w:ilvl w:val="1"/>
          <w:numId w:val="10"/>
        </w:numPr>
        <w:kinsoku/>
        <w:overflowPunct/>
        <w:bidi w:val="0"/>
        <w:spacing w:line="360" w:lineRule="auto"/>
        <w:ind w:left="567" w:hanging="567"/>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54" w:name="_Toc16715"/>
      <w:r>
        <w:rPr>
          <w:rFonts w:hint="eastAsia" w:ascii="Times New Roman" w:hAnsi="Times New Roman" w:eastAsia="黑体" w:cs="Times New Roman"/>
          <w:bCs/>
          <w:color w:val="auto"/>
          <w:spacing w:val="0"/>
          <w:w w:val="100"/>
          <w:kern w:val="28"/>
          <w:sz w:val="30"/>
          <w:szCs w:val="30"/>
          <w:highlight w:val="none"/>
          <w:lang w:val="en-US" w:eastAsia="zh-CN" w:bidi="ar-SA"/>
        </w:rPr>
        <w:t>生态现状调查与评价</w:t>
      </w:r>
      <w:bookmarkEnd w:id="254"/>
    </w:p>
    <w:p w14:paraId="3AD14B83">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生态功能定位</w:t>
      </w:r>
    </w:p>
    <w:p w14:paraId="05B08599">
      <w:pPr>
        <w:ind w:firstLine="480" w:firstLineChars="200"/>
        <w:rPr>
          <w:color w:val="auto"/>
          <w:highlight w:val="none"/>
        </w:rPr>
      </w:pPr>
      <w:r>
        <w:rPr>
          <w:color w:val="auto"/>
          <w:highlight w:val="none"/>
        </w:rPr>
        <w:t>根据《新疆生态功能区划》，</w:t>
      </w:r>
      <w:r>
        <w:rPr>
          <w:rFonts w:hint="eastAsia" w:ascii="Times New Roman" w:eastAsia="宋体"/>
          <w:color w:val="auto"/>
          <w:highlight w:val="none"/>
          <w:lang w:val="en-US" w:eastAsia="zh-CN"/>
        </w:rPr>
        <w:t>本</w:t>
      </w:r>
      <w:r>
        <w:rPr>
          <w:color w:val="auto"/>
          <w:highlight w:val="none"/>
        </w:rPr>
        <w:t>项目所在区域</w:t>
      </w:r>
      <w:bookmarkStart w:id="255" w:name="_Hlk38642891"/>
      <w:r>
        <w:rPr>
          <w:color w:val="auto"/>
          <w:highlight w:val="none"/>
        </w:rPr>
        <w:t>属</w:t>
      </w:r>
      <w:bookmarkEnd w:id="255"/>
      <w:r>
        <w:rPr>
          <w:color w:val="auto"/>
          <w:highlight w:val="none"/>
        </w:rPr>
        <w:t>准噶尔盆地温性荒漠与绿洲农业生态区、准噶尔盆地西部荒漠及绿洲农业生态亚区、精河-博尔塔拉谷地绿洲农业生态功能区，</w:t>
      </w:r>
      <w:r>
        <w:rPr>
          <w:rFonts w:hint="eastAsia"/>
          <w:color w:val="auto"/>
          <w:highlight w:val="none"/>
        </w:rPr>
        <w:t>详见图4.1-</w:t>
      </w:r>
      <w:r>
        <w:rPr>
          <w:rFonts w:hint="eastAsia"/>
          <w:color w:val="auto"/>
          <w:highlight w:val="none"/>
          <w:lang w:val="en-US" w:eastAsia="zh-CN"/>
        </w:rPr>
        <w:t>14及表4.1-2</w:t>
      </w:r>
      <w:r>
        <w:rPr>
          <w:color w:val="auto"/>
          <w:highlight w:val="none"/>
        </w:rPr>
        <w:t>。</w:t>
      </w:r>
    </w:p>
    <w:p w14:paraId="48967080">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生态系统结构和特征</w:t>
      </w:r>
    </w:p>
    <w:p w14:paraId="5CD802D6">
      <w:pPr>
        <w:ind w:firstLine="480" w:firstLineChars="200"/>
        <w:rPr>
          <w:color w:val="auto"/>
          <w:highlight w:val="none"/>
        </w:rPr>
      </w:pPr>
      <w:r>
        <w:rPr>
          <w:color w:val="auto"/>
          <w:highlight w:val="none"/>
        </w:rPr>
        <w:t>根据遥感影像解析和实地调查，</w:t>
      </w:r>
      <w:r>
        <w:rPr>
          <w:rFonts w:hint="eastAsia"/>
          <w:color w:val="auto"/>
          <w:highlight w:val="none"/>
          <w:lang w:val="en-US" w:eastAsia="zh-CN"/>
        </w:rPr>
        <w:t>按照《全国生态状况调查评估技术规范 生态系统遥感解译与野外核查》（HJ1166-2021）进行分类，</w:t>
      </w:r>
      <w:r>
        <w:rPr>
          <w:color w:val="auto"/>
          <w:highlight w:val="none"/>
        </w:rPr>
        <w:t>评价区共有</w:t>
      </w:r>
      <w:r>
        <w:rPr>
          <w:rFonts w:hint="eastAsia"/>
          <w:color w:val="auto"/>
          <w:highlight w:val="none"/>
        </w:rPr>
        <w:t>2</w:t>
      </w:r>
      <w:r>
        <w:rPr>
          <w:color w:val="auto"/>
          <w:highlight w:val="none"/>
        </w:rPr>
        <w:t>种生态系统类型，</w:t>
      </w:r>
      <w:r>
        <w:rPr>
          <w:rFonts w:hint="eastAsia"/>
          <w:color w:val="auto"/>
          <w:highlight w:val="none"/>
        </w:rPr>
        <w:t>分别为农田</w:t>
      </w:r>
      <w:r>
        <w:rPr>
          <w:color w:val="auto"/>
          <w:highlight w:val="none"/>
        </w:rPr>
        <w:t>生态系统</w:t>
      </w:r>
      <w:r>
        <w:rPr>
          <w:rFonts w:hint="eastAsia"/>
          <w:color w:val="auto"/>
          <w:highlight w:val="none"/>
        </w:rPr>
        <w:t>、</w:t>
      </w:r>
      <w:r>
        <w:rPr>
          <w:rFonts w:hint="eastAsia"/>
          <w:color w:val="auto"/>
          <w:highlight w:val="none"/>
          <w:lang w:eastAsia="zh-CN"/>
        </w:rPr>
        <w:t>灌丛生态系统</w:t>
      </w:r>
      <w:r>
        <w:rPr>
          <w:color w:val="auto"/>
          <w:highlight w:val="none"/>
        </w:rPr>
        <w:t>。</w:t>
      </w:r>
      <w:r>
        <w:rPr>
          <w:rFonts w:hint="eastAsia"/>
          <w:color w:val="auto"/>
          <w:highlight w:val="none"/>
        </w:rPr>
        <w:t>评价区域生态类型图见图</w:t>
      </w:r>
      <w:r>
        <w:rPr>
          <w:rFonts w:hint="default"/>
          <w:color w:val="auto"/>
          <w:highlight w:val="none"/>
        </w:rPr>
        <w:t>4.3</w:t>
      </w:r>
      <w:r>
        <w:rPr>
          <w:color w:val="auto"/>
          <w:highlight w:val="none"/>
        </w:rPr>
        <w:t>-</w:t>
      </w:r>
      <w:r>
        <w:rPr>
          <w:rFonts w:hint="eastAsia"/>
          <w:color w:val="auto"/>
          <w:highlight w:val="none"/>
          <w:lang w:eastAsia="zh-CN"/>
        </w:rPr>
        <w:t>1</w:t>
      </w:r>
      <w:r>
        <w:rPr>
          <w:rFonts w:hint="eastAsia"/>
          <w:color w:val="auto"/>
          <w:highlight w:val="none"/>
        </w:rPr>
        <w:t>，</w:t>
      </w:r>
      <w:r>
        <w:rPr>
          <w:rFonts w:hint="eastAsia" w:ascii="Times New Roman" w:eastAsia="宋体"/>
          <w:color w:val="auto"/>
          <w:highlight w:val="none"/>
          <w:lang w:val="en-US" w:eastAsia="zh-CN"/>
        </w:rPr>
        <w:t>具体</w:t>
      </w:r>
      <w:r>
        <w:rPr>
          <w:color w:val="auto"/>
          <w:highlight w:val="none"/>
        </w:rPr>
        <w:t>类型及特征见表</w:t>
      </w:r>
      <w:r>
        <w:rPr>
          <w:rFonts w:hint="eastAsia"/>
          <w:color w:val="auto"/>
          <w:highlight w:val="none"/>
          <w:lang w:eastAsia="zh-CN"/>
        </w:rPr>
        <w:t>4.3</w:t>
      </w:r>
      <w:r>
        <w:rPr>
          <w:color w:val="auto"/>
          <w:highlight w:val="none"/>
        </w:rPr>
        <w:t>-</w:t>
      </w:r>
      <w:r>
        <w:rPr>
          <w:rFonts w:hint="eastAsia"/>
          <w:color w:val="auto"/>
          <w:highlight w:val="none"/>
          <w:lang w:eastAsia="zh-CN"/>
        </w:rPr>
        <w:t>1</w:t>
      </w:r>
      <w:r>
        <w:rPr>
          <w:color w:val="auto"/>
          <w:highlight w:val="none"/>
        </w:rPr>
        <w:t>。</w:t>
      </w:r>
    </w:p>
    <w:p w14:paraId="77AFA10B">
      <w:pPr>
        <w:ind w:firstLine="480" w:firstLineChars="200"/>
        <w:rPr>
          <w:rFonts w:hint="eastAsia"/>
          <w:color w:val="auto"/>
          <w:highlight w:val="none"/>
          <w:lang w:eastAsia="zh-CN"/>
        </w:rPr>
      </w:pPr>
      <w:r>
        <w:rPr>
          <w:rFonts w:hint="eastAsia"/>
          <w:color w:val="auto"/>
          <w:highlight w:val="none"/>
          <w:lang w:val="en-US" w:eastAsia="zh-CN"/>
        </w:rPr>
        <w:t>本项目评价区域</w:t>
      </w:r>
      <w:r>
        <w:rPr>
          <w:rFonts w:hint="eastAsia"/>
          <w:color w:val="auto"/>
          <w:highlight w:val="none"/>
        </w:rPr>
        <w:t>农田生态系统主要为人工作物棉花、玉米、小麦、枸杞等，农田四周分布有芦苇、白杨、榆树等</w:t>
      </w:r>
      <w:r>
        <w:rPr>
          <w:rFonts w:hint="eastAsia"/>
          <w:color w:val="auto"/>
          <w:highlight w:val="none"/>
          <w:lang w:eastAsia="zh-CN"/>
        </w:rPr>
        <w:t>，包括棉田集中区、枸杞种植园、玉米/小麦轮作田等，在评价区分布较广，面状连片分布；灌丛生态系统建群种为</w:t>
      </w:r>
      <w:r>
        <w:rPr>
          <w:rFonts w:hint="eastAsia"/>
          <w:color w:val="auto"/>
          <w:highlight w:val="none"/>
          <w:lang w:val="en-US" w:eastAsia="zh-CN"/>
        </w:rPr>
        <w:t>梭梭、柽柳及稀疏</w:t>
      </w:r>
      <w:r>
        <w:rPr>
          <w:rFonts w:hint="eastAsia"/>
          <w:color w:val="auto"/>
          <w:highlight w:val="none"/>
          <w:lang w:eastAsia="zh-CN"/>
        </w:rPr>
        <w:t>胡杨，伴生植物主要有盐节木、芦苇等，位于评价区西北部，面状分布。</w:t>
      </w:r>
    </w:p>
    <w:p w14:paraId="321BCB8C">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土地利用现状调查与评价</w:t>
      </w:r>
    </w:p>
    <w:p w14:paraId="34452EFE">
      <w:pPr>
        <w:ind w:firstLine="480" w:firstLineChars="200"/>
        <w:rPr>
          <w:color w:val="auto"/>
          <w:highlight w:val="none"/>
        </w:rPr>
      </w:pPr>
      <w:r>
        <w:rPr>
          <w:rFonts w:hint="eastAsia"/>
          <w:color w:val="auto"/>
          <w:highlight w:val="none"/>
        </w:rPr>
        <w:t>根据遥感调查结果，采用图形叠加法对评价范围内的生态环境现状进行分析，</w:t>
      </w:r>
      <w:r>
        <w:rPr>
          <w:rFonts w:hint="eastAsia"/>
          <w:color w:val="auto"/>
          <w:highlight w:val="none"/>
          <w:lang w:eastAsia="zh-CN"/>
        </w:rPr>
        <w:t>将</w:t>
      </w:r>
      <w:r>
        <w:rPr>
          <w:rFonts w:hint="eastAsia"/>
          <w:color w:val="auto"/>
          <w:highlight w:val="none"/>
        </w:rPr>
        <w:t>遥感影像与评价</w:t>
      </w:r>
      <w:r>
        <w:rPr>
          <w:rFonts w:hint="eastAsia"/>
          <w:color w:val="auto"/>
          <w:highlight w:val="none"/>
          <w:lang w:eastAsia="zh-CN"/>
        </w:rPr>
        <w:t>区域</w:t>
      </w:r>
      <w:r>
        <w:rPr>
          <w:rFonts w:hint="eastAsia"/>
          <w:color w:val="auto"/>
          <w:highlight w:val="none"/>
        </w:rPr>
        <w:t>进行叠加，并参照《土地利用现状分类》</w:t>
      </w:r>
      <w:r>
        <w:rPr>
          <w:rFonts w:hint="eastAsia"/>
          <w:color w:val="auto"/>
          <w:highlight w:val="none"/>
          <w:lang w:eastAsia="zh-CN"/>
        </w:rPr>
        <w:t>（</w:t>
      </w:r>
      <w:r>
        <w:rPr>
          <w:rFonts w:hint="eastAsia"/>
          <w:color w:val="auto"/>
          <w:highlight w:val="none"/>
        </w:rPr>
        <w:t>GBT21010-2017</w:t>
      </w:r>
      <w:r>
        <w:rPr>
          <w:rFonts w:hint="eastAsia"/>
          <w:color w:val="auto"/>
          <w:highlight w:val="none"/>
          <w:lang w:eastAsia="zh-CN"/>
        </w:rPr>
        <w:t>）</w:t>
      </w:r>
      <w:r>
        <w:rPr>
          <w:rFonts w:hint="eastAsia"/>
          <w:color w:val="auto"/>
          <w:highlight w:val="none"/>
        </w:rPr>
        <w:t>，以确定评价范围内的土地利用类型，并统计各类土地利用类型的面积，将成果绘制成土地利用现状图。</w:t>
      </w:r>
      <w:r>
        <w:rPr>
          <w:rFonts w:hint="eastAsia"/>
          <w:color w:val="auto"/>
          <w:highlight w:val="none"/>
          <w:lang w:eastAsia="zh-CN"/>
        </w:rPr>
        <w:t>详见</w:t>
      </w:r>
      <w:r>
        <w:rPr>
          <w:rFonts w:hint="eastAsia"/>
          <w:color w:val="auto"/>
          <w:highlight w:val="none"/>
        </w:rPr>
        <w:t>表</w:t>
      </w:r>
      <w:r>
        <w:rPr>
          <w:rFonts w:hint="eastAsia"/>
          <w:color w:val="auto"/>
          <w:highlight w:val="none"/>
          <w:lang w:eastAsia="zh-CN"/>
        </w:rPr>
        <w:t>4.3</w:t>
      </w:r>
      <w:r>
        <w:rPr>
          <w:rFonts w:hint="eastAsia"/>
          <w:color w:val="auto"/>
          <w:highlight w:val="none"/>
        </w:rPr>
        <w:t>-</w:t>
      </w:r>
      <w:r>
        <w:rPr>
          <w:rFonts w:hint="eastAsia"/>
          <w:color w:val="auto"/>
          <w:highlight w:val="none"/>
          <w:lang w:val="en-US" w:eastAsia="zh-CN"/>
        </w:rPr>
        <w:t>2</w:t>
      </w:r>
      <w:r>
        <w:rPr>
          <w:rFonts w:hint="eastAsia"/>
          <w:color w:val="auto"/>
          <w:highlight w:val="none"/>
        </w:rPr>
        <w:t>。</w:t>
      </w:r>
    </w:p>
    <w:p w14:paraId="2AFD6192">
      <w:pPr>
        <w:ind w:firstLine="480" w:firstLineChars="200"/>
        <w:rPr>
          <w:rFonts w:hint="eastAsia"/>
          <w:color w:val="auto"/>
          <w:highlight w:val="none"/>
        </w:rPr>
      </w:pPr>
      <w:r>
        <w:rPr>
          <w:rFonts w:hint="eastAsia"/>
          <w:color w:val="auto"/>
          <w:highlight w:val="none"/>
          <w:lang w:val="en-US" w:eastAsia="zh-CN"/>
        </w:rPr>
        <w:t>本</w:t>
      </w:r>
      <w:r>
        <w:rPr>
          <w:rFonts w:hint="eastAsia"/>
          <w:color w:val="auto"/>
          <w:highlight w:val="none"/>
        </w:rPr>
        <w:t>项目占地6</w:t>
      </w:r>
      <w:r>
        <w:rPr>
          <w:color w:val="auto"/>
          <w:highlight w:val="none"/>
        </w:rPr>
        <w:t>5.28</w:t>
      </w:r>
      <w:r>
        <w:rPr>
          <w:rFonts w:hint="eastAsia"/>
          <w:color w:val="auto"/>
          <w:highlight w:val="none"/>
        </w:rPr>
        <w:t>hm</w:t>
      </w:r>
      <w:r>
        <w:rPr>
          <w:color w:val="auto"/>
          <w:highlight w:val="none"/>
          <w:vertAlign w:val="superscript"/>
        </w:rPr>
        <w:t>2</w:t>
      </w:r>
      <w:r>
        <w:rPr>
          <w:rFonts w:hint="eastAsia"/>
          <w:color w:val="auto"/>
          <w:highlight w:val="none"/>
        </w:rPr>
        <w:t>，</w:t>
      </w:r>
      <w:r>
        <w:rPr>
          <w:rFonts w:hint="eastAsia"/>
          <w:color w:val="auto"/>
          <w:highlight w:val="none"/>
          <w:lang w:val="en-US" w:eastAsia="zh-CN"/>
        </w:rPr>
        <w:t>根据导则，项目生态影响评价范围为</w:t>
      </w:r>
      <w:r>
        <w:rPr>
          <w:rFonts w:hint="eastAsia"/>
          <w:color w:val="auto"/>
          <w:highlight w:val="none"/>
        </w:rPr>
        <w:t>70.72</w:t>
      </w:r>
      <w:r>
        <w:rPr>
          <w:color w:val="auto"/>
          <w:highlight w:val="none"/>
        </w:rPr>
        <w:t>km</w:t>
      </w:r>
      <w:r>
        <w:rPr>
          <w:color w:val="auto"/>
          <w:highlight w:val="none"/>
          <w:vertAlign w:val="superscript"/>
        </w:rPr>
        <w:t>2</w:t>
      </w:r>
      <w:r>
        <w:rPr>
          <w:rFonts w:hint="eastAsia"/>
          <w:color w:val="auto"/>
          <w:highlight w:val="none"/>
        </w:rPr>
        <w:t>。结果显示，评价区域的土地利用类型以</w:t>
      </w:r>
      <w:r>
        <w:rPr>
          <w:rFonts w:hint="eastAsia"/>
          <w:color w:val="auto"/>
          <w:highlight w:val="none"/>
          <w:lang w:val="en-US" w:eastAsia="zh-CN"/>
        </w:rPr>
        <w:t>水浇地</w:t>
      </w:r>
      <w:r>
        <w:rPr>
          <w:rFonts w:hint="eastAsia"/>
          <w:color w:val="auto"/>
          <w:highlight w:val="none"/>
        </w:rPr>
        <w:t>为主，占评价区域面积的86.14%，</w:t>
      </w:r>
      <w:r>
        <w:rPr>
          <w:rFonts w:hint="eastAsia"/>
          <w:color w:val="auto"/>
          <w:highlight w:val="none"/>
          <w:lang w:val="en-US" w:eastAsia="zh-CN"/>
        </w:rPr>
        <w:t>其中</w:t>
      </w:r>
      <w:r>
        <w:rPr>
          <w:rFonts w:hint="eastAsia"/>
          <w:color w:val="auto"/>
          <w:highlight w:val="none"/>
        </w:rPr>
        <w:t>基本农田占评价区域面积的64.07%、</w:t>
      </w:r>
      <w:r>
        <w:rPr>
          <w:rFonts w:hint="eastAsia"/>
          <w:color w:val="auto"/>
          <w:highlight w:val="none"/>
          <w:lang w:val="en-US" w:eastAsia="zh-CN"/>
        </w:rPr>
        <w:t>一般耕地</w:t>
      </w:r>
      <w:r>
        <w:rPr>
          <w:rFonts w:hint="eastAsia"/>
          <w:color w:val="auto"/>
          <w:highlight w:val="none"/>
        </w:rPr>
        <w:t>占评价区域面积的22.07%</w:t>
      </w:r>
      <w:r>
        <w:rPr>
          <w:rFonts w:hint="eastAsia"/>
          <w:color w:val="auto"/>
          <w:highlight w:val="none"/>
          <w:lang w:eastAsia="zh-CN"/>
        </w:rPr>
        <w:t>；占地区域乔木林地</w:t>
      </w:r>
      <w:r>
        <w:rPr>
          <w:rFonts w:hint="eastAsia"/>
          <w:color w:val="auto"/>
          <w:highlight w:val="none"/>
          <w:lang w:val="en-US" w:eastAsia="zh-CN"/>
        </w:rPr>
        <w:t>主要为农田防护林，分布于农用地周边，起源为人工林，林种主要为杨树、榆树等常见树种；灌木林地主要为梭梭、柽柳及稀疏胡杨分布区，占比为5.78%，分布较为集中，位于评价区西北部，起源为天然林，同时属于地方公益林管理范围。</w:t>
      </w:r>
      <w:r>
        <w:rPr>
          <w:rFonts w:hint="eastAsia"/>
          <w:color w:val="auto"/>
          <w:highlight w:val="none"/>
        </w:rPr>
        <w:t>其他草地占评价区域面积的6.52%</w:t>
      </w:r>
      <w:r>
        <w:rPr>
          <w:rFonts w:hint="eastAsia"/>
          <w:color w:val="auto"/>
          <w:highlight w:val="none"/>
          <w:lang w:eastAsia="zh-CN"/>
        </w:rPr>
        <w:t>；</w:t>
      </w:r>
      <w:r>
        <w:rPr>
          <w:rFonts w:hint="eastAsia"/>
          <w:color w:val="auto"/>
          <w:highlight w:val="none"/>
        </w:rPr>
        <w:t>此外评价区域内还零星分布有农村道路、沟渠、坑塘水面、村庄等土地利用类型。</w:t>
      </w:r>
    </w:p>
    <w:p w14:paraId="16914389">
      <w:pPr>
        <w:ind w:firstLine="480" w:firstLineChars="200"/>
        <w:rPr>
          <w:rFonts w:hint="eastAsia" w:eastAsia="宋体"/>
          <w:color w:val="auto"/>
          <w:highlight w:val="none"/>
          <w:lang w:eastAsia="zh-CN"/>
        </w:rPr>
      </w:pPr>
      <w:r>
        <w:rPr>
          <w:rFonts w:hint="eastAsia"/>
          <w:color w:val="auto"/>
          <w:highlight w:val="none"/>
          <w:lang w:eastAsia="zh-CN"/>
        </w:rPr>
        <w:t>本项目占地范围内的土地利用类型以水浇地为主，约占项目区总面积的84.84%，占评价区域内水浇地面积的3.55%，均为一般耕地、不占用永久基本农田、</w:t>
      </w:r>
      <w:r>
        <w:rPr>
          <w:rFonts w:hint="eastAsia"/>
          <w:color w:val="auto"/>
          <w:highlight w:val="none"/>
          <w:lang w:val="en-US" w:eastAsia="zh-CN"/>
        </w:rPr>
        <w:t>基本草原等</w:t>
      </w:r>
      <w:r>
        <w:rPr>
          <w:rFonts w:hint="eastAsia"/>
          <w:color w:val="auto"/>
          <w:highlight w:val="none"/>
          <w:lang w:eastAsia="zh-CN"/>
        </w:rPr>
        <w:t>；此外项目还涉及乔木林地、农村道路、沟渠、其他草地等土地利用类型。根据资料，建设单位已经办理了项目区域的征地手续，项目用地符合国家土地供应政策和用地定额要求。</w:t>
      </w:r>
    </w:p>
    <w:p w14:paraId="0D03F993">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植被及植物多样性调查</w:t>
      </w:r>
    </w:p>
    <w:p w14:paraId="30A83B99">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项目所在地植被区划</w:t>
      </w:r>
    </w:p>
    <w:p w14:paraId="7D82A0D3">
      <w:pPr>
        <w:ind w:firstLine="480" w:firstLineChars="200"/>
        <w:rPr>
          <w:color w:val="auto"/>
          <w:highlight w:val="none"/>
        </w:rPr>
      </w:pPr>
      <w:r>
        <w:rPr>
          <w:color w:val="auto"/>
          <w:highlight w:val="none"/>
        </w:rPr>
        <w:t>根据《中国植被》，拟建机场所在区域植被区划属于：</w:t>
      </w:r>
      <w:r>
        <w:rPr>
          <w:rFonts w:hint="eastAsia"/>
          <w:color w:val="auto"/>
          <w:highlight w:val="none"/>
          <w:lang w:eastAsia="zh-CN"/>
        </w:rPr>
        <w:t>Ⅻ</w:t>
      </w:r>
      <w:r>
        <w:rPr>
          <w:color w:val="auto"/>
          <w:highlight w:val="none"/>
        </w:rPr>
        <w:t>温带荒漠区域，XII</w:t>
      </w:r>
      <w:r>
        <w:rPr>
          <w:color w:val="auto"/>
          <w:highlight w:val="none"/>
          <w:vertAlign w:val="subscript"/>
        </w:rPr>
        <w:t>A</w:t>
      </w:r>
      <w:r>
        <w:rPr>
          <w:color w:val="auto"/>
          <w:highlight w:val="none"/>
        </w:rPr>
        <w:t>温带干旱半灌木、小乔木荒漠地带，XII</w:t>
      </w:r>
      <w:r>
        <w:rPr>
          <w:color w:val="auto"/>
          <w:highlight w:val="none"/>
          <w:vertAlign w:val="subscript"/>
        </w:rPr>
        <w:t>A2</w:t>
      </w:r>
      <w:r>
        <w:rPr>
          <w:color w:val="auto"/>
          <w:highlight w:val="none"/>
        </w:rPr>
        <w:t xml:space="preserve"> </w:t>
      </w:r>
      <w:r>
        <w:rPr>
          <w:rFonts w:hint="eastAsia"/>
          <w:color w:val="auto"/>
          <w:highlight w:val="none"/>
        </w:rPr>
        <w:t>天山北麓山地寒温性针叶林、草原区</w:t>
      </w:r>
      <w:r>
        <w:rPr>
          <w:color w:val="auto"/>
          <w:highlight w:val="none"/>
        </w:rPr>
        <w:t>。</w:t>
      </w:r>
    </w:p>
    <w:p w14:paraId="6696B2AF">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植物种类名录</w:t>
      </w:r>
    </w:p>
    <w:p w14:paraId="6602FCD5">
      <w:pPr>
        <w:ind w:firstLine="480" w:firstLineChars="200"/>
        <w:rPr>
          <w:color w:val="auto"/>
          <w:highlight w:val="none"/>
        </w:rPr>
      </w:pPr>
      <w:r>
        <w:rPr>
          <w:rFonts w:hint="eastAsia"/>
          <w:color w:val="auto"/>
          <w:highlight w:val="none"/>
        </w:rPr>
        <w:t>在实地调查与资料收集的基础上，结合遥感解译，获得评价区的现状植被类型分布情况。评价区域的植物有</w:t>
      </w:r>
      <w:r>
        <w:rPr>
          <w:color w:val="auto"/>
          <w:highlight w:val="none"/>
        </w:rPr>
        <w:t>13</w:t>
      </w:r>
      <w:r>
        <w:rPr>
          <w:rFonts w:hint="eastAsia"/>
          <w:color w:val="auto"/>
          <w:highlight w:val="none"/>
        </w:rPr>
        <w:t>科、</w:t>
      </w:r>
      <w:r>
        <w:rPr>
          <w:color w:val="auto"/>
          <w:highlight w:val="none"/>
        </w:rPr>
        <w:t>3</w:t>
      </w:r>
      <w:r>
        <w:rPr>
          <w:rFonts w:hint="eastAsia" w:ascii="Times New Roman" w:eastAsia="宋体"/>
          <w:color w:val="auto"/>
          <w:highlight w:val="none"/>
          <w:lang w:val="en-US" w:eastAsia="zh-CN"/>
        </w:rPr>
        <w:t>3</w:t>
      </w:r>
      <w:r>
        <w:rPr>
          <w:rFonts w:hint="eastAsia"/>
          <w:color w:val="auto"/>
          <w:highlight w:val="none"/>
        </w:rPr>
        <w:t>种。评价区植物种类及不同生境分布见表</w:t>
      </w:r>
      <w:r>
        <w:rPr>
          <w:rFonts w:hint="eastAsia"/>
          <w:color w:val="auto"/>
          <w:highlight w:val="none"/>
          <w:lang w:eastAsia="zh-CN"/>
        </w:rPr>
        <w:t>4.3</w:t>
      </w:r>
      <w:r>
        <w:rPr>
          <w:rFonts w:hint="eastAsia"/>
          <w:color w:val="auto"/>
          <w:highlight w:val="none"/>
        </w:rPr>
        <w:t>-</w:t>
      </w:r>
      <w:r>
        <w:rPr>
          <w:rFonts w:hint="eastAsia"/>
          <w:color w:val="auto"/>
          <w:highlight w:val="none"/>
          <w:lang w:val="en-US" w:eastAsia="zh-CN"/>
        </w:rPr>
        <w:t>3</w:t>
      </w:r>
      <w:r>
        <w:rPr>
          <w:rFonts w:hint="eastAsia"/>
          <w:color w:val="auto"/>
          <w:highlight w:val="none"/>
        </w:rPr>
        <w:t>。评价区植被类型图见图</w:t>
      </w:r>
      <w:r>
        <w:rPr>
          <w:rFonts w:hint="eastAsia"/>
          <w:color w:val="auto"/>
          <w:highlight w:val="none"/>
          <w:lang w:eastAsia="zh-CN"/>
        </w:rPr>
        <w:t>4.3</w:t>
      </w:r>
      <w:r>
        <w:rPr>
          <w:rFonts w:hint="eastAsia"/>
          <w:color w:val="auto"/>
          <w:highlight w:val="none"/>
        </w:rPr>
        <w:t>-3。</w:t>
      </w:r>
    </w:p>
    <w:p w14:paraId="24385593">
      <w:pPr>
        <w:ind w:firstLine="480" w:firstLineChars="200"/>
        <w:rPr>
          <w:color w:val="auto"/>
          <w:highlight w:val="none"/>
        </w:rPr>
      </w:pPr>
      <w:r>
        <w:rPr>
          <w:rFonts w:hint="eastAsia"/>
          <w:color w:val="auto"/>
          <w:highlight w:val="none"/>
        </w:rPr>
        <w:t>调查显示，评价区域主要包括人工植被和自然植被。其中，人工植被主要为棉花、玉米、小麦等作物，以及田间分布的杨树（</w:t>
      </w:r>
      <w:r>
        <w:rPr>
          <w:i/>
          <w:color w:val="auto"/>
          <w:highlight w:val="none"/>
        </w:rPr>
        <w:t>Populus tomentosa</w:t>
      </w:r>
      <w:r>
        <w:rPr>
          <w:rFonts w:hint="eastAsia"/>
          <w:color w:val="auto"/>
          <w:highlight w:val="none"/>
        </w:rPr>
        <w:t>）、榆树（</w:t>
      </w:r>
      <w:r>
        <w:rPr>
          <w:i/>
          <w:color w:val="auto"/>
          <w:highlight w:val="none"/>
        </w:rPr>
        <w:t>Ulmus pumila</w:t>
      </w:r>
      <w:r>
        <w:rPr>
          <w:rFonts w:hint="eastAsia"/>
          <w:color w:val="auto"/>
          <w:highlight w:val="none"/>
        </w:rPr>
        <w:t>）等植被；自然植被区系组成丰富，主要的植被类型有</w:t>
      </w:r>
      <w:r>
        <w:rPr>
          <w:rFonts w:hint="eastAsia"/>
          <w:color w:val="auto"/>
          <w:highlight w:val="none"/>
          <w:lang w:val="en-US" w:eastAsia="zh-CN"/>
        </w:rPr>
        <w:t>林地、灌丛</w:t>
      </w:r>
      <w:r>
        <w:rPr>
          <w:rFonts w:hint="eastAsia"/>
          <w:color w:val="auto"/>
          <w:highlight w:val="none"/>
        </w:rPr>
        <w:t>、草地等，评价区域内优势种主要有</w:t>
      </w:r>
      <w:r>
        <w:rPr>
          <w:rFonts w:hint="eastAsia" w:ascii="Times New Roman" w:eastAsia="宋体"/>
          <w:color w:val="auto"/>
          <w:highlight w:val="none"/>
          <w:lang w:val="en-US" w:eastAsia="zh-CN"/>
        </w:rPr>
        <w:t>胡杨、梭梭</w:t>
      </w:r>
      <w:r>
        <w:rPr>
          <w:rFonts w:hint="eastAsia"/>
          <w:color w:val="auto"/>
          <w:highlight w:val="none"/>
        </w:rPr>
        <w:t>、合头草、芨芨草、芦苇等，自然植被覆盖度约为10%</w:t>
      </w:r>
      <w:r>
        <w:rPr>
          <w:rFonts w:hint="eastAsia"/>
          <w:color w:val="auto"/>
          <w:highlight w:val="none"/>
          <w:lang w:val="en-US" w:eastAsia="zh-CN"/>
        </w:rPr>
        <w:t>~2</w:t>
      </w:r>
      <w:r>
        <w:rPr>
          <w:color w:val="auto"/>
          <w:highlight w:val="none"/>
        </w:rPr>
        <w:t>0</w:t>
      </w:r>
      <w:r>
        <w:rPr>
          <w:rFonts w:hint="eastAsia"/>
          <w:color w:val="auto"/>
          <w:highlight w:val="none"/>
        </w:rPr>
        <w:t>%。</w:t>
      </w:r>
    </w:p>
    <w:p w14:paraId="3B9D079C">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评价区域保护植物</w:t>
      </w:r>
    </w:p>
    <w:p w14:paraId="6381D012">
      <w:pPr>
        <w:ind w:firstLine="480" w:firstLineChars="200"/>
        <w:rPr>
          <w:rFonts w:hint="eastAsia"/>
          <w:color w:val="auto"/>
          <w:highlight w:val="none"/>
          <w:lang w:eastAsia="zh-CN"/>
        </w:rPr>
      </w:pPr>
      <w:r>
        <w:rPr>
          <w:rFonts w:hint="eastAsia"/>
          <w:color w:val="auto"/>
          <w:highlight w:val="none"/>
        </w:rPr>
        <w:t>根据《国家重点保护野生植物名录》（国家林业和草原局 农业农村部公告〔2021年第15号〕）、《新疆国家重点保护野生植物名录》（新林护〔2022〕8号）以及《新疆维吾尔自治区人民政府关于公布新疆维吾尔自治区重点保护野生植物名录的通知》（新政发〔2023〕63号），评价区域的</w:t>
      </w:r>
      <w:r>
        <w:rPr>
          <w:rFonts w:hint="eastAsia"/>
          <w:color w:val="auto"/>
          <w:highlight w:val="none"/>
          <w:lang w:val="en-US" w:eastAsia="zh-CN"/>
        </w:rPr>
        <w:t>琵琶柴</w:t>
      </w:r>
      <w:r>
        <w:rPr>
          <w:rFonts w:hint="eastAsia"/>
          <w:color w:val="auto"/>
          <w:highlight w:val="none"/>
        </w:rPr>
        <w:t>（</w:t>
      </w:r>
      <w:r>
        <w:rPr>
          <w:rFonts w:hint="eastAsia"/>
          <w:i/>
          <w:color w:val="auto"/>
          <w:highlight w:val="none"/>
        </w:rPr>
        <w:t>Reaumuria kaschgarica</w:t>
      </w:r>
      <w:r>
        <w:rPr>
          <w:rFonts w:hint="eastAsia"/>
          <w:color w:val="auto"/>
          <w:highlight w:val="none"/>
        </w:rPr>
        <w:t>）为</w:t>
      </w:r>
      <w:r>
        <w:rPr>
          <w:rFonts w:hint="eastAsia"/>
          <w:color w:val="auto"/>
          <w:highlight w:val="none"/>
          <w:lang w:val="en-US" w:eastAsia="zh-CN"/>
        </w:rPr>
        <w:t>自治区Ⅱ级</w:t>
      </w:r>
      <w:r>
        <w:rPr>
          <w:rFonts w:hint="eastAsia"/>
          <w:color w:val="auto"/>
          <w:highlight w:val="none"/>
        </w:rPr>
        <w:t>保护植物</w:t>
      </w:r>
      <w:r>
        <w:rPr>
          <w:rFonts w:hint="eastAsia"/>
          <w:color w:val="auto"/>
          <w:highlight w:val="none"/>
          <w:lang w:eastAsia="zh-CN"/>
        </w:rPr>
        <w:t>。</w:t>
      </w:r>
    </w:p>
    <w:p w14:paraId="4C0F81EB">
      <w:pPr>
        <w:ind w:firstLine="480" w:firstLineChars="200"/>
        <w:rPr>
          <w:rFonts w:hint="eastAsia" w:eastAsia="宋体"/>
          <w:color w:val="auto"/>
          <w:highlight w:val="none"/>
          <w:lang w:eastAsia="zh-CN"/>
        </w:rPr>
      </w:pPr>
      <w:r>
        <w:rPr>
          <w:rFonts w:hint="eastAsia" w:ascii="Times New Roman" w:eastAsia="宋体"/>
          <w:color w:val="auto"/>
          <w:highlight w:val="none"/>
          <w:lang w:val="en-US" w:eastAsia="zh-CN"/>
        </w:rPr>
        <w:t>琵琶柴</w:t>
      </w:r>
      <w:r>
        <w:rPr>
          <w:rFonts w:hint="eastAsia"/>
          <w:color w:val="auto"/>
          <w:highlight w:val="none"/>
        </w:rPr>
        <w:t>（</w:t>
      </w:r>
      <w:r>
        <w:rPr>
          <w:rFonts w:hint="eastAsia"/>
          <w:i/>
          <w:color w:val="auto"/>
          <w:highlight w:val="none"/>
        </w:rPr>
        <w:t>Reaumuria kaschgarica</w:t>
      </w:r>
      <w:r>
        <w:rPr>
          <w:rFonts w:hint="eastAsia"/>
          <w:color w:val="auto"/>
          <w:highlight w:val="none"/>
        </w:rPr>
        <w:t>）</w:t>
      </w:r>
      <w:r>
        <w:rPr>
          <w:rFonts w:hint="eastAsia"/>
          <w:color w:val="auto"/>
          <w:highlight w:val="none"/>
          <w:lang w:val="en-US" w:eastAsia="zh-CN"/>
        </w:rPr>
        <w:t>又名五柱红砂是柽柳科、红砂属植物。矮小半灌木，高达20cm，具多数曲拐的细枝，呈垫状；老枝灰棕色，当年生枝淡红色至淡红棕色。叶略扁，由基部的鳞片状向上渐变长，呈线形，或略近圆柱形，常略弯。花单生小枝顶端，几无梗；苞片稀少，形同叶片，长3-4mm。蒴果长圆状卵形，长7mm，宽3mm~4mm，5瓣裂。种子细小，长圆状椭圆形。花期7月~8月。</w:t>
      </w:r>
      <w:r>
        <w:rPr>
          <w:rFonts w:hint="default" w:eastAsia="宋体"/>
          <w:color w:val="auto"/>
          <w:highlight w:val="none"/>
          <w:lang w:val="en-US" w:eastAsia="zh-CN"/>
        </w:rPr>
        <w:t>琵琶柴</w:t>
      </w:r>
      <w:r>
        <w:rPr>
          <w:rFonts w:hint="eastAsia"/>
          <w:color w:val="auto"/>
          <w:highlight w:val="none"/>
        </w:rPr>
        <w:t>在生物改良盐碱地、防风固沙、保护绿洲等方面具有重要的生态价值。琵琶柴枝叶青鲜时含有较高的粗蛋白和粗脂肪，是荒漠区骆驼、羊和马的优良牧草。此外，琵琶柴的嫩枝、叶均可入药，用于治疗湿疹、皮炎，并可解热发汗。琵琶柴地上部分遇小火即燃。列入《世界自然保护联盟濒危物种红色名录》（IUCN）——易危（VU）</w:t>
      </w:r>
      <w:r>
        <w:rPr>
          <w:rFonts w:hint="eastAsia"/>
          <w:color w:val="auto"/>
          <w:highlight w:val="none"/>
          <w:lang w:eastAsia="zh-CN"/>
        </w:rPr>
        <w:t>。</w:t>
      </w:r>
    </w:p>
    <w:p w14:paraId="4750D73C">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评价区植被类型</w:t>
      </w:r>
    </w:p>
    <w:p w14:paraId="2476B456">
      <w:pPr>
        <w:ind w:firstLine="480" w:firstLineChars="200"/>
        <w:rPr>
          <w:color w:val="auto"/>
          <w:highlight w:val="none"/>
        </w:rPr>
      </w:pPr>
      <w:r>
        <w:rPr>
          <w:rFonts w:hint="eastAsia"/>
          <w:color w:val="auto"/>
          <w:highlight w:val="none"/>
        </w:rPr>
        <w:t>本项目所在区域的自然植被主要有</w:t>
      </w:r>
      <w:r>
        <w:rPr>
          <w:rFonts w:hint="eastAsia"/>
          <w:color w:val="auto"/>
          <w:highlight w:val="none"/>
          <w:lang w:val="en-US" w:eastAsia="zh-CN"/>
        </w:rPr>
        <w:t>2</w:t>
      </w:r>
      <w:r>
        <w:rPr>
          <w:rFonts w:hint="eastAsia"/>
          <w:color w:val="auto"/>
          <w:highlight w:val="none"/>
        </w:rPr>
        <w:t>种植被类型，即</w:t>
      </w:r>
      <w:r>
        <w:rPr>
          <w:rFonts w:hint="eastAsia"/>
          <w:color w:val="auto"/>
          <w:highlight w:val="none"/>
          <w:lang w:val="en-US" w:eastAsia="zh-CN"/>
        </w:rPr>
        <w:t>乔木林、灌丛</w:t>
      </w:r>
      <w:r>
        <w:rPr>
          <w:rFonts w:hint="eastAsia"/>
          <w:color w:val="auto"/>
          <w:highlight w:val="none"/>
        </w:rPr>
        <w:t>；</w:t>
      </w:r>
      <w:r>
        <w:rPr>
          <w:rFonts w:hint="eastAsia" w:ascii="Times New Roman" w:eastAsia="宋体"/>
          <w:color w:val="auto"/>
          <w:highlight w:val="none"/>
          <w:lang w:val="en-US" w:eastAsia="zh-CN"/>
        </w:rPr>
        <w:t>3</w:t>
      </w:r>
      <w:r>
        <w:rPr>
          <w:rFonts w:hint="eastAsia"/>
          <w:color w:val="auto"/>
          <w:highlight w:val="none"/>
        </w:rPr>
        <w:t>个群系，即</w:t>
      </w:r>
      <w:r>
        <w:rPr>
          <w:rFonts w:hint="eastAsia" w:ascii="Times New Roman" w:eastAsia="宋体"/>
          <w:color w:val="auto"/>
          <w:highlight w:val="none"/>
          <w:lang w:val="en-US" w:eastAsia="zh-CN"/>
        </w:rPr>
        <w:t>胡杨群系、</w:t>
      </w:r>
      <w:r>
        <w:rPr>
          <w:rFonts w:hint="eastAsia"/>
          <w:color w:val="auto"/>
          <w:highlight w:val="none"/>
        </w:rPr>
        <w:t>梭梭群系、芦苇-盐节木群系。各群系主要的群落特征如下：</w:t>
      </w:r>
    </w:p>
    <w:p w14:paraId="54F4306F">
      <w:pPr>
        <w:ind w:firstLine="480" w:firstLineChars="200"/>
        <w:rPr>
          <w:rFonts w:hint="eastAsia"/>
          <w:color w:val="auto"/>
          <w:highlight w:val="none"/>
        </w:rPr>
      </w:pPr>
      <w:r>
        <w:rPr>
          <w:rFonts w:hint="eastAsia"/>
          <w:color w:val="auto"/>
          <w:highlight w:val="none"/>
        </w:rPr>
        <w:t>（1）胡杨群系</w:t>
      </w:r>
    </w:p>
    <w:p w14:paraId="05606CA9">
      <w:pPr>
        <w:ind w:firstLine="480" w:firstLineChars="200"/>
        <w:rPr>
          <w:rFonts w:hint="eastAsia" w:eastAsia="宋体"/>
          <w:color w:val="auto"/>
          <w:highlight w:val="none"/>
          <w:lang w:val="en-US" w:eastAsia="zh-CN"/>
        </w:rPr>
      </w:pPr>
      <w:r>
        <w:rPr>
          <w:rFonts w:hint="eastAsia" w:eastAsia="宋体"/>
          <w:color w:val="auto"/>
          <w:highlight w:val="none"/>
          <w:lang w:eastAsia="zh-CN"/>
        </w:rPr>
        <w:t>胡杨群系</w:t>
      </w:r>
      <w:r>
        <w:rPr>
          <w:rFonts w:hint="eastAsia" w:ascii="Times New Roman" w:eastAsia="宋体"/>
          <w:color w:val="auto"/>
          <w:highlight w:val="none"/>
          <w:lang w:val="en-US" w:eastAsia="zh-CN"/>
        </w:rPr>
        <w:t>主要分布在项目区西北部，</w:t>
      </w:r>
      <w:r>
        <w:rPr>
          <w:rFonts w:hint="eastAsia" w:eastAsia="宋体"/>
          <w:color w:val="auto"/>
          <w:highlight w:val="none"/>
          <w:lang w:eastAsia="zh-CN"/>
        </w:rPr>
        <w:t>该群系是胡杨林内相对稳定的群落类型，分布较广，是河漫滩胡杨林发育的成熟阶段。土壤类型为林灌草甸土，胡杨林呈走廊</w:t>
      </w:r>
      <w:r>
        <w:rPr>
          <w:rFonts w:hint="eastAsia"/>
          <w:color w:val="auto"/>
          <w:highlight w:val="none"/>
          <w:lang w:eastAsia="zh-CN"/>
        </w:rPr>
        <w:t>式</w:t>
      </w:r>
      <w:r>
        <w:rPr>
          <w:rFonts w:hint="eastAsia" w:eastAsia="宋体"/>
          <w:color w:val="auto"/>
          <w:highlight w:val="none"/>
          <w:lang w:eastAsia="zh-CN"/>
        </w:rPr>
        <w:t>沿</w:t>
      </w:r>
      <w:r>
        <w:rPr>
          <w:rFonts w:hint="eastAsia" w:ascii="Times New Roman" w:eastAsia="宋体"/>
          <w:color w:val="auto"/>
          <w:highlight w:val="none"/>
          <w:lang w:val="en-US" w:eastAsia="zh-CN"/>
        </w:rPr>
        <w:t>河漫滩南北向</w:t>
      </w:r>
      <w:r>
        <w:rPr>
          <w:rFonts w:hint="eastAsia" w:eastAsia="宋体"/>
          <w:color w:val="auto"/>
          <w:highlight w:val="none"/>
          <w:lang w:eastAsia="zh-CN"/>
        </w:rPr>
        <w:t>分布。群落内胡杨为优势种，生长较为茂盛，高度6-12m不等，每公顷株数100-150株左右，盖度多在</w:t>
      </w:r>
      <w:r>
        <w:rPr>
          <w:rFonts w:hint="eastAsia"/>
          <w:color w:val="auto"/>
          <w:highlight w:val="none"/>
          <w:lang w:val="en-US" w:eastAsia="zh-CN"/>
        </w:rPr>
        <w:t>2</w:t>
      </w:r>
      <w:r>
        <w:rPr>
          <w:rFonts w:hint="eastAsia" w:eastAsia="宋体"/>
          <w:color w:val="auto"/>
          <w:highlight w:val="none"/>
          <w:lang w:eastAsia="zh-CN"/>
        </w:rPr>
        <w:t>0%</w:t>
      </w:r>
      <w:r>
        <w:rPr>
          <w:rFonts w:hint="eastAsia"/>
          <w:color w:val="auto"/>
          <w:highlight w:val="none"/>
          <w:lang w:val="en-US" w:eastAsia="zh-CN"/>
        </w:rPr>
        <w:t>左右</w:t>
      </w:r>
      <w:r>
        <w:rPr>
          <w:rFonts w:hint="eastAsia" w:eastAsia="宋体"/>
          <w:color w:val="auto"/>
          <w:highlight w:val="none"/>
          <w:lang w:eastAsia="zh-CN"/>
        </w:rPr>
        <w:t>。林下灌木层主要是</w:t>
      </w:r>
      <w:r>
        <w:rPr>
          <w:rFonts w:hint="eastAsia" w:ascii="Times New Roman" w:eastAsia="宋体"/>
          <w:color w:val="auto"/>
          <w:highlight w:val="none"/>
          <w:lang w:val="en-US" w:eastAsia="zh-CN"/>
        </w:rPr>
        <w:t>梭梭</w:t>
      </w:r>
      <w:r>
        <w:rPr>
          <w:rFonts w:hint="eastAsia" w:eastAsia="宋体"/>
          <w:color w:val="auto"/>
          <w:highlight w:val="none"/>
          <w:lang w:eastAsia="zh-CN"/>
        </w:rPr>
        <w:t>，其盖度</w:t>
      </w:r>
      <w:r>
        <w:rPr>
          <w:rFonts w:hint="eastAsia"/>
          <w:color w:val="auto"/>
          <w:highlight w:val="none"/>
          <w:lang w:eastAsia="zh-CN"/>
        </w:rPr>
        <w:t>随</w:t>
      </w:r>
      <w:r>
        <w:rPr>
          <w:rFonts w:hint="eastAsia" w:eastAsia="宋体"/>
          <w:color w:val="auto"/>
          <w:highlight w:val="none"/>
          <w:lang w:eastAsia="zh-CN"/>
        </w:rPr>
        <w:t>林冠郁闭度而变化，在密林中较稀疏，在疏林中，灌木层盖度可达50%。草本也非常稀疏，常见的</w:t>
      </w:r>
      <w:r>
        <w:rPr>
          <w:rFonts w:hint="eastAsia" w:ascii="Times New Roman" w:eastAsia="宋体"/>
          <w:color w:val="auto"/>
          <w:highlight w:val="none"/>
          <w:lang w:val="en-US" w:eastAsia="zh-CN"/>
        </w:rPr>
        <w:t>有</w:t>
      </w:r>
      <w:r>
        <w:rPr>
          <w:rFonts w:hint="eastAsia" w:eastAsia="宋体"/>
          <w:color w:val="auto"/>
          <w:highlight w:val="none"/>
          <w:lang w:eastAsia="zh-CN"/>
        </w:rPr>
        <w:t>芦苇、疏叶骆驼刺等。胡杨林内由于土壤表层，通常十分干旱和有盐结皮，在天然情况下，胡杨的更新已不能进行，但在部分水分较好处，尚能发生根蘖幼树，数量不多。</w:t>
      </w:r>
    </w:p>
    <w:p w14:paraId="13A10AD8">
      <w:pPr>
        <w:ind w:firstLine="480" w:firstLineChars="200"/>
        <w:rPr>
          <w:color w:val="auto"/>
          <w:highlight w:val="none"/>
        </w:rPr>
      </w:pPr>
      <w:r>
        <w:rPr>
          <w:rFonts w:hint="eastAsia" w:eastAsia="宋体"/>
          <w:color w:val="auto"/>
          <w:highlight w:val="none"/>
          <w:lang w:eastAsia="zh-CN"/>
        </w:rPr>
        <w:t>（</w:t>
      </w:r>
      <w:r>
        <w:rPr>
          <w:rFonts w:hint="eastAsia" w:ascii="Times New Roman" w:eastAsia="宋体"/>
          <w:color w:val="auto"/>
          <w:highlight w:val="none"/>
          <w:lang w:val="en-US" w:eastAsia="zh-CN"/>
        </w:rPr>
        <w:t>2</w:t>
      </w:r>
      <w:r>
        <w:rPr>
          <w:rFonts w:hint="eastAsia" w:eastAsia="宋体"/>
          <w:color w:val="auto"/>
          <w:highlight w:val="none"/>
          <w:lang w:eastAsia="zh-CN"/>
        </w:rPr>
        <w:t>）</w:t>
      </w:r>
      <w:r>
        <w:rPr>
          <w:rFonts w:hint="eastAsia"/>
          <w:color w:val="auto"/>
          <w:highlight w:val="none"/>
        </w:rPr>
        <w:t>梭梭群系</w:t>
      </w:r>
    </w:p>
    <w:p w14:paraId="269105E3">
      <w:pPr>
        <w:ind w:firstLine="480" w:firstLineChars="200"/>
        <w:rPr>
          <w:color w:val="auto"/>
          <w:highlight w:val="none"/>
        </w:rPr>
      </w:pPr>
      <w:r>
        <w:rPr>
          <w:rFonts w:hint="eastAsia"/>
          <w:color w:val="auto"/>
          <w:highlight w:val="none"/>
        </w:rPr>
        <w:t>该群系在评价区西北部集中分布，群系伴生有木本猪毛菜、琵琶柴等，树冠通常近半球形。木材坚而脆，老枝淡黄褐色或灰褐色，通常具环状裂隙；幼枝通常较白梭梭稍粗，径约1.5mm，往往斜升，具关节，节部长4~12mm，干后通常有皱或小点，叶退化为鳞片状，宽三角形，稍开展，基部连合，边缘膜质，先端钝或尖，胶间具棉毛。花单生叶腋，排列于当年生短枝上；小苞片舟状，宽卵形；花被片5，矩圆形，背部生翅状附属物，在翅以上部分稍向内曲并围抱果实；翅膜质，褐色至淡黄褐色，肾形至近圆形，基部心形至楔形，通常平展，少数斜伸。胞果黄褐色。种子黑色；胚陀螺状。花期6~8月，果期8~10月。生于海拔450~1500m的广大山麓洪积扇和淤积平原、固定沙丘、沙地、砂砾质荒漠、砾质荒漠、轻度盐碱土荒漠。为荒漠地区优良固沙造林植物。</w:t>
      </w:r>
    </w:p>
    <w:p w14:paraId="5B0A7756">
      <w:pPr>
        <w:ind w:firstLine="480" w:firstLineChars="200"/>
        <w:rPr>
          <w:color w:val="auto"/>
          <w:highlight w:val="none"/>
        </w:rPr>
      </w:pPr>
      <w:r>
        <w:rPr>
          <w:rFonts w:hint="eastAsia"/>
          <w:color w:val="auto"/>
          <w:highlight w:val="none"/>
        </w:rPr>
        <w:t>（</w:t>
      </w:r>
      <w:r>
        <w:rPr>
          <w:rFonts w:hint="eastAsia" w:ascii="Times New Roman" w:eastAsia="宋体"/>
          <w:color w:val="auto"/>
          <w:highlight w:val="none"/>
          <w:lang w:val="en-US" w:eastAsia="zh-CN"/>
        </w:rPr>
        <w:t>3</w:t>
      </w:r>
      <w:r>
        <w:rPr>
          <w:rFonts w:hint="eastAsia"/>
          <w:color w:val="auto"/>
          <w:highlight w:val="none"/>
        </w:rPr>
        <w:t>）芦苇-盐节木群系</w:t>
      </w:r>
    </w:p>
    <w:p w14:paraId="0E6312F5">
      <w:pPr>
        <w:ind w:firstLine="480" w:firstLineChars="200"/>
        <w:rPr>
          <w:rFonts w:hint="eastAsia"/>
          <w:color w:val="auto"/>
          <w:highlight w:val="none"/>
        </w:rPr>
      </w:pPr>
      <w:r>
        <w:rPr>
          <w:rFonts w:hint="eastAsia"/>
          <w:color w:val="auto"/>
          <w:highlight w:val="none"/>
        </w:rPr>
        <w:t>在评价区西北部农田边缘等区域零散分布，地面有时积水，土壤为沼泽土、典型盐土等。该区域芦苇长势稀疏，高度0.5m～0.8m，盖度达20%。有时其中夹杂小量盐节木或梭梭。盐节木是一种最耐盐的肉质小半灌木植物，根系具有耐水淹的特性，因此经常出现在地下水位较高的潮湿盐土地带，冲积平原的结壳盐土上也有分布。群落是最典型的多枝木本盐柴类荒漠，其种类组成简单，只有一个层片，盐节木的生长状况随土壤的湿润程度或地下水的深度而变化。在地下水接近地表的潮湿盐土上，它生长</w:t>
      </w:r>
      <w:r>
        <w:rPr>
          <w:rFonts w:hint="eastAsia"/>
          <w:color w:val="auto"/>
          <w:highlight w:val="none"/>
          <w:lang w:eastAsia="zh-CN"/>
        </w:rPr>
        <w:t>茂密</w:t>
      </w:r>
      <w:r>
        <w:rPr>
          <w:rFonts w:hint="eastAsia"/>
          <w:color w:val="auto"/>
          <w:highlight w:val="none"/>
        </w:rPr>
        <w:t>，植株高30cm-40cm，覆盖度可达到5%</w:t>
      </w:r>
      <w:r>
        <w:rPr>
          <w:rFonts w:hint="eastAsia"/>
          <w:color w:val="auto"/>
          <w:highlight w:val="none"/>
          <w:lang w:val="en-US" w:eastAsia="zh-CN"/>
        </w:rPr>
        <w:t>~</w:t>
      </w:r>
      <w:r>
        <w:rPr>
          <w:rFonts w:hint="eastAsia"/>
          <w:color w:val="auto"/>
          <w:highlight w:val="none"/>
        </w:rPr>
        <w:t>10%，伴生植物有芦苇等。当地下水位较深时，群落变得稀疏，覆盖度在3%~5%。</w:t>
      </w:r>
    </w:p>
    <w:p w14:paraId="28993514">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植被样方调查</w:t>
      </w:r>
    </w:p>
    <w:p w14:paraId="2F02C961">
      <w:pPr>
        <w:ind w:firstLine="480" w:firstLineChars="200"/>
        <w:rPr>
          <w:rFonts w:hint="eastAsia" w:eastAsia="宋体"/>
          <w:color w:val="auto"/>
          <w:highlight w:val="none"/>
          <w:lang w:eastAsia="zh-CN"/>
        </w:rPr>
      </w:pPr>
      <w:r>
        <w:rPr>
          <w:rFonts w:hint="eastAsia"/>
          <w:color w:val="auto"/>
          <w:highlight w:val="none"/>
        </w:rPr>
        <w:t>根据《环境影响评价技术导则  生态影响》（HJ19-2022）生态环境影响二级评价工作要求，陆生生态二级评价结合调查范围、调查对象、地形地貌和实际情况选择合适的调查方法。开展样线、样方调查的，应合理确定样线、样方的数量、长度或面积，涵盖评价范围内不同的植被类型及生境类型。根据植物群落类型（宜以群系及以下分类单位为调查单元）设置调查样地，二级评价每种群落类型设置的样方数量不少于</w:t>
      </w:r>
      <w:r>
        <w:rPr>
          <w:rFonts w:hint="eastAsia"/>
          <w:color w:val="auto"/>
          <w:highlight w:val="none"/>
          <w:lang w:val="en-US" w:eastAsia="zh-CN"/>
        </w:rPr>
        <w:t>3</w:t>
      </w:r>
      <w:r>
        <w:rPr>
          <w:rFonts w:hint="eastAsia"/>
          <w:color w:val="auto"/>
          <w:highlight w:val="none"/>
        </w:rPr>
        <w:t>个，调查时间宜选择植物生长旺盛季节</w:t>
      </w:r>
      <w:r>
        <w:rPr>
          <w:rFonts w:hint="eastAsia"/>
          <w:color w:val="auto"/>
          <w:highlight w:val="none"/>
          <w:lang w:eastAsia="zh-CN"/>
        </w:rPr>
        <w:t>。</w:t>
      </w:r>
    </w:p>
    <w:p w14:paraId="4DC9E4E8">
      <w:pPr>
        <w:ind w:firstLine="480" w:firstLineChars="200"/>
        <w:rPr>
          <w:rFonts w:hint="default" w:eastAsia="宋体"/>
          <w:color w:val="auto"/>
          <w:highlight w:val="none"/>
          <w:lang w:val="en-US" w:eastAsia="zh-CN"/>
        </w:rPr>
      </w:pPr>
      <w:r>
        <w:rPr>
          <w:rFonts w:hint="eastAsia"/>
          <w:color w:val="auto"/>
          <w:highlight w:val="none"/>
          <w:lang w:val="en-US" w:eastAsia="zh-CN"/>
        </w:rPr>
        <w:t>本次评价涉及的植被群系有胡杨群系、梭梭群系、芦苇-盐节木群系等3个群系，分别设置3个植被样方，共计9个，符合导则要求。</w:t>
      </w:r>
    </w:p>
    <w:p w14:paraId="58A02BD3">
      <w:pPr>
        <w:ind w:firstLine="480" w:firstLineChars="200"/>
        <w:rPr>
          <w:color w:val="auto"/>
          <w:highlight w:val="none"/>
        </w:rPr>
      </w:pPr>
      <w:r>
        <w:rPr>
          <w:rFonts w:hint="eastAsia"/>
          <w:color w:val="auto"/>
          <w:highlight w:val="none"/>
        </w:rPr>
        <w:t>植被样方调查如下。</w:t>
      </w:r>
    </w:p>
    <w:p w14:paraId="1726F05B">
      <w:pPr>
        <w:ind w:firstLine="480" w:firstLineChars="200"/>
        <w:rPr>
          <w:rFonts w:eastAsiaTheme="minorEastAsia"/>
          <w:color w:val="auto"/>
          <w:highlight w:val="none"/>
        </w:rPr>
      </w:pPr>
      <w:r>
        <w:rPr>
          <w:rFonts w:hint="eastAsia" w:eastAsiaTheme="minorEastAsia"/>
          <w:color w:val="auto"/>
          <w:highlight w:val="none"/>
        </w:rPr>
        <w:t>A.布设原则</w:t>
      </w:r>
    </w:p>
    <w:p w14:paraId="4893C7E3">
      <w:pPr>
        <w:ind w:firstLine="480" w:firstLineChars="200"/>
        <w:rPr>
          <w:rFonts w:eastAsiaTheme="minorEastAsia"/>
          <w:color w:val="auto"/>
          <w:highlight w:val="none"/>
        </w:rPr>
      </w:pPr>
      <w:r>
        <w:rPr>
          <w:rFonts w:hint="eastAsia" w:eastAsiaTheme="minorEastAsia"/>
          <w:color w:val="auto"/>
          <w:highlight w:val="none"/>
        </w:rPr>
        <w:t>为了获取评价区植被类型及其生长状况信息（覆盖度、生物量、分布特征等），评价人员采取了遥感影像解译、实地踏勘、样方分析、查阅资料等多种方法。</w:t>
      </w:r>
    </w:p>
    <w:p w14:paraId="37343A4B">
      <w:pPr>
        <w:ind w:firstLine="480" w:firstLineChars="200"/>
        <w:rPr>
          <w:rFonts w:eastAsiaTheme="minorEastAsia"/>
          <w:color w:val="auto"/>
          <w:highlight w:val="none"/>
        </w:rPr>
      </w:pPr>
      <w:r>
        <w:rPr>
          <w:rFonts w:hint="eastAsia" w:eastAsiaTheme="minorEastAsia"/>
          <w:color w:val="auto"/>
          <w:highlight w:val="none"/>
        </w:rPr>
        <w:t>B.样方调查内容</w:t>
      </w:r>
    </w:p>
    <w:p w14:paraId="57F1F6DA">
      <w:pPr>
        <w:ind w:firstLine="480" w:firstLineChars="200"/>
        <w:rPr>
          <w:rFonts w:eastAsiaTheme="minorEastAsia"/>
          <w:color w:val="auto"/>
          <w:highlight w:val="none"/>
        </w:rPr>
      </w:pPr>
      <w:r>
        <w:rPr>
          <w:rFonts w:hint="eastAsia" w:eastAsiaTheme="minorEastAsia"/>
          <w:color w:val="auto"/>
          <w:highlight w:val="none"/>
        </w:rPr>
        <w:t>样方调查选择区域有代表性植物群落，使调查结果能充分代表评价区内的植被现状。布设天然植被调查样方的方法和</w:t>
      </w:r>
      <w:r>
        <w:rPr>
          <w:rFonts w:hint="eastAsia" w:eastAsiaTheme="minorEastAsia"/>
          <w:color w:val="auto"/>
          <w:highlight w:val="none"/>
          <w:lang w:eastAsia="zh-CN"/>
        </w:rPr>
        <w:t>记录</w:t>
      </w:r>
      <w:r>
        <w:rPr>
          <w:rFonts w:hint="eastAsia" w:eastAsiaTheme="minorEastAsia"/>
          <w:color w:val="auto"/>
          <w:highlight w:val="none"/>
        </w:rPr>
        <w:t>内容如下所述：</w:t>
      </w:r>
    </w:p>
    <w:p w14:paraId="68978D36">
      <w:pPr>
        <w:ind w:firstLine="480" w:firstLineChars="200"/>
        <w:rPr>
          <w:rFonts w:hint="eastAsia" w:eastAsiaTheme="minorEastAsia"/>
          <w:color w:val="auto"/>
          <w:highlight w:val="none"/>
        </w:rPr>
      </w:pPr>
      <w:r>
        <w:rPr>
          <w:rFonts w:hint="eastAsia" w:eastAsiaTheme="minorEastAsia"/>
          <w:color w:val="auto"/>
          <w:highlight w:val="none"/>
        </w:rPr>
        <w:t>胡杨群系样方调查：布设</w:t>
      </w:r>
      <w:r>
        <w:rPr>
          <w:rFonts w:hint="eastAsia" w:eastAsiaTheme="minorEastAsia"/>
          <w:color w:val="auto"/>
          <w:highlight w:val="none"/>
          <w:lang w:val="en-US" w:eastAsia="zh-CN"/>
        </w:rPr>
        <w:t>10</w:t>
      </w:r>
      <w:r>
        <w:rPr>
          <w:rFonts w:hint="eastAsia" w:eastAsiaTheme="minorEastAsia"/>
          <w:color w:val="auto"/>
          <w:highlight w:val="none"/>
        </w:rPr>
        <w:t>m×</w:t>
      </w:r>
      <w:r>
        <w:rPr>
          <w:rFonts w:hint="eastAsia" w:eastAsiaTheme="minorEastAsia"/>
          <w:color w:val="auto"/>
          <w:highlight w:val="none"/>
          <w:lang w:val="en-US" w:eastAsia="zh-CN"/>
        </w:rPr>
        <w:t>10</w:t>
      </w:r>
      <w:r>
        <w:rPr>
          <w:rFonts w:hint="eastAsia" w:eastAsiaTheme="minorEastAsia"/>
          <w:color w:val="auto"/>
          <w:highlight w:val="none"/>
        </w:rPr>
        <w:t>m的植被样方3个，记录该样方的GPS坐标和周围地形，同时记录样方内的植物种名称、株数、平均高、各物种盖度、生物量等信息。</w:t>
      </w:r>
    </w:p>
    <w:p w14:paraId="10E5959F">
      <w:pPr>
        <w:ind w:firstLine="480" w:firstLineChars="200"/>
        <w:rPr>
          <w:rFonts w:hint="eastAsia" w:eastAsiaTheme="minorEastAsia"/>
          <w:color w:val="auto"/>
          <w:highlight w:val="none"/>
        </w:rPr>
      </w:pPr>
      <w:r>
        <w:rPr>
          <w:rFonts w:hint="eastAsia" w:eastAsiaTheme="minorEastAsia"/>
          <w:color w:val="auto"/>
          <w:highlight w:val="none"/>
        </w:rPr>
        <w:t>梭梭群系样方调查：布设5m×5m的植被样方3个，记录该样方的GPS坐标和周围地形，同时记录样方内的植物种名称、株数、平均高、各物种盖度、生物量等信息。</w:t>
      </w:r>
    </w:p>
    <w:p w14:paraId="61C3E31E">
      <w:pPr>
        <w:ind w:firstLine="480" w:firstLineChars="200"/>
        <w:rPr>
          <w:rFonts w:eastAsiaTheme="minorEastAsia"/>
          <w:color w:val="auto"/>
          <w:highlight w:val="none"/>
        </w:rPr>
      </w:pPr>
      <w:r>
        <w:rPr>
          <w:rFonts w:hint="eastAsia" w:eastAsiaTheme="minorEastAsia"/>
          <w:color w:val="auto"/>
          <w:highlight w:val="none"/>
        </w:rPr>
        <w:t>芦苇-盐穗木群系样方调查：布设1m×1m样方3处，记录该样方的GPS坐标和周围地形，同时记录样方内的植物种名称、株数、平均高、各物种盖度、生物量等信息。</w:t>
      </w:r>
    </w:p>
    <w:p w14:paraId="5AB46C5E">
      <w:pPr>
        <w:ind w:firstLine="480" w:firstLineChars="200"/>
        <w:rPr>
          <w:rFonts w:eastAsiaTheme="minorEastAsia"/>
          <w:color w:val="auto"/>
          <w:highlight w:val="none"/>
        </w:rPr>
      </w:pPr>
      <w:r>
        <w:rPr>
          <w:rFonts w:hint="eastAsia" w:eastAsiaTheme="minorEastAsia"/>
          <w:color w:val="auto"/>
          <w:highlight w:val="none"/>
        </w:rPr>
        <w:t>C.样方信息统计</w:t>
      </w:r>
    </w:p>
    <w:p w14:paraId="20C46F5A">
      <w:pPr>
        <w:ind w:firstLine="480" w:firstLineChars="200"/>
        <w:rPr>
          <w:rFonts w:hint="eastAsia" w:eastAsiaTheme="minorEastAsia"/>
          <w:color w:val="auto"/>
          <w:highlight w:val="none"/>
          <w:lang w:eastAsia="zh-CN"/>
        </w:rPr>
      </w:pPr>
      <w:r>
        <w:rPr>
          <w:rFonts w:hint="eastAsia" w:eastAsiaTheme="minorEastAsia"/>
          <w:color w:val="auto"/>
          <w:highlight w:val="none"/>
        </w:rPr>
        <w:t>调查过程共做实测和记录样方</w:t>
      </w:r>
      <w:r>
        <w:rPr>
          <w:rFonts w:hint="eastAsia" w:eastAsiaTheme="minorEastAsia"/>
          <w:color w:val="auto"/>
          <w:highlight w:val="none"/>
          <w:lang w:val="en-US" w:eastAsia="zh-CN"/>
        </w:rPr>
        <w:t>9</w:t>
      </w:r>
      <w:r>
        <w:rPr>
          <w:rFonts w:hint="eastAsia" w:eastAsiaTheme="minorEastAsia"/>
          <w:color w:val="auto"/>
          <w:highlight w:val="none"/>
        </w:rPr>
        <w:t>个，主要样方情况见表</w:t>
      </w:r>
      <w:r>
        <w:rPr>
          <w:rFonts w:hint="eastAsia" w:eastAsiaTheme="minorEastAsia"/>
          <w:color w:val="auto"/>
          <w:highlight w:val="none"/>
          <w:lang w:eastAsia="zh-CN"/>
        </w:rPr>
        <w:t>4.3</w:t>
      </w:r>
      <w:r>
        <w:rPr>
          <w:rFonts w:eastAsiaTheme="minorEastAsia"/>
          <w:color w:val="auto"/>
          <w:highlight w:val="none"/>
        </w:rPr>
        <w:t>-</w:t>
      </w:r>
      <w:r>
        <w:rPr>
          <w:rFonts w:hint="eastAsia" w:eastAsiaTheme="minorEastAsia"/>
          <w:color w:val="auto"/>
          <w:highlight w:val="none"/>
          <w:lang w:val="en-US" w:eastAsia="zh-CN"/>
        </w:rPr>
        <w:t>4</w:t>
      </w:r>
      <w:r>
        <w:rPr>
          <w:rFonts w:hint="eastAsia" w:eastAsiaTheme="minorEastAsia"/>
          <w:color w:val="auto"/>
          <w:highlight w:val="none"/>
        </w:rPr>
        <w:t>、</w:t>
      </w:r>
      <w:r>
        <w:rPr>
          <w:rFonts w:hint="eastAsia" w:eastAsiaTheme="minorEastAsia"/>
          <w:color w:val="auto"/>
          <w:highlight w:val="none"/>
          <w:lang w:eastAsia="zh-CN"/>
        </w:rPr>
        <w:t>4.3</w:t>
      </w:r>
      <w:r>
        <w:rPr>
          <w:rFonts w:eastAsiaTheme="minorEastAsia"/>
          <w:color w:val="auto"/>
          <w:highlight w:val="none"/>
        </w:rPr>
        <w:t>-</w:t>
      </w:r>
      <w:r>
        <w:rPr>
          <w:rFonts w:hint="eastAsia" w:eastAsiaTheme="minorEastAsia"/>
          <w:color w:val="auto"/>
          <w:highlight w:val="none"/>
          <w:lang w:val="en-US" w:eastAsia="zh-CN"/>
        </w:rPr>
        <w:t>5</w:t>
      </w:r>
      <w:r>
        <w:rPr>
          <w:rFonts w:hint="eastAsia" w:eastAsiaTheme="minorEastAsia"/>
          <w:color w:val="auto"/>
          <w:highlight w:val="none"/>
          <w:lang w:eastAsia="zh-CN"/>
        </w:rPr>
        <w:t>、4.3-</w:t>
      </w:r>
      <w:r>
        <w:rPr>
          <w:rFonts w:hint="eastAsia" w:eastAsiaTheme="minorEastAsia"/>
          <w:color w:val="auto"/>
          <w:highlight w:val="none"/>
          <w:lang w:val="en-US" w:eastAsia="zh-CN"/>
        </w:rPr>
        <w:t>6</w:t>
      </w:r>
      <w:r>
        <w:rPr>
          <w:rFonts w:hint="eastAsia" w:eastAsiaTheme="minorEastAsia"/>
          <w:color w:val="auto"/>
          <w:highlight w:val="none"/>
        </w:rPr>
        <w:t>。根据样内和样外记录，结合以往有关研究等资料进行分析，由此对调查区植被及植物资源状况获得初步认识</w:t>
      </w:r>
      <w:r>
        <w:rPr>
          <w:rFonts w:hint="eastAsia" w:eastAsiaTheme="minorEastAsia"/>
          <w:color w:val="auto"/>
          <w:highlight w:val="none"/>
          <w:lang w:eastAsia="zh-CN"/>
        </w:rPr>
        <w:t>。</w:t>
      </w:r>
    </w:p>
    <w:p w14:paraId="4173C12B">
      <w:pPr>
        <w:ind w:firstLine="480" w:firstLineChars="200"/>
        <w:rPr>
          <w:rFonts w:eastAsiaTheme="minorEastAsia"/>
          <w:color w:val="auto"/>
          <w:highlight w:val="none"/>
        </w:rPr>
      </w:pPr>
      <w:r>
        <w:rPr>
          <w:rFonts w:hint="eastAsia" w:eastAsiaTheme="minorEastAsia"/>
          <w:color w:val="auto"/>
          <w:highlight w:val="none"/>
        </w:rPr>
        <w:t>①</w:t>
      </w:r>
      <w:r>
        <w:rPr>
          <w:rFonts w:hint="eastAsia" w:eastAsiaTheme="minorEastAsia"/>
          <w:color w:val="auto"/>
          <w:highlight w:val="none"/>
          <w:lang w:val="en-US" w:eastAsia="zh-CN"/>
        </w:rPr>
        <w:t>胡杨</w:t>
      </w:r>
      <w:r>
        <w:rPr>
          <w:rFonts w:hint="eastAsia" w:eastAsiaTheme="minorEastAsia"/>
          <w:color w:val="auto"/>
          <w:highlight w:val="none"/>
        </w:rPr>
        <w:t>群系，调查地点：评价区西北部，土壤类型：</w:t>
      </w:r>
      <w:r>
        <w:rPr>
          <w:rFonts w:hint="eastAsia" w:eastAsiaTheme="minorEastAsia"/>
          <w:color w:val="auto"/>
          <w:highlight w:val="none"/>
          <w:lang w:val="en-US" w:eastAsia="zh-CN"/>
        </w:rPr>
        <w:t>林灌草甸土</w:t>
      </w:r>
      <w:r>
        <w:rPr>
          <w:rFonts w:hint="eastAsia" w:eastAsiaTheme="minorEastAsia"/>
          <w:color w:val="auto"/>
          <w:highlight w:val="none"/>
        </w:rPr>
        <w:t>；</w:t>
      </w:r>
    </w:p>
    <w:p w14:paraId="2F8A9F4B">
      <w:pPr>
        <w:ind w:firstLine="480" w:firstLineChars="200"/>
        <w:rPr>
          <w:rFonts w:eastAsiaTheme="minorEastAsia"/>
          <w:color w:val="auto"/>
          <w:highlight w:val="none"/>
        </w:rPr>
      </w:pPr>
      <w:r>
        <w:rPr>
          <w:rFonts w:hint="eastAsia" w:eastAsiaTheme="minorEastAsia"/>
          <w:color w:val="auto"/>
          <w:highlight w:val="none"/>
        </w:rPr>
        <w:t>样方大小：</w:t>
      </w:r>
      <w:r>
        <w:rPr>
          <w:rFonts w:hint="eastAsia" w:eastAsiaTheme="minorEastAsia"/>
          <w:color w:val="auto"/>
          <w:highlight w:val="none"/>
          <w:lang w:val="en-US" w:eastAsia="zh-CN"/>
        </w:rPr>
        <w:t>10</w:t>
      </w:r>
      <w:r>
        <w:rPr>
          <w:rFonts w:hint="eastAsia" w:eastAsiaTheme="minorEastAsia"/>
          <w:color w:val="auto"/>
          <w:highlight w:val="none"/>
        </w:rPr>
        <w:t>m×</w:t>
      </w:r>
      <w:r>
        <w:rPr>
          <w:rFonts w:hint="eastAsia" w:eastAsiaTheme="minorEastAsia"/>
          <w:color w:val="auto"/>
          <w:highlight w:val="none"/>
          <w:lang w:val="en-US" w:eastAsia="zh-CN"/>
        </w:rPr>
        <w:t>10</w:t>
      </w:r>
      <w:r>
        <w:rPr>
          <w:rFonts w:hint="eastAsia" w:eastAsiaTheme="minorEastAsia"/>
          <w:color w:val="auto"/>
          <w:highlight w:val="none"/>
        </w:rPr>
        <w:t>m；植被覆盖度：</w:t>
      </w:r>
      <w:r>
        <w:rPr>
          <w:rFonts w:hint="eastAsia" w:eastAsiaTheme="minorEastAsia"/>
          <w:color w:val="auto"/>
          <w:highlight w:val="none"/>
          <w:lang w:val="en-US" w:eastAsia="zh-CN"/>
        </w:rPr>
        <w:t>20</w:t>
      </w:r>
      <w:r>
        <w:rPr>
          <w:rFonts w:hint="eastAsia" w:eastAsiaTheme="minorEastAsia"/>
          <w:color w:val="auto"/>
          <w:highlight w:val="none"/>
        </w:rPr>
        <w:t>％；统计结果见表</w:t>
      </w:r>
      <w:r>
        <w:rPr>
          <w:rFonts w:hint="eastAsia" w:eastAsiaTheme="minorEastAsia"/>
          <w:color w:val="auto"/>
          <w:highlight w:val="none"/>
          <w:lang w:eastAsia="zh-CN"/>
        </w:rPr>
        <w:t>4.3</w:t>
      </w:r>
      <w:r>
        <w:rPr>
          <w:rFonts w:eastAsiaTheme="minorEastAsia"/>
          <w:color w:val="auto"/>
          <w:highlight w:val="none"/>
        </w:rPr>
        <w:t>-</w:t>
      </w:r>
      <w:r>
        <w:rPr>
          <w:rFonts w:hint="eastAsia" w:eastAsiaTheme="minorEastAsia"/>
          <w:color w:val="auto"/>
          <w:highlight w:val="none"/>
          <w:lang w:val="en-US" w:eastAsia="zh-CN"/>
        </w:rPr>
        <w:t>4</w:t>
      </w:r>
      <w:r>
        <w:rPr>
          <w:rFonts w:hint="eastAsia" w:eastAsiaTheme="minorEastAsia"/>
          <w:color w:val="auto"/>
          <w:highlight w:val="none"/>
        </w:rPr>
        <w:t>。</w:t>
      </w:r>
    </w:p>
    <w:p w14:paraId="26B97FE9">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动物多样性调查</w:t>
      </w:r>
    </w:p>
    <w:p w14:paraId="67389F99">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项目所在区域动物区划</w:t>
      </w:r>
    </w:p>
    <w:p w14:paraId="17A8044B">
      <w:pPr>
        <w:ind w:firstLine="480" w:firstLineChars="200"/>
        <w:rPr>
          <w:color w:val="auto"/>
          <w:highlight w:val="none"/>
        </w:rPr>
      </w:pPr>
      <w:r>
        <w:rPr>
          <w:rFonts w:hint="eastAsia"/>
          <w:color w:val="auto"/>
          <w:highlight w:val="none"/>
        </w:rPr>
        <w:t>根据中国动物地理区划和新疆动物地理区划的划分，项目所在区域属于古北界，中亚亚界，蒙新区，准噶尔盆地亚区，准噶尔盆地省，耐旱荒漠动物群。</w:t>
      </w:r>
    </w:p>
    <w:p w14:paraId="4051A755">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调查范围</w:t>
      </w:r>
    </w:p>
    <w:p w14:paraId="6AA17A7F">
      <w:pPr>
        <w:ind w:firstLine="480" w:firstLineChars="200"/>
        <w:rPr>
          <w:rFonts w:hint="default"/>
          <w:color w:val="auto"/>
          <w:highlight w:val="none"/>
          <w:lang w:val="en-US" w:eastAsia="zh-CN"/>
        </w:rPr>
      </w:pPr>
      <w:r>
        <w:rPr>
          <w:rFonts w:hint="eastAsia"/>
          <w:color w:val="auto"/>
          <w:highlight w:val="none"/>
          <w:lang w:val="en-US" w:eastAsia="zh-CN"/>
        </w:rPr>
        <w:t>参照《环境影响评价技术导则 民用机场建设工程》（HJ87-2023）及《环境影响评价技术导则 生态影响》（HJ19-2022），确定鸟类现状调查范围主要为航站楼为中心半径为8km，兼顾艾比湖湿地国家级自然保护区南部区域。调查组以航站楼为中心设置六条样带，后续结合实地调研情况于荒漠草原、林地、农田新增三条样带，共九设置条样带。调查范围涵盖生态环境类型、物种多样性、鸟类居留型、生态习性、群落种群构成以及季节性鸟类组成和活动特点等，另设置30个样点进行鸟类调查。</w:t>
      </w:r>
    </w:p>
    <w:p w14:paraId="27343DB2">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调查方法</w:t>
      </w:r>
    </w:p>
    <w:p w14:paraId="326EE588">
      <w:pPr>
        <w:ind w:firstLine="480" w:firstLineChars="200"/>
        <w:rPr>
          <w:rFonts w:hint="default"/>
          <w:color w:val="auto"/>
          <w:highlight w:val="none"/>
          <w:lang w:val="en-US" w:eastAsia="zh-CN"/>
        </w:rPr>
      </w:pPr>
      <w:r>
        <w:rPr>
          <w:rFonts w:hint="eastAsia" w:ascii="Times New Roman" w:eastAsia="宋体"/>
          <w:color w:val="auto"/>
          <w:highlight w:val="none"/>
          <w:lang w:val="en-US" w:eastAsia="zh-CN"/>
        </w:rPr>
        <w:t>根据</w:t>
      </w:r>
      <w:r>
        <w:rPr>
          <w:rFonts w:hint="eastAsia"/>
          <w:color w:val="auto"/>
          <w:highlight w:val="none"/>
        </w:rPr>
        <w:t>《生物多样性观测技术导则</w:t>
      </w:r>
      <w:r>
        <w:rPr>
          <w:rFonts w:hint="eastAsia" w:ascii="Times New Roman" w:eastAsia="宋体"/>
          <w:color w:val="auto"/>
          <w:highlight w:val="none"/>
          <w:lang w:val="en-US" w:eastAsia="zh-CN"/>
        </w:rPr>
        <w:t xml:space="preserve"> </w:t>
      </w:r>
      <w:r>
        <w:rPr>
          <w:rFonts w:hint="eastAsia"/>
          <w:color w:val="auto"/>
          <w:highlight w:val="none"/>
        </w:rPr>
        <w:t>鸟类》（HJ710.4-2014）</w:t>
      </w:r>
      <w:r>
        <w:rPr>
          <w:rFonts w:hint="eastAsia" w:eastAsia="宋体"/>
          <w:color w:val="auto"/>
          <w:highlight w:val="none"/>
          <w:lang w:eastAsia="zh-CN"/>
        </w:rPr>
        <w:t>、</w:t>
      </w:r>
      <w:r>
        <w:rPr>
          <w:rFonts w:hint="eastAsia"/>
          <w:color w:val="auto"/>
          <w:highlight w:val="none"/>
        </w:rPr>
        <w:t>《环境影响评价技术导则</w:t>
      </w:r>
      <w:r>
        <w:rPr>
          <w:rFonts w:hint="eastAsia" w:ascii="Times New Roman" w:eastAsia="宋体"/>
          <w:color w:val="auto"/>
          <w:highlight w:val="none"/>
          <w:lang w:val="en-US" w:eastAsia="zh-CN"/>
        </w:rPr>
        <w:t xml:space="preserve"> </w:t>
      </w:r>
      <w:r>
        <w:rPr>
          <w:rFonts w:hint="eastAsia"/>
          <w:color w:val="auto"/>
          <w:highlight w:val="none"/>
        </w:rPr>
        <w:t>生态影响》（HJ19-2022）等技术导则和规范，于2024年6月至2025年6月对拟建机场项目区及周围进行迁徙期鸟类资源调查，并结合2022年8月（秋季迁徙前期）和2023年6月（繁殖期）精河县相关调查结果和历史调查记录、文献资料进行评价和分析</w:t>
      </w:r>
      <w:r>
        <w:rPr>
          <w:rFonts w:hint="eastAsia" w:eastAsia="宋体"/>
          <w:color w:val="auto"/>
          <w:highlight w:val="none"/>
          <w:lang w:eastAsia="zh-CN"/>
        </w:rPr>
        <w:t>。机场鸟情调查的方法有样带法、样点法、计数鸟群法。根据各种鸟类在机场及周边地区的活动规律、生活习性和种群状况，分析各鸟种对飞行安全的具体危害行为和状况，评价鸟类对机场飞行安全的威胁程度，并确定下阶段重点防治鸟种，分析机场吸引鸟类活动的因素，同时针对机场及周边重点危险鸟种提出防范措施。</w:t>
      </w:r>
      <w:r>
        <w:rPr>
          <w:rFonts w:hint="eastAsia"/>
          <w:color w:val="auto"/>
          <w:highlight w:val="none"/>
          <w:lang w:val="en-US" w:eastAsia="zh-CN"/>
        </w:rPr>
        <w:t>鸟情调查资料来源为《新疆精河通用机场建设工程项目区鸟类调查与影响评价报告》（新疆农业大学，新疆博大自然科技有限公司，2025年6月），该报告已于同年通过了民航领域专家、生态领域专家的审核。</w:t>
      </w:r>
    </w:p>
    <w:p w14:paraId="78D7F170">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主要生境类型</w:t>
      </w:r>
    </w:p>
    <w:p w14:paraId="5F64AA8E">
      <w:pPr>
        <w:ind w:firstLine="480" w:firstLineChars="200"/>
        <w:rPr>
          <w:rFonts w:hint="eastAsia" w:ascii="Times New Roman" w:eastAsia="宋体"/>
          <w:color w:val="auto"/>
          <w:highlight w:val="none"/>
          <w:lang w:val="en-US" w:eastAsia="zh-CN"/>
        </w:rPr>
      </w:pPr>
      <w:r>
        <w:rPr>
          <w:rFonts w:hint="eastAsia" w:ascii="Times New Roman" w:eastAsia="宋体"/>
          <w:color w:val="auto"/>
          <w:highlight w:val="none"/>
          <w:lang w:val="en-US" w:eastAsia="zh-CN"/>
        </w:rPr>
        <w:t>林地生境主要分布在机场半径5</w:t>
      </w:r>
      <w:r>
        <w:rPr>
          <w:rFonts w:hint="eastAsia"/>
          <w:color w:val="auto"/>
          <w:highlight w:val="none"/>
          <w:lang w:val="en-US" w:eastAsia="zh-CN"/>
        </w:rPr>
        <w:t>km</w:t>
      </w:r>
      <w:r>
        <w:rPr>
          <w:rFonts w:hint="eastAsia" w:ascii="Times New Roman" w:eastAsia="宋体"/>
          <w:color w:val="auto"/>
          <w:highlight w:val="none"/>
          <w:lang w:val="en-US" w:eastAsia="zh-CN"/>
        </w:rPr>
        <w:t>范围内，面积主要在2</w:t>
      </w:r>
      <w:r>
        <w:rPr>
          <w:rFonts w:hint="eastAsia"/>
          <w:color w:val="auto"/>
          <w:highlight w:val="none"/>
          <w:lang w:val="en-US" w:eastAsia="zh-CN"/>
        </w:rPr>
        <w:t>hm</w:t>
      </w:r>
      <w:r>
        <w:rPr>
          <w:rFonts w:hint="eastAsia"/>
          <w:color w:val="auto"/>
          <w:highlight w:val="none"/>
          <w:vertAlign w:val="superscript"/>
          <w:lang w:val="en-US" w:eastAsia="zh-CN"/>
        </w:rPr>
        <w:t>2</w:t>
      </w:r>
      <w:r>
        <w:rPr>
          <w:rFonts w:hint="eastAsia"/>
          <w:color w:val="auto"/>
          <w:highlight w:val="none"/>
          <w:lang w:val="en-US" w:eastAsia="zh-CN"/>
        </w:rPr>
        <w:t>~</w:t>
      </w:r>
      <w:r>
        <w:rPr>
          <w:rFonts w:hint="eastAsia" w:ascii="Times New Roman" w:eastAsia="宋体"/>
          <w:color w:val="auto"/>
          <w:highlight w:val="none"/>
          <w:lang w:val="en-US" w:eastAsia="zh-CN"/>
        </w:rPr>
        <w:t>10hm</w:t>
      </w:r>
      <w:r>
        <w:rPr>
          <w:rFonts w:hint="eastAsia" w:ascii="Times New Roman" w:eastAsia="宋体"/>
          <w:color w:val="auto"/>
          <w:highlight w:val="none"/>
          <w:vertAlign w:val="superscript"/>
          <w:lang w:val="en-US" w:eastAsia="zh-CN"/>
        </w:rPr>
        <w:t>2</w:t>
      </w:r>
      <w:r>
        <w:rPr>
          <w:rFonts w:hint="eastAsia" w:ascii="Times New Roman" w:eastAsia="宋体"/>
          <w:color w:val="auto"/>
          <w:highlight w:val="none"/>
          <w:lang w:val="en-US" w:eastAsia="zh-CN"/>
        </w:rPr>
        <w:t>（条带状），主要包括防护林带、天然灌木林等。主要功能为阻隔风沙侵袭机场设施，同时作为生态补偿区。</w:t>
      </w:r>
    </w:p>
    <w:p w14:paraId="12937DC6">
      <w:pPr>
        <w:ind w:firstLine="480" w:firstLineChars="200"/>
        <w:rPr>
          <w:rFonts w:hint="eastAsia" w:ascii="Times New Roman" w:eastAsia="宋体"/>
          <w:color w:val="auto"/>
          <w:highlight w:val="none"/>
          <w:lang w:val="en-US" w:eastAsia="zh-CN"/>
        </w:rPr>
      </w:pPr>
      <w:r>
        <w:rPr>
          <w:rFonts w:hint="eastAsia" w:ascii="Times New Roman" w:eastAsia="宋体"/>
          <w:color w:val="auto"/>
          <w:highlight w:val="none"/>
          <w:lang w:val="en-US" w:eastAsia="zh-CN"/>
        </w:rPr>
        <w:t>湿地生境主要分布在机场半径0.25</w:t>
      </w:r>
      <w:r>
        <w:rPr>
          <w:rFonts w:hint="eastAsia"/>
          <w:color w:val="auto"/>
          <w:highlight w:val="none"/>
          <w:lang w:val="en-US" w:eastAsia="zh-CN"/>
        </w:rPr>
        <w:t>km~</w:t>
      </w:r>
      <w:r>
        <w:rPr>
          <w:rFonts w:hint="eastAsia" w:ascii="Times New Roman" w:eastAsia="宋体"/>
          <w:color w:val="auto"/>
          <w:highlight w:val="none"/>
          <w:lang w:val="en-US" w:eastAsia="zh-CN"/>
        </w:rPr>
        <w:t>4km范围内，面积在0.5hm</w:t>
      </w:r>
      <w:r>
        <w:rPr>
          <w:rFonts w:hint="eastAsia" w:ascii="Times New Roman" w:eastAsia="宋体"/>
          <w:color w:val="auto"/>
          <w:highlight w:val="none"/>
          <w:vertAlign w:val="superscript"/>
          <w:lang w:val="en-US" w:eastAsia="zh-CN"/>
        </w:rPr>
        <w:t>2</w:t>
      </w:r>
      <w:r>
        <w:rPr>
          <w:rFonts w:hint="eastAsia" w:ascii="Times New Roman" w:eastAsia="宋体"/>
          <w:color w:val="auto"/>
          <w:highlight w:val="none"/>
          <w:lang w:val="en-US" w:eastAsia="zh-CN"/>
        </w:rPr>
        <w:t>~5hm</w:t>
      </w:r>
      <w:r>
        <w:rPr>
          <w:rFonts w:hint="eastAsia" w:ascii="Times New Roman" w:eastAsia="宋体"/>
          <w:color w:val="auto"/>
          <w:highlight w:val="none"/>
          <w:vertAlign w:val="superscript"/>
          <w:lang w:val="en-US" w:eastAsia="zh-CN"/>
        </w:rPr>
        <w:t>2</w:t>
      </w:r>
      <w:r>
        <w:rPr>
          <w:rFonts w:hint="eastAsia" w:ascii="Times New Roman" w:eastAsia="宋体"/>
          <w:color w:val="auto"/>
          <w:highlight w:val="none"/>
          <w:lang w:val="en-US" w:eastAsia="zh-CN"/>
        </w:rPr>
        <w:t>（点、带状），主要包括河岸湿地、灌溉沟渠湿地、人工蓄水池等，保证农业灌溉的同时维护生态平衡，为鸟类迁徙提供栖息</w:t>
      </w:r>
      <w:r>
        <w:rPr>
          <w:rFonts w:hint="eastAsia"/>
          <w:color w:val="auto"/>
          <w:highlight w:val="none"/>
          <w:lang w:val="en-US" w:eastAsia="zh-CN"/>
        </w:rPr>
        <w:t>生境</w:t>
      </w:r>
      <w:r>
        <w:rPr>
          <w:rFonts w:hint="eastAsia" w:ascii="Times New Roman" w:eastAsia="宋体"/>
          <w:color w:val="auto"/>
          <w:highlight w:val="none"/>
          <w:lang w:val="en-US" w:eastAsia="zh-CN"/>
        </w:rPr>
        <w:t>。</w:t>
      </w:r>
    </w:p>
    <w:p w14:paraId="14CA5242">
      <w:pPr>
        <w:ind w:firstLine="480" w:firstLineChars="200"/>
        <w:rPr>
          <w:rFonts w:hint="eastAsia" w:ascii="Times New Roman" w:eastAsia="宋体"/>
          <w:color w:val="auto"/>
          <w:highlight w:val="none"/>
          <w:lang w:val="en-US" w:eastAsia="zh-CN"/>
        </w:rPr>
      </w:pPr>
      <w:r>
        <w:rPr>
          <w:rFonts w:hint="eastAsia" w:ascii="Times New Roman" w:eastAsia="宋体"/>
          <w:color w:val="auto"/>
          <w:highlight w:val="none"/>
          <w:lang w:val="en-US" w:eastAsia="zh-CN"/>
        </w:rPr>
        <w:t>农田生境主要分布在机场半径0.3</w:t>
      </w:r>
      <w:r>
        <w:rPr>
          <w:rFonts w:hint="eastAsia"/>
          <w:color w:val="auto"/>
          <w:highlight w:val="none"/>
          <w:lang w:val="en-US" w:eastAsia="zh-CN"/>
        </w:rPr>
        <w:t>km~</w:t>
      </w:r>
      <w:r>
        <w:rPr>
          <w:rFonts w:hint="eastAsia" w:ascii="Times New Roman" w:eastAsia="宋体"/>
          <w:color w:val="auto"/>
          <w:highlight w:val="none"/>
          <w:lang w:val="en-US" w:eastAsia="zh-CN"/>
        </w:rPr>
        <w:t>5</w:t>
      </w:r>
      <w:r>
        <w:rPr>
          <w:rFonts w:hint="eastAsia"/>
          <w:color w:val="auto"/>
          <w:highlight w:val="none"/>
          <w:lang w:val="en-US" w:eastAsia="zh-CN"/>
        </w:rPr>
        <w:t>km</w:t>
      </w:r>
      <w:r>
        <w:rPr>
          <w:rFonts w:hint="eastAsia" w:ascii="Times New Roman" w:eastAsia="宋体"/>
          <w:color w:val="auto"/>
          <w:highlight w:val="none"/>
          <w:lang w:val="en-US" w:eastAsia="zh-CN"/>
        </w:rPr>
        <w:t>范围内，面积在1hm</w:t>
      </w:r>
      <w:r>
        <w:rPr>
          <w:rFonts w:hint="eastAsia" w:ascii="Times New Roman" w:eastAsia="宋体"/>
          <w:color w:val="auto"/>
          <w:highlight w:val="none"/>
          <w:vertAlign w:val="superscript"/>
          <w:lang w:val="en-US" w:eastAsia="zh-CN"/>
        </w:rPr>
        <w:t>2</w:t>
      </w:r>
      <w:r>
        <w:rPr>
          <w:rFonts w:hint="eastAsia"/>
          <w:color w:val="auto"/>
          <w:highlight w:val="none"/>
          <w:lang w:val="en-US" w:eastAsia="zh-CN"/>
        </w:rPr>
        <w:t>~</w:t>
      </w:r>
      <w:r>
        <w:rPr>
          <w:rFonts w:hint="eastAsia" w:ascii="Times New Roman" w:eastAsia="宋体"/>
          <w:color w:val="auto"/>
          <w:highlight w:val="none"/>
          <w:lang w:val="en-US" w:eastAsia="zh-CN"/>
        </w:rPr>
        <w:t>200hm</w:t>
      </w:r>
      <w:r>
        <w:rPr>
          <w:rFonts w:hint="eastAsia" w:ascii="Times New Roman" w:eastAsia="宋体"/>
          <w:color w:val="auto"/>
          <w:highlight w:val="none"/>
          <w:vertAlign w:val="superscript"/>
          <w:lang w:val="en-US" w:eastAsia="zh-CN"/>
        </w:rPr>
        <w:t>2</w:t>
      </w:r>
      <w:r>
        <w:rPr>
          <w:rFonts w:hint="eastAsia" w:ascii="Times New Roman" w:eastAsia="宋体"/>
          <w:color w:val="auto"/>
          <w:highlight w:val="none"/>
          <w:lang w:val="en-US" w:eastAsia="zh-CN"/>
        </w:rPr>
        <w:t>（分散、条块、连片），主要包括棉田集中区、枸杞种植园、玉米/小麦轮作田等。种植区通常配备防鸟网和滴灌系统，降低鸟类活动干扰，因其季节特征5月</w:t>
      </w:r>
      <w:r>
        <w:rPr>
          <w:rFonts w:hint="eastAsia"/>
          <w:color w:val="auto"/>
          <w:highlight w:val="none"/>
          <w:lang w:val="en-US" w:eastAsia="zh-CN"/>
        </w:rPr>
        <w:t>~</w:t>
      </w:r>
      <w:r>
        <w:rPr>
          <w:rFonts w:hint="eastAsia" w:ascii="Times New Roman" w:eastAsia="宋体"/>
          <w:color w:val="auto"/>
          <w:highlight w:val="none"/>
          <w:lang w:val="en-US" w:eastAsia="zh-CN"/>
        </w:rPr>
        <w:t>8月可能吸引大量昆虫，间接增加机场鸟击风险。</w:t>
      </w:r>
    </w:p>
    <w:p w14:paraId="75B2B3E3">
      <w:pPr>
        <w:ind w:firstLine="480" w:firstLineChars="200"/>
        <w:rPr>
          <w:rFonts w:hint="default"/>
          <w:color w:val="auto"/>
          <w:highlight w:val="none"/>
          <w:lang w:val="en-US" w:eastAsia="zh-CN"/>
        </w:rPr>
      </w:pPr>
      <w:r>
        <w:rPr>
          <w:rFonts w:hint="eastAsia"/>
          <w:color w:val="auto"/>
          <w:highlight w:val="none"/>
          <w:lang w:val="en-US" w:eastAsia="zh-CN"/>
        </w:rPr>
        <w:t>荒漠草原生境主要分布在机场半径0.5km~6km范围内，面积在1</w:t>
      </w:r>
      <w:r>
        <w:rPr>
          <w:rFonts w:hint="eastAsia" w:ascii="Times New Roman" w:eastAsia="宋体"/>
          <w:color w:val="auto"/>
          <w:highlight w:val="none"/>
          <w:lang w:val="en-US" w:eastAsia="zh-CN"/>
        </w:rPr>
        <w:t>hm</w:t>
      </w:r>
      <w:r>
        <w:rPr>
          <w:rFonts w:hint="eastAsia" w:ascii="Times New Roman" w:eastAsia="宋体"/>
          <w:color w:val="auto"/>
          <w:highlight w:val="none"/>
          <w:vertAlign w:val="superscript"/>
          <w:lang w:val="en-US" w:eastAsia="zh-CN"/>
        </w:rPr>
        <w:t>2</w:t>
      </w:r>
      <w:r>
        <w:rPr>
          <w:rFonts w:hint="eastAsia"/>
          <w:color w:val="auto"/>
          <w:highlight w:val="none"/>
          <w:lang w:val="en-US" w:eastAsia="zh-CN"/>
        </w:rPr>
        <w:t>~50</w:t>
      </w:r>
      <w:r>
        <w:rPr>
          <w:rFonts w:hint="eastAsia" w:ascii="Times New Roman" w:eastAsia="宋体"/>
          <w:color w:val="auto"/>
          <w:highlight w:val="none"/>
          <w:lang w:val="en-US" w:eastAsia="zh-CN"/>
        </w:rPr>
        <w:t>hm</w:t>
      </w:r>
      <w:r>
        <w:rPr>
          <w:rFonts w:hint="eastAsia" w:ascii="Times New Roman" w:eastAsia="宋体"/>
          <w:color w:val="auto"/>
          <w:highlight w:val="none"/>
          <w:vertAlign w:val="superscript"/>
          <w:lang w:val="en-US" w:eastAsia="zh-CN"/>
        </w:rPr>
        <w:t>2</w:t>
      </w:r>
      <w:r>
        <w:rPr>
          <w:rFonts w:hint="eastAsia"/>
          <w:color w:val="auto"/>
          <w:highlight w:val="none"/>
          <w:lang w:val="en-US" w:eastAsia="zh-CN"/>
        </w:rPr>
        <w:t>（零星、条带、斑块、连续分布），主要包括原生荒漠草原、退化草地、人工固沙林、季节性草本群落等。主要功能为防风固沙，降低风沙对跑道的侵袭，维持荒漠动物（鹅喉羚、沙蜥）栖息生境，地表结皮可抑制沙尘暴。</w:t>
      </w:r>
    </w:p>
    <w:p w14:paraId="7E205B64">
      <w:pPr>
        <w:keepNext/>
        <w:keepLines/>
        <w:pageBreakBefore w:val="0"/>
        <w:widowControl w:val="0"/>
        <w:numPr>
          <w:ilvl w:val="3"/>
          <w:numId w:val="10"/>
        </w:numPr>
        <w:kinsoku/>
        <w:overflowPunct/>
        <w:bidi w:val="0"/>
        <w:adjustRightInd/>
        <w:snapToGrid/>
        <w:spacing w:before="0" w:beforeLines="0" w:line="360" w:lineRule="auto"/>
        <w:ind w:left="850" w:hanging="85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机场建设区及周边区域野生动物概况</w:t>
      </w:r>
    </w:p>
    <w:p w14:paraId="5BF3F525">
      <w:pPr>
        <w:keepNext/>
        <w:keepLines/>
        <w:pageBreakBefore w:val="0"/>
        <w:widowControl w:val="0"/>
        <w:numPr>
          <w:ilvl w:val="3"/>
          <w:numId w:val="15"/>
        </w:numPr>
        <w:kinsoku/>
        <w:wordWrap/>
        <w:overflowPunct/>
        <w:topLinePunct w:val="0"/>
        <w:autoSpaceDE/>
        <w:autoSpaceDN/>
        <w:bidi w:val="0"/>
        <w:adjustRightInd/>
        <w:snapToGrid/>
        <w:spacing w:before="0" w:beforeLines="0" w:line="360" w:lineRule="auto"/>
        <w:ind w:left="0" w:leftChars="0" w:firstLine="482" w:firstLineChars="200"/>
        <w:jc w:val="both"/>
        <w:textAlignment w:val="auto"/>
        <w:outlineLvl w:val="4"/>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动物多样性及名录</w:t>
      </w:r>
    </w:p>
    <w:p w14:paraId="293C0727">
      <w:pPr>
        <w:ind w:firstLine="480" w:firstLineChars="200"/>
        <w:rPr>
          <w:rFonts w:hint="eastAsia"/>
          <w:color w:val="auto"/>
          <w:highlight w:val="none"/>
          <w:lang w:val="en-US" w:eastAsia="zh-CN"/>
        </w:rPr>
      </w:pPr>
      <w:r>
        <w:rPr>
          <w:rFonts w:hint="eastAsia"/>
          <w:color w:val="auto"/>
          <w:highlight w:val="none"/>
        </w:rPr>
        <w:t>根据调查及相关资料，项目区及周边共分布有鸟类103种，隶属于17目39科。其中，以雀形目鸟类最多，共51种，占物种总数的49.51%；其次为鸻形目，共13种，占12.62%；鹰形目10种，占9.71%；鸽形目5种，占4.85%；雁形目和鸮形目各4种，分别占3.88%；鹈形目、佛法僧目和隼形目各2种，分别占1.94%；鲣鸟目、鹤形目、鹃形目、夜鹰目、雨燕目、犀鸟目和啄木鸟目最少，各1种，分别占0.97 %。评价区域野生动物名录见表</w:t>
      </w:r>
      <w:r>
        <w:rPr>
          <w:rFonts w:hint="eastAsia"/>
          <w:color w:val="auto"/>
          <w:highlight w:val="none"/>
          <w:lang w:eastAsia="zh-CN"/>
        </w:rPr>
        <w:t>4.3</w:t>
      </w:r>
      <w:r>
        <w:rPr>
          <w:color w:val="auto"/>
          <w:highlight w:val="none"/>
        </w:rPr>
        <w:t>-</w:t>
      </w:r>
      <w:r>
        <w:rPr>
          <w:rFonts w:hint="eastAsia"/>
          <w:color w:val="auto"/>
          <w:highlight w:val="none"/>
          <w:lang w:val="en-US" w:eastAsia="zh-CN"/>
        </w:rPr>
        <w:t>7。样线调查结果见表4.3-8。</w:t>
      </w:r>
    </w:p>
    <w:p w14:paraId="23B6DBEF">
      <w:pPr>
        <w:keepNext/>
        <w:keepLines/>
        <w:pageBreakBefore w:val="0"/>
        <w:widowControl w:val="0"/>
        <w:numPr>
          <w:ilvl w:val="3"/>
          <w:numId w:val="15"/>
        </w:numPr>
        <w:kinsoku/>
        <w:wordWrap/>
        <w:overflowPunct/>
        <w:topLinePunct w:val="0"/>
        <w:autoSpaceDE/>
        <w:autoSpaceDN/>
        <w:bidi w:val="0"/>
        <w:adjustRightInd/>
        <w:snapToGrid/>
        <w:spacing w:before="0" w:beforeLines="0" w:line="360" w:lineRule="auto"/>
        <w:ind w:left="0" w:leftChars="0" w:firstLine="482" w:firstLineChars="200"/>
        <w:jc w:val="both"/>
        <w:textAlignment w:val="auto"/>
        <w:outlineLvl w:val="4"/>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区系类型</w:t>
      </w:r>
    </w:p>
    <w:p w14:paraId="1396CE19">
      <w:pPr>
        <w:ind w:firstLine="480" w:firstLineChars="200"/>
        <w:rPr>
          <w:rFonts w:hint="eastAsia"/>
          <w:color w:val="auto"/>
          <w:highlight w:val="none"/>
          <w:lang w:eastAsia="zh-CN"/>
        </w:rPr>
      </w:pPr>
      <w:r>
        <w:rPr>
          <w:rFonts w:hint="eastAsia"/>
          <w:color w:val="auto"/>
          <w:highlight w:val="none"/>
        </w:rPr>
        <w:t>就拟建项目区及周边的鸟类区系组成和分布型来看，主要以中亚型为最多，其次是古北型和全北型，而不易归类的分布型野生动物物种最少</w:t>
      </w:r>
      <w:r>
        <w:rPr>
          <w:rFonts w:hint="eastAsia"/>
          <w:color w:val="auto"/>
          <w:highlight w:val="none"/>
          <w:lang w:eastAsia="zh-CN"/>
        </w:rPr>
        <w:t>。</w:t>
      </w:r>
    </w:p>
    <w:p w14:paraId="165DE68E">
      <w:pPr>
        <w:ind w:firstLine="480" w:firstLineChars="200"/>
        <w:rPr>
          <w:color w:val="auto"/>
          <w:highlight w:val="none"/>
        </w:rPr>
      </w:pPr>
      <w:r>
        <w:rPr>
          <w:rFonts w:hint="eastAsia"/>
          <w:color w:val="auto"/>
          <w:highlight w:val="none"/>
        </w:rPr>
        <w:t>拟建项目区及周边处于古北界-中亚亚界，鸟类以中亚型为主，共有49种，占该区域鸟类种数的47.57%，多为新疆分布较广的鸟类；其他分布型的鸟类主要为迁徙候鸟，包括古北型31种，占30.10%，主要为鸻形目、鹰形目和雀形目中的大部分鸟类；全北型17种，占16.50％；而相对于全球广泛分布的不易归类分布型6种，占区域鸟类总种数的5.83%。</w:t>
      </w:r>
    </w:p>
    <w:p w14:paraId="6489D23A">
      <w:pPr>
        <w:keepNext/>
        <w:keepLines/>
        <w:pageBreakBefore w:val="0"/>
        <w:widowControl w:val="0"/>
        <w:numPr>
          <w:ilvl w:val="3"/>
          <w:numId w:val="15"/>
        </w:numPr>
        <w:kinsoku/>
        <w:wordWrap/>
        <w:overflowPunct/>
        <w:topLinePunct w:val="0"/>
        <w:autoSpaceDE/>
        <w:autoSpaceDN/>
        <w:bidi w:val="0"/>
        <w:adjustRightInd/>
        <w:snapToGrid/>
        <w:spacing w:before="0" w:beforeLines="0" w:line="360" w:lineRule="auto"/>
        <w:ind w:left="0" w:leftChars="0" w:firstLine="482" w:firstLineChars="200"/>
        <w:jc w:val="both"/>
        <w:textAlignment w:val="auto"/>
        <w:outlineLvl w:val="4"/>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居留型结构</w:t>
      </w:r>
    </w:p>
    <w:p w14:paraId="282EA63F">
      <w:pPr>
        <w:ind w:firstLine="480" w:firstLineChars="200"/>
        <w:rPr>
          <w:rFonts w:hint="eastAsia" w:eastAsia="宋体"/>
          <w:color w:val="auto"/>
          <w:highlight w:val="none"/>
          <w:lang w:eastAsia="zh-CN"/>
        </w:rPr>
      </w:pPr>
      <w:r>
        <w:rPr>
          <w:rFonts w:hint="eastAsia"/>
          <w:color w:val="auto"/>
          <w:highlight w:val="none"/>
        </w:rPr>
        <w:t>根据机场及周边鸟类迁徙的行为，可将拟建项目区及周边的鸟类分成以下4种居留型</w:t>
      </w:r>
      <w:r>
        <w:rPr>
          <w:rFonts w:hint="eastAsia"/>
          <w:color w:val="auto"/>
          <w:highlight w:val="none"/>
          <w:lang w:eastAsia="zh-CN"/>
        </w:rPr>
        <w:t>：</w:t>
      </w:r>
    </w:p>
    <w:p w14:paraId="6BC92049">
      <w:pPr>
        <w:ind w:firstLine="480" w:firstLineChars="200"/>
        <w:rPr>
          <w:color w:val="auto"/>
          <w:highlight w:val="none"/>
        </w:rPr>
      </w:pPr>
      <w:r>
        <w:rPr>
          <w:rFonts w:hint="eastAsia"/>
          <w:color w:val="auto"/>
          <w:highlight w:val="none"/>
        </w:rPr>
        <w:t>夏候鸟</w:t>
      </w:r>
      <w:r>
        <w:rPr>
          <w:rFonts w:hint="eastAsia"/>
          <w:color w:val="auto"/>
          <w:highlight w:val="none"/>
          <w:lang w:eastAsia="zh-CN"/>
        </w:rPr>
        <w:t>：指春季或夏季在某个地区繁殖、秋季飞到较暖的地区过冬、第二年春季再飞回繁殖地的鸟类。项目区共记录51种，</w:t>
      </w:r>
      <w:r>
        <w:rPr>
          <w:rFonts w:hint="eastAsia"/>
          <w:color w:val="auto"/>
          <w:highlight w:val="none"/>
        </w:rPr>
        <w:t>占拟建项目区及周边鸟类物种总数的49.51%，所占比例最大，主要包括雁形目鸭科、鸻形目鸻科、鹤形目、鹈形目、鲣鸟目、佛法僧目、夜鹰目、犀鸟目和雨燕目的种类。</w:t>
      </w:r>
    </w:p>
    <w:p w14:paraId="6E4D0CBB">
      <w:pPr>
        <w:ind w:firstLine="480" w:firstLineChars="200"/>
        <w:rPr>
          <w:color w:val="auto"/>
          <w:highlight w:val="none"/>
        </w:rPr>
      </w:pPr>
      <w:r>
        <w:rPr>
          <w:rFonts w:hint="eastAsia"/>
          <w:color w:val="auto"/>
          <w:highlight w:val="none"/>
        </w:rPr>
        <w:t>留鸟</w:t>
      </w:r>
      <w:r>
        <w:rPr>
          <w:rFonts w:hint="eastAsia"/>
          <w:color w:val="auto"/>
          <w:highlight w:val="none"/>
          <w:lang w:eastAsia="zh-CN"/>
        </w:rPr>
        <w:t>：</w:t>
      </w:r>
      <w:r>
        <w:rPr>
          <w:rFonts w:hint="eastAsia"/>
          <w:color w:val="auto"/>
          <w:highlight w:val="none"/>
        </w:rPr>
        <w:t>指长期栖居在繁殖地，不作周期性迁徙的鸟类</w:t>
      </w:r>
      <w:r>
        <w:rPr>
          <w:rFonts w:hint="eastAsia"/>
          <w:color w:val="auto"/>
          <w:highlight w:val="none"/>
          <w:lang w:eastAsia="zh-CN"/>
        </w:rPr>
        <w:t>。</w:t>
      </w:r>
      <w:r>
        <w:rPr>
          <w:rFonts w:hint="eastAsia"/>
          <w:color w:val="auto"/>
          <w:highlight w:val="none"/>
        </w:rPr>
        <w:t>项目区共记录23种，占拟建项目区及周边鸟类物种总数的22.33%，主要包括鸡形目雉科、鸽形目、啄木鸟目、雀形目山雀科和雀科的部分种类等。</w:t>
      </w:r>
    </w:p>
    <w:p w14:paraId="43C71F8F">
      <w:pPr>
        <w:ind w:firstLine="480" w:firstLineChars="200"/>
        <w:rPr>
          <w:color w:val="auto"/>
          <w:highlight w:val="none"/>
        </w:rPr>
      </w:pPr>
      <w:r>
        <w:rPr>
          <w:rFonts w:hint="eastAsia"/>
          <w:color w:val="auto"/>
          <w:highlight w:val="none"/>
        </w:rPr>
        <w:t>冬候鸟</w:t>
      </w:r>
      <w:r>
        <w:rPr>
          <w:rFonts w:hint="eastAsia"/>
          <w:color w:val="auto"/>
          <w:highlight w:val="none"/>
          <w:lang w:eastAsia="zh-CN"/>
        </w:rPr>
        <w:t>：指冬季在某个地区生活，春季飞到较远而且较冷的地区繁殖，秋季又飞回原地区的鸟类。项目区共记录18种，</w:t>
      </w:r>
      <w:r>
        <w:rPr>
          <w:rFonts w:hint="eastAsia"/>
          <w:color w:val="auto"/>
          <w:highlight w:val="none"/>
        </w:rPr>
        <w:t>占17.48%，主要包括鹰形目、鸮形目和雀形目鸦科、太平鸟科、戴菊科、鸫</w:t>
      </w:r>
      <w:r>
        <w:rPr>
          <w:rFonts w:hint="eastAsia"/>
          <w:color w:val="auto"/>
          <w:highlight w:val="none"/>
          <w:lang w:eastAsia="zh-CN"/>
        </w:rPr>
        <w:t>（dōng）</w:t>
      </w:r>
      <w:r>
        <w:rPr>
          <w:rFonts w:hint="eastAsia"/>
          <w:color w:val="auto"/>
          <w:highlight w:val="none"/>
        </w:rPr>
        <w:t>科、燕雀科和鹀</w:t>
      </w:r>
      <w:r>
        <w:rPr>
          <w:rFonts w:hint="eastAsia"/>
          <w:color w:val="auto"/>
          <w:highlight w:val="none"/>
          <w:lang w:eastAsia="zh-CN"/>
        </w:rPr>
        <w:t>（wú）</w:t>
      </w:r>
      <w:r>
        <w:rPr>
          <w:rFonts w:hint="eastAsia"/>
          <w:color w:val="auto"/>
          <w:highlight w:val="none"/>
        </w:rPr>
        <w:t>科的分布种类。</w:t>
      </w:r>
    </w:p>
    <w:p w14:paraId="1A57FC69">
      <w:pPr>
        <w:ind w:firstLine="480" w:firstLineChars="200"/>
        <w:rPr>
          <w:color w:val="auto"/>
          <w:highlight w:val="none"/>
        </w:rPr>
      </w:pPr>
      <w:r>
        <w:rPr>
          <w:rFonts w:hint="eastAsia"/>
          <w:color w:val="auto"/>
          <w:highlight w:val="none"/>
        </w:rPr>
        <w:t>旅鸟</w:t>
      </w:r>
      <w:r>
        <w:rPr>
          <w:rFonts w:hint="eastAsia"/>
          <w:color w:val="auto"/>
          <w:highlight w:val="none"/>
          <w:lang w:eastAsia="zh-CN"/>
        </w:rPr>
        <w:t>：指迁徙中途经某地区，而又不在该地区繁殖或越冬的鸟类。项目区共记录11种</w:t>
      </w:r>
      <w:r>
        <w:rPr>
          <w:rFonts w:hint="eastAsia"/>
          <w:color w:val="auto"/>
          <w:highlight w:val="none"/>
        </w:rPr>
        <w:t>，占10.68%，旅鸟在拟建项目区及周边内所占的比例最小，主要包括鸻形目丘鹬科、雀形目柳莺科和鹟</w:t>
      </w:r>
      <w:r>
        <w:rPr>
          <w:rFonts w:hint="eastAsia"/>
          <w:color w:val="auto"/>
          <w:highlight w:val="none"/>
          <w:lang w:eastAsia="zh-CN"/>
        </w:rPr>
        <w:t>（wēng）</w:t>
      </w:r>
      <w:r>
        <w:rPr>
          <w:rFonts w:hint="eastAsia"/>
          <w:color w:val="auto"/>
          <w:highlight w:val="none"/>
        </w:rPr>
        <w:t>科的个别种类。</w:t>
      </w:r>
    </w:p>
    <w:p w14:paraId="1D9C69E1">
      <w:pPr>
        <w:ind w:firstLine="480" w:firstLineChars="200"/>
        <w:rPr>
          <w:rFonts w:hint="eastAsia"/>
          <w:color w:val="auto"/>
          <w:highlight w:val="none"/>
          <w:lang w:eastAsia="zh-CN"/>
        </w:rPr>
      </w:pPr>
      <w:r>
        <w:rPr>
          <w:rFonts w:hint="eastAsia"/>
          <w:color w:val="auto"/>
          <w:highlight w:val="none"/>
        </w:rPr>
        <w:t>综上，拟建项目区及周边的繁殖鸟共74种，占71.84%，其比例较大，说明分布的鸟类中大多数种类都在该区域繁殖；越冬鸟</w:t>
      </w:r>
      <w:r>
        <w:rPr>
          <w:rFonts w:hint="eastAsia"/>
          <w:color w:val="auto"/>
          <w:highlight w:val="none"/>
          <w:lang w:eastAsia="zh-CN"/>
        </w:rPr>
        <w:t>（包括留鸟和冬候鸟）</w:t>
      </w:r>
      <w:r>
        <w:rPr>
          <w:rFonts w:hint="eastAsia"/>
          <w:color w:val="auto"/>
          <w:highlight w:val="none"/>
        </w:rPr>
        <w:t>共41种，占39.81%；迁徙候鸟</w:t>
      </w:r>
      <w:r>
        <w:rPr>
          <w:rFonts w:hint="eastAsia"/>
          <w:color w:val="auto"/>
          <w:highlight w:val="none"/>
          <w:lang w:eastAsia="zh-CN"/>
        </w:rPr>
        <w:t>（包括夏候鸟、冬候鸟、旅鸟）</w:t>
      </w:r>
      <w:r>
        <w:rPr>
          <w:rFonts w:hint="eastAsia"/>
          <w:color w:val="auto"/>
          <w:highlight w:val="none"/>
        </w:rPr>
        <w:t>较多共80种，占77.67%，超过了留鸟的种数，说明拟建项目区及周边迁徙候鸟的种类较多</w:t>
      </w:r>
      <w:r>
        <w:rPr>
          <w:rFonts w:hint="eastAsia"/>
          <w:color w:val="auto"/>
          <w:highlight w:val="none"/>
          <w:lang w:eastAsia="zh-CN"/>
        </w:rPr>
        <w:t>。</w:t>
      </w:r>
    </w:p>
    <w:p w14:paraId="4A776057">
      <w:pPr>
        <w:keepNext/>
        <w:keepLines/>
        <w:pageBreakBefore w:val="0"/>
        <w:widowControl w:val="0"/>
        <w:numPr>
          <w:ilvl w:val="3"/>
          <w:numId w:val="15"/>
        </w:numPr>
        <w:kinsoku/>
        <w:wordWrap/>
        <w:overflowPunct/>
        <w:topLinePunct w:val="0"/>
        <w:autoSpaceDE/>
        <w:autoSpaceDN/>
        <w:bidi w:val="0"/>
        <w:adjustRightInd/>
        <w:snapToGrid/>
        <w:spacing w:before="0" w:beforeLines="0" w:line="360" w:lineRule="auto"/>
        <w:ind w:left="0" w:leftChars="0" w:firstLine="482" w:firstLineChars="200"/>
        <w:jc w:val="both"/>
        <w:textAlignment w:val="auto"/>
        <w:outlineLvl w:val="4"/>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生态习性</w:t>
      </w:r>
    </w:p>
    <w:p w14:paraId="77AE81EC">
      <w:pPr>
        <w:ind w:firstLine="480" w:firstLineChars="200"/>
        <w:rPr>
          <w:rFonts w:hint="eastAsia" w:eastAsia="宋体"/>
          <w:color w:val="auto"/>
          <w:highlight w:val="none"/>
          <w:lang w:val="en-US" w:eastAsia="zh-CN"/>
        </w:rPr>
      </w:pPr>
      <w:r>
        <w:rPr>
          <w:rFonts w:hint="eastAsia"/>
          <w:color w:val="auto"/>
          <w:highlight w:val="none"/>
        </w:rPr>
        <w:t>依据生活习性，将项目区及周边分布的103种鸟类分为6个生态类群。游禽、涉禽、陆禽、猛禽、攀禽和鸣禽等不同生态习性的鸟类均有分布。生态习性如下</w:t>
      </w:r>
      <w:r>
        <w:rPr>
          <w:rFonts w:hint="eastAsia"/>
          <w:color w:val="auto"/>
          <w:highlight w:val="none"/>
          <w:lang w:eastAsia="zh-CN"/>
        </w:rPr>
        <w:t>：</w:t>
      </w:r>
    </w:p>
    <w:p w14:paraId="123D28F5">
      <w:pPr>
        <w:ind w:firstLine="480" w:firstLineChars="200"/>
        <w:rPr>
          <w:color w:val="auto"/>
          <w:highlight w:val="none"/>
        </w:rPr>
      </w:pPr>
      <w:r>
        <w:rPr>
          <w:rFonts w:hint="eastAsia"/>
          <w:color w:val="auto"/>
          <w:highlight w:val="none"/>
          <w:lang w:val="en-US" w:eastAsia="zh-CN"/>
        </w:rPr>
        <w:t>1）</w:t>
      </w:r>
      <w:r>
        <w:rPr>
          <w:rFonts w:hint="eastAsia"/>
          <w:color w:val="auto"/>
          <w:highlight w:val="none"/>
        </w:rPr>
        <w:t>游禽</w:t>
      </w:r>
      <w:r>
        <w:rPr>
          <w:rFonts w:hint="eastAsia"/>
          <w:color w:val="auto"/>
          <w:highlight w:val="none"/>
          <w:lang w:eastAsia="zh-CN"/>
        </w:rPr>
        <w:t>：</w:t>
      </w:r>
      <w:r>
        <w:rPr>
          <w:rFonts w:hint="eastAsia"/>
          <w:color w:val="auto"/>
          <w:highlight w:val="none"/>
        </w:rPr>
        <w:t>共7种</w:t>
      </w:r>
      <w:r>
        <w:rPr>
          <w:rFonts w:hint="eastAsia"/>
          <w:color w:val="auto"/>
          <w:highlight w:val="none"/>
          <w:lang w:eastAsia="zh-CN"/>
        </w:rPr>
        <w:t>，</w:t>
      </w:r>
      <w:r>
        <w:rPr>
          <w:rFonts w:hint="eastAsia"/>
          <w:color w:val="auto"/>
          <w:highlight w:val="none"/>
        </w:rPr>
        <w:t>包括雁形目鸭科、鲣</w:t>
      </w:r>
      <w:r>
        <w:rPr>
          <w:rFonts w:hint="eastAsia"/>
          <w:color w:val="auto"/>
          <w:highlight w:val="none"/>
          <w:lang w:val="en-US" w:eastAsia="zh-CN"/>
        </w:rPr>
        <w:t>&lt;jiān&gt;</w:t>
      </w:r>
      <w:r>
        <w:rPr>
          <w:rFonts w:hint="eastAsia"/>
          <w:color w:val="auto"/>
          <w:highlight w:val="none"/>
        </w:rPr>
        <w:t>鸟目鸬鹚</w:t>
      </w:r>
      <w:r>
        <w:rPr>
          <w:rFonts w:hint="eastAsia"/>
          <w:color w:val="auto"/>
          <w:highlight w:val="none"/>
          <w:lang w:val="en-US" w:eastAsia="zh-CN"/>
        </w:rPr>
        <w:t>&lt;lú cí&gt;</w:t>
      </w:r>
      <w:r>
        <w:rPr>
          <w:rFonts w:hint="eastAsia"/>
          <w:color w:val="auto"/>
          <w:highlight w:val="none"/>
        </w:rPr>
        <w:t>科和鸻</w:t>
      </w:r>
      <w:r>
        <w:rPr>
          <w:rFonts w:hint="eastAsia"/>
          <w:color w:val="auto"/>
          <w:highlight w:val="none"/>
          <w:lang w:val="en-US" w:eastAsia="zh-CN"/>
        </w:rPr>
        <w:t>&lt;héng&gt;</w:t>
      </w:r>
      <w:r>
        <w:rPr>
          <w:rFonts w:hint="eastAsia"/>
          <w:color w:val="auto"/>
          <w:highlight w:val="none"/>
        </w:rPr>
        <w:t>形目鸥科的种类，如绿头鸭（</w:t>
      </w:r>
      <w:r>
        <w:rPr>
          <w:rFonts w:hint="eastAsia"/>
          <w:i/>
          <w:color w:val="auto"/>
          <w:highlight w:val="none"/>
        </w:rPr>
        <w:t>Anas platyrhynchos</w:t>
      </w:r>
      <w:r>
        <w:rPr>
          <w:rFonts w:hint="eastAsia"/>
          <w:color w:val="auto"/>
          <w:highlight w:val="none"/>
        </w:rPr>
        <w:t>）、红嘴鸥（</w:t>
      </w:r>
      <w:r>
        <w:rPr>
          <w:rFonts w:hint="eastAsia"/>
          <w:i/>
          <w:color w:val="auto"/>
          <w:highlight w:val="none"/>
        </w:rPr>
        <w:t>Chroicocephalus ridibundus</w:t>
      </w:r>
      <w:r>
        <w:rPr>
          <w:rFonts w:hint="eastAsia"/>
          <w:color w:val="auto"/>
          <w:highlight w:val="none"/>
        </w:rPr>
        <w:t>）和普通燕鸥（</w:t>
      </w:r>
      <w:r>
        <w:rPr>
          <w:rFonts w:hint="eastAsia"/>
          <w:i/>
          <w:color w:val="auto"/>
          <w:highlight w:val="none"/>
        </w:rPr>
        <w:t>Sterna hirundo</w:t>
      </w:r>
      <w:r>
        <w:rPr>
          <w:rFonts w:hint="eastAsia"/>
          <w:color w:val="auto"/>
          <w:highlight w:val="none"/>
        </w:rPr>
        <w:t>）。</w:t>
      </w:r>
      <w:r>
        <w:rPr>
          <w:rFonts w:hint="eastAsia"/>
          <w:color w:val="auto"/>
          <w:highlight w:val="none"/>
          <w:lang w:eastAsia="zh-CN"/>
        </w:rPr>
        <w:t>腿短而侧扁，位置偏向身体后方，后移程度可反映其潜水能力。一般腿越偏向身体后部的潜水能力越强，潜水越深；反之则不善潜水。游禽趾间具蹼，在游泳或潜水时，双脚直伸至尾后划动，有如船桨，脚向后伸，趾间有蹼，有扁阔的或尖嘴，善于游泳、潜水和在水中掏取食物。</w:t>
      </w:r>
    </w:p>
    <w:p w14:paraId="4AB59802">
      <w:pPr>
        <w:ind w:firstLine="480" w:firstLineChars="200"/>
        <w:rPr>
          <w:color w:val="auto"/>
          <w:highlight w:val="none"/>
        </w:rPr>
      </w:pPr>
      <w:r>
        <w:rPr>
          <w:rFonts w:hint="eastAsia"/>
          <w:color w:val="auto"/>
          <w:highlight w:val="none"/>
          <w:lang w:val="en-US" w:eastAsia="zh-CN"/>
        </w:rPr>
        <w:t>2）</w:t>
      </w:r>
      <w:r>
        <w:rPr>
          <w:rFonts w:hint="eastAsia"/>
          <w:color w:val="auto"/>
          <w:highlight w:val="none"/>
        </w:rPr>
        <w:t>涉禽</w:t>
      </w:r>
      <w:r>
        <w:rPr>
          <w:rFonts w:hint="eastAsia"/>
          <w:color w:val="auto"/>
          <w:highlight w:val="none"/>
          <w:lang w:eastAsia="zh-CN"/>
        </w:rPr>
        <w:t>：</w:t>
      </w:r>
      <w:r>
        <w:rPr>
          <w:rFonts w:hint="eastAsia"/>
          <w:color w:val="auto"/>
          <w:highlight w:val="none"/>
        </w:rPr>
        <w:t>共14种，包括鹈</w:t>
      </w:r>
      <w:r>
        <w:rPr>
          <w:rFonts w:hint="eastAsia"/>
          <w:color w:val="auto"/>
          <w:highlight w:val="none"/>
          <w:lang w:val="en-US" w:eastAsia="zh-CN"/>
        </w:rPr>
        <w:t>&lt;tí&gt;</w:t>
      </w:r>
      <w:r>
        <w:rPr>
          <w:rFonts w:hint="eastAsia"/>
          <w:color w:val="auto"/>
          <w:highlight w:val="none"/>
        </w:rPr>
        <w:t>形目鹭科、鹤形目秧鸡科、鸻形目（除鸥科）的其他鸟类，如大白鹭（</w:t>
      </w:r>
      <w:r>
        <w:rPr>
          <w:rFonts w:hint="eastAsia"/>
          <w:i/>
          <w:color w:val="auto"/>
          <w:highlight w:val="none"/>
        </w:rPr>
        <w:t>Ardea alba</w:t>
      </w:r>
      <w:r>
        <w:rPr>
          <w:rFonts w:hint="eastAsia"/>
          <w:color w:val="auto"/>
          <w:highlight w:val="none"/>
        </w:rPr>
        <w:t>）、黑水鸡（</w:t>
      </w:r>
      <w:r>
        <w:rPr>
          <w:rFonts w:hint="eastAsia"/>
          <w:i/>
          <w:color w:val="auto"/>
          <w:highlight w:val="none"/>
        </w:rPr>
        <w:t>Gallinula chloropus</w:t>
      </w:r>
      <w:r>
        <w:rPr>
          <w:rFonts w:hint="eastAsia"/>
          <w:color w:val="auto"/>
          <w:highlight w:val="none"/>
        </w:rPr>
        <w:t>）、黑翅长脚鹬</w:t>
      </w:r>
      <w:r>
        <w:rPr>
          <w:rFonts w:hint="eastAsia"/>
          <w:color w:val="auto"/>
          <w:highlight w:val="none"/>
          <w:lang w:val="en-US" w:eastAsia="zh-CN"/>
        </w:rPr>
        <w:t>&lt;yù&gt;</w:t>
      </w:r>
      <w:r>
        <w:rPr>
          <w:rFonts w:hint="eastAsia"/>
          <w:color w:val="auto"/>
          <w:highlight w:val="none"/>
        </w:rPr>
        <w:t>（</w:t>
      </w:r>
      <w:r>
        <w:rPr>
          <w:rFonts w:hint="eastAsia"/>
          <w:i/>
          <w:color w:val="auto"/>
          <w:highlight w:val="none"/>
        </w:rPr>
        <w:t>Himantopus himantopus</w:t>
      </w:r>
      <w:r>
        <w:rPr>
          <w:rFonts w:hint="eastAsia"/>
          <w:color w:val="auto"/>
          <w:highlight w:val="none"/>
        </w:rPr>
        <w:t>）等。</w:t>
      </w:r>
      <w:r>
        <w:rPr>
          <w:rFonts w:hint="eastAsia"/>
          <w:color w:val="auto"/>
          <w:highlight w:val="none"/>
          <w:lang w:eastAsia="zh-CN"/>
        </w:rPr>
        <w:t>部分北极和温带物种具有迁徙习性，而热带的物种则常为留鸟，无迁徙习性或只在不同降雨带迁徙；嘴、颈和脚都比较长，脚趾也很长，适于涉水行进，不会游泳，常用长嘴插入水底或地面取食。</w:t>
      </w:r>
    </w:p>
    <w:p w14:paraId="3D6DE332">
      <w:pPr>
        <w:ind w:firstLine="480" w:firstLineChars="200"/>
        <w:rPr>
          <w:color w:val="auto"/>
          <w:highlight w:val="none"/>
        </w:rPr>
      </w:pPr>
      <w:r>
        <w:rPr>
          <w:rFonts w:hint="eastAsia"/>
          <w:color w:val="auto"/>
          <w:highlight w:val="none"/>
          <w:lang w:val="en-US" w:eastAsia="zh-CN"/>
        </w:rPr>
        <w:t>3）</w:t>
      </w:r>
      <w:r>
        <w:rPr>
          <w:rFonts w:hint="eastAsia"/>
          <w:color w:val="auto"/>
          <w:highlight w:val="none"/>
        </w:rPr>
        <w:t>陆禽</w:t>
      </w:r>
      <w:r>
        <w:rPr>
          <w:rFonts w:hint="eastAsia"/>
          <w:color w:val="auto"/>
          <w:highlight w:val="none"/>
          <w:lang w:eastAsia="zh-CN"/>
        </w:rPr>
        <w:t>：</w:t>
      </w:r>
      <w:r>
        <w:rPr>
          <w:rFonts w:hint="eastAsia"/>
          <w:color w:val="auto"/>
          <w:highlight w:val="none"/>
        </w:rPr>
        <w:t>共8种，包括鸡形目、鸽形目的鸟类，如环颈雉（</w:t>
      </w:r>
      <w:r>
        <w:rPr>
          <w:rFonts w:hint="eastAsia"/>
          <w:i/>
          <w:color w:val="auto"/>
          <w:highlight w:val="none"/>
        </w:rPr>
        <w:t>Phasianus colchicus</w:t>
      </w:r>
      <w:r>
        <w:rPr>
          <w:rFonts w:hint="eastAsia"/>
          <w:color w:val="auto"/>
          <w:highlight w:val="none"/>
        </w:rPr>
        <w:t>）、山斑鸠（</w:t>
      </w:r>
      <w:r>
        <w:rPr>
          <w:rFonts w:hint="eastAsia"/>
          <w:i/>
          <w:color w:val="auto"/>
          <w:highlight w:val="none"/>
        </w:rPr>
        <w:t>Streptopelia orientalis</w:t>
      </w:r>
      <w:r>
        <w:rPr>
          <w:rFonts w:hint="eastAsia"/>
          <w:color w:val="auto"/>
          <w:highlight w:val="none"/>
        </w:rPr>
        <w:t>）等，主要分布于林缘地带、农田或村镇绿洲区域。</w:t>
      </w:r>
      <w:r>
        <w:rPr>
          <w:rFonts w:hint="eastAsia"/>
          <w:color w:val="auto"/>
          <w:highlight w:val="none"/>
          <w:lang w:eastAsia="zh-CN"/>
        </w:rPr>
        <w:t>嘴较短，其中鸡形目种类的嘴强健，适合在地面寻找食物并啄食；鸽形目种类的嘴基部柔软，尖端稍弯曲，适合取食植物的种子、果实等。脚较短而强健，3趾在前，1趾向后，后趾可与前趾对握，适合于在树上栖息。鸡形目多数种类雄鸟脚生有距，趾具短而钝的爪；翅短圆，多数适应短距离飞行。鸽形目翅膀相对较长，较善于飞行，体格结实，嘴坚硬，脚强而有力，适于挖土，多在地面活动觅食。</w:t>
      </w:r>
    </w:p>
    <w:p w14:paraId="64902258">
      <w:pPr>
        <w:ind w:firstLine="480" w:firstLineChars="200"/>
        <w:rPr>
          <w:color w:val="auto"/>
          <w:highlight w:val="none"/>
        </w:rPr>
      </w:pPr>
      <w:r>
        <w:rPr>
          <w:rFonts w:hint="eastAsia"/>
          <w:color w:val="auto"/>
          <w:highlight w:val="none"/>
          <w:lang w:val="en-US" w:eastAsia="zh-CN"/>
        </w:rPr>
        <w:t>4）</w:t>
      </w:r>
      <w:r>
        <w:rPr>
          <w:rFonts w:hint="eastAsia"/>
          <w:color w:val="auto"/>
          <w:highlight w:val="none"/>
        </w:rPr>
        <w:t>猛禽</w:t>
      </w:r>
      <w:r>
        <w:rPr>
          <w:rFonts w:hint="eastAsia"/>
          <w:color w:val="auto"/>
          <w:highlight w:val="none"/>
          <w:lang w:eastAsia="zh-CN"/>
        </w:rPr>
        <w:t>：</w:t>
      </w:r>
      <w:r>
        <w:rPr>
          <w:rFonts w:hint="eastAsia"/>
          <w:color w:val="auto"/>
          <w:highlight w:val="none"/>
        </w:rPr>
        <w:t>共16种，主要是鹰形目、鸮</w:t>
      </w:r>
      <w:r>
        <w:rPr>
          <w:rFonts w:hint="eastAsia"/>
          <w:color w:val="auto"/>
          <w:highlight w:val="none"/>
          <w:lang w:val="en-US" w:eastAsia="zh-CN"/>
        </w:rPr>
        <w:t>&lt;xiāo&gt;</w:t>
      </w:r>
      <w:r>
        <w:rPr>
          <w:rFonts w:hint="eastAsia"/>
          <w:color w:val="auto"/>
          <w:highlight w:val="none"/>
        </w:rPr>
        <w:t>形目和隼形目的物种，如黑鸢（</w:t>
      </w:r>
      <w:r>
        <w:rPr>
          <w:rFonts w:hint="eastAsia"/>
          <w:i/>
          <w:color w:val="auto"/>
          <w:highlight w:val="none"/>
        </w:rPr>
        <w:t>Milvus migrans</w:t>
      </w:r>
      <w:r>
        <w:rPr>
          <w:rFonts w:hint="eastAsia"/>
          <w:color w:val="auto"/>
          <w:highlight w:val="none"/>
        </w:rPr>
        <w:t>）、白尾鹞</w:t>
      </w:r>
      <w:r>
        <w:rPr>
          <w:rFonts w:hint="eastAsia"/>
          <w:color w:val="auto"/>
          <w:highlight w:val="none"/>
          <w:lang w:val="en-US" w:eastAsia="zh-CN"/>
        </w:rPr>
        <w:t>&lt;yào&gt;</w:t>
      </w:r>
      <w:r>
        <w:rPr>
          <w:rFonts w:hint="eastAsia"/>
          <w:color w:val="auto"/>
          <w:highlight w:val="none"/>
        </w:rPr>
        <w:t>（</w:t>
      </w:r>
      <w:r>
        <w:rPr>
          <w:rFonts w:hint="eastAsia"/>
          <w:i/>
          <w:color w:val="auto"/>
          <w:highlight w:val="none"/>
        </w:rPr>
        <w:t>Circus cyaneus</w:t>
      </w:r>
      <w:r>
        <w:rPr>
          <w:rFonts w:hint="eastAsia"/>
          <w:color w:val="auto"/>
          <w:highlight w:val="none"/>
        </w:rPr>
        <w:t>）、红隼（</w:t>
      </w:r>
      <w:r>
        <w:rPr>
          <w:rFonts w:hint="eastAsia"/>
          <w:i/>
          <w:color w:val="auto"/>
          <w:highlight w:val="none"/>
        </w:rPr>
        <w:t>Falco tinnunculus</w:t>
      </w:r>
      <w:r>
        <w:rPr>
          <w:rFonts w:hint="eastAsia"/>
          <w:color w:val="auto"/>
          <w:highlight w:val="none"/>
        </w:rPr>
        <w:t>）等。</w:t>
      </w:r>
      <w:r>
        <w:rPr>
          <w:rFonts w:hint="eastAsia"/>
          <w:color w:val="auto"/>
          <w:highlight w:val="none"/>
          <w:lang w:eastAsia="zh-CN"/>
        </w:rPr>
        <w:t>多数种类具有迁徙行为，迁徙大多在白天进行，这有利于它们捕食猎物、利用上升气流节省体力以及利用地面特征导航。猛禽的迁徙习性与其食性密切相关，以昆虫、食虫鸟类为猎物的猛禽开始迁徙的时间较早，而以鼠类、野兔、有蹄类动物等为食者，开始迁徙的时间较晚，嘴、爪锐利带钩，视觉器官发达，飞翔能力强，多具有捕杀动物为食的习性。</w:t>
      </w:r>
    </w:p>
    <w:p w14:paraId="32462F9C">
      <w:pPr>
        <w:ind w:firstLine="480" w:firstLineChars="200"/>
        <w:rPr>
          <w:color w:val="auto"/>
          <w:highlight w:val="none"/>
        </w:rPr>
      </w:pPr>
      <w:r>
        <w:rPr>
          <w:rFonts w:hint="eastAsia"/>
          <w:color w:val="auto"/>
          <w:highlight w:val="none"/>
          <w:lang w:val="en-US" w:eastAsia="zh-CN"/>
        </w:rPr>
        <w:t>5）</w:t>
      </w:r>
      <w:r>
        <w:rPr>
          <w:rFonts w:hint="eastAsia"/>
          <w:color w:val="auto"/>
          <w:highlight w:val="none"/>
        </w:rPr>
        <w:t>攀禽</w:t>
      </w:r>
      <w:r>
        <w:rPr>
          <w:rFonts w:hint="eastAsia"/>
          <w:color w:val="auto"/>
          <w:highlight w:val="none"/>
          <w:lang w:eastAsia="zh-CN"/>
        </w:rPr>
        <w:t>：共</w:t>
      </w:r>
      <w:r>
        <w:rPr>
          <w:rFonts w:hint="eastAsia"/>
          <w:color w:val="auto"/>
          <w:highlight w:val="none"/>
        </w:rPr>
        <w:t>4种，包括啄木鸟目、佛法僧目等鸟类，如白翅啄木鸟（</w:t>
      </w:r>
      <w:r>
        <w:rPr>
          <w:rFonts w:hint="eastAsia"/>
          <w:i/>
          <w:color w:val="auto"/>
          <w:highlight w:val="none"/>
        </w:rPr>
        <w:t>Dendrocopos leucopterus</w:t>
      </w:r>
      <w:r>
        <w:rPr>
          <w:rFonts w:hint="eastAsia"/>
          <w:color w:val="auto"/>
          <w:highlight w:val="none"/>
        </w:rPr>
        <w:t>）等。脚短而强健，具有对趾足、异趾足或并趾足，适应于在树上攀爬。由于生活习性的差异，嘴型变化多样，如啄木鸟的喙长且强壮，翠鸟的喙长而相对柔软，鹦鹉的喙</w:t>
      </w:r>
      <w:r>
        <w:rPr>
          <w:rFonts w:hint="eastAsia"/>
          <w:color w:val="auto"/>
          <w:highlight w:val="none"/>
          <w:lang w:val="en-US" w:eastAsia="zh-CN"/>
        </w:rPr>
        <w:t>&lt;huì&gt;</w:t>
      </w:r>
      <w:r>
        <w:rPr>
          <w:rFonts w:hint="eastAsia"/>
          <w:color w:val="auto"/>
          <w:highlight w:val="none"/>
        </w:rPr>
        <w:t>具钩，强韧有力</w:t>
      </w:r>
      <w:r>
        <w:rPr>
          <w:rFonts w:hint="eastAsia"/>
          <w:color w:val="auto"/>
          <w:highlight w:val="none"/>
          <w:lang w:eastAsia="zh-CN"/>
        </w:rPr>
        <w:t>；</w:t>
      </w:r>
      <w:r>
        <w:rPr>
          <w:rFonts w:hint="eastAsia"/>
          <w:color w:val="auto"/>
          <w:highlight w:val="none"/>
        </w:rPr>
        <w:t>嘴、脚和尾的构造都很特殊，善于在树上攀缘</w:t>
      </w:r>
      <w:r>
        <w:rPr>
          <w:rFonts w:hint="eastAsia"/>
          <w:color w:val="auto"/>
          <w:highlight w:val="none"/>
          <w:lang w:eastAsia="zh-CN"/>
        </w:rPr>
        <w:t>。</w:t>
      </w:r>
    </w:p>
    <w:p w14:paraId="21483E07">
      <w:pPr>
        <w:ind w:firstLine="480" w:firstLineChars="200"/>
        <w:rPr>
          <w:rFonts w:hint="eastAsia"/>
          <w:color w:val="auto"/>
          <w:highlight w:val="none"/>
          <w:lang w:eastAsia="zh-CN"/>
        </w:rPr>
      </w:pPr>
      <w:r>
        <w:rPr>
          <w:rFonts w:hint="eastAsia"/>
          <w:color w:val="auto"/>
          <w:highlight w:val="none"/>
          <w:lang w:val="en-US" w:eastAsia="zh-CN"/>
        </w:rPr>
        <w:t>6）</w:t>
      </w:r>
      <w:r>
        <w:rPr>
          <w:rFonts w:hint="eastAsia"/>
          <w:color w:val="auto"/>
          <w:highlight w:val="none"/>
        </w:rPr>
        <w:t>鸣禽</w:t>
      </w:r>
      <w:r>
        <w:rPr>
          <w:rFonts w:hint="eastAsia"/>
          <w:color w:val="auto"/>
          <w:highlight w:val="none"/>
          <w:lang w:eastAsia="zh-CN"/>
        </w:rPr>
        <w:t>：</w:t>
      </w:r>
      <w:r>
        <w:rPr>
          <w:rFonts w:hint="eastAsia"/>
          <w:color w:val="auto"/>
          <w:highlight w:val="none"/>
        </w:rPr>
        <w:t>共54种，主要是雀形目的种类。但其生活习性多种多样，广泛分布于评价区的各类生境中，如树林、灌丛、农田、水域及居民区附近等。以复杂多变的鸣声著称，这些鸣声通常用于宣示领域、吸引配偶、警示危险等。鸣禽的鸣声通常在清晨和黄昏时分最为活跃，这是它们一天中鸣叫的高峰期。鸣禽鸣管和鸣肌特别发达</w:t>
      </w:r>
      <w:r>
        <w:rPr>
          <w:rFonts w:hint="eastAsia"/>
          <w:color w:val="auto"/>
          <w:highlight w:val="none"/>
          <w:lang w:eastAsia="zh-CN"/>
        </w:rPr>
        <w:t>；</w:t>
      </w:r>
      <w:r>
        <w:rPr>
          <w:rFonts w:hint="eastAsia"/>
          <w:color w:val="auto"/>
          <w:highlight w:val="none"/>
        </w:rPr>
        <w:t>一般体形较小，体态轻捷，活泼灵巧，善于鸣叫和歌唱，且巧于筑巢</w:t>
      </w:r>
      <w:r>
        <w:rPr>
          <w:rFonts w:hint="eastAsia"/>
          <w:color w:val="auto"/>
          <w:highlight w:val="none"/>
          <w:lang w:eastAsia="zh-CN"/>
        </w:rPr>
        <w:t>。</w:t>
      </w:r>
    </w:p>
    <w:p w14:paraId="2A4628F9">
      <w:pPr>
        <w:keepNext/>
        <w:keepLines/>
        <w:pageBreakBefore w:val="0"/>
        <w:widowControl w:val="0"/>
        <w:numPr>
          <w:ilvl w:val="3"/>
          <w:numId w:val="15"/>
        </w:numPr>
        <w:kinsoku/>
        <w:wordWrap/>
        <w:overflowPunct/>
        <w:topLinePunct w:val="0"/>
        <w:autoSpaceDE/>
        <w:autoSpaceDN/>
        <w:bidi w:val="0"/>
        <w:adjustRightInd/>
        <w:snapToGrid/>
        <w:spacing w:before="0" w:beforeLines="0" w:line="360" w:lineRule="auto"/>
        <w:ind w:left="0" w:leftChars="0" w:firstLine="482" w:firstLineChars="200"/>
        <w:jc w:val="both"/>
        <w:textAlignment w:val="auto"/>
        <w:outlineLvl w:val="4"/>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食物集团与种群结构</w:t>
      </w:r>
    </w:p>
    <w:p w14:paraId="0BE9A20A">
      <w:pPr>
        <w:ind w:firstLine="480" w:firstLineChars="200"/>
        <w:rPr>
          <w:rFonts w:hint="eastAsia"/>
          <w:color w:val="auto"/>
          <w:highlight w:val="none"/>
          <w:lang w:eastAsia="zh-CN"/>
        </w:rPr>
      </w:pPr>
      <w:r>
        <w:rPr>
          <w:rFonts w:hint="eastAsia"/>
          <w:color w:val="auto"/>
          <w:highlight w:val="none"/>
          <w:lang w:eastAsia="zh-CN"/>
        </w:rPr>
        <w:t>依据食性，可将项目区及周边的103种鸟类划分为6个食物资源集团：</w:t>
      </w:r>
    </w:p>
    <w:p w14:paraId="4BC65949">
      <w:pPr>
        <w:ind w:firstLine="480" w:firstLineChars="200"/>
        <w:rPr>
          <w:rFonts w:hint="eastAsia"/>
          <w:color w:val="auto"/>
          <w:highlight w:val="none"/>
          <w:lang w:eastAsia="zh-CN"/>
        </w:rPr>
      </w:pPr>
      <w:r>
        <w:rPr>
          <w:rFonts w:hint="eastAsia"/>
          <w:color w:val="auto"/>
          <w:highlight w:val="none"/>
          <w:lang w:eastAsia="zh-CN"/>
        </w:rPr>
        <w:t>1）以鱼类等较大水生生物为主食的同食物资源集团，如小鹞鹏、苍鹭、大白鹭、红嘴鸥、普通燕鸥等。</w:t>
      </w:r>
    </w:p>
    <w:p w14:paraId="026B9B30">
      <w:pPr>
        <w:ind w:firstLine="480" w:firstLineChars="200"/>
        <w:rPr>
          <w:rFonts w:hint="eastAsia"/>
          <w:color w:val="auto"/>
          <w:highlight w:val="none"/>
          <w:lang w:eastAsia="zh-CN"/>
        </w:rPr>
      </w:pPr>
      <w:r>
        <w:rPr>
          <w:rFonts w:hint="eastAsia"/>
          <w:color w:val="auto"/>
          <w:highlight w:val="none"/>
          <w:lang w:eastAsia="zh-CN"/>
        </w:rPr>
        <w:t>2）以蠕虫、螺和软体动物为主食的同食物资源集团，如黑翅长脚鹬和红脚鹬等。</w:t>
      </w:r>
    </w:p>
    <w:p w14:paraId="7C0154EA">
      <w:pPr>
        <w:ind w:firstLine="480" w:firstLineChars="200"/>
        <w:rPr>
          <w:rFonts w:hint="eastAsia"/>
          <w:color w:val="auto"/>
          <w:highlight w:val="none"/>
          <w:lang w:eastAsia="zh-CN"/>
        </w:rPr>
      </w:pPr>
      <w:r>
        <w:rPr>
          <w:rFonts w:hint="eastAsia"/>
          <w:color w:val="auto"/>
          <w:highlight w:val="none"/>
          <w:lang w:eastAsia="zh-CN"/>
        </w:rPr>
        <w:t>3）以昆虫为主食的同食物资源集团，如凤头麦鸡、黄喉蜂虎、白翅啄木鸟、白鹊（què）鸰（líng）等。</w:t>
      </w:r>
    </w:p>
    <w:p w14:paraId="1AE898F0">
      <w:pPr>
        <w:ind w:firstLine="480" w:firstLineChars="200"/>
        <w:rPr>
          <w:rFonts w:hint="eastAsia"/>
          <w:color w:val="auto"/>
          <w:highlight w:val="none"/>
          <w:lang w:eastAsia="zh-CN"/>
        </w:rPr>
      </w:pPr>
      <w:r>
        <w:rPr>
          <w:rFonts w:hint="eastAsia"/>
          <w:color w:val="auto"/>
          <w:highlight w:val="none"/>
          <w:lang w:eastAsia="zh-CN"/>
        </w:rPr>
        <w:t>4）以植物种子、嫩芽、果实为主食的同食物资源集团，如山斑鸠、原鸽、燕雀、欧金翅雀等。</w:t>
      </w:r>
    </w:p>
    <w:p w14:paraId="476E0626">
      <w:pPr>
        <w:ind w:firstLine="480" w:firstLineChars="200"/>
        <w:rPr>
          <w:rFonts w:hint="eastAsia"/>
          <w:color w:val="auto"/>
          <w:highlight w:val="none"/>
          <w:lang w:eastAsia="zh-CN"/>
        </w:rPr>
      </w:pPr>
      <w:r>
        <w:rPr>
          <w:rFonts w:hint="eastAsia"/>
          <w:color w:val="auto"/>
          <w:highlight w:val="none"/>
          <w:lang w:eastAsia="zh-CN"/>
        </w:rPr>
        <w:t>5）杂食性同食物资源集团，如绿头鸭、环颈雉、黑水鸡、喜鹊和乌鸫等。</w:t>
      </w:r>
    </w:p>
    <w:p w14:paraId="06DD8C10">
      <w:pPr>
        <w:ind w:firstLine="480" w:firstLineChars="200"/>
        <w:rPr>
          <w:rFonts w:hint="eastAsia"/>
          <w:color w:val="auto"/>
          <w:highlight w:val="none"/>
          <w:lang w:eastAsia="zh-CN"/>
        </w:rPr>
      </w:pPr>
      <w:r>
        <w:rPr>
          <w:rFonts w:hint="eastAsia"/>
          <w:color w:val="auto"/>
          <w:highlight w:val="none"/>
          <w:lang w:eastAsia="zh-CN"/>
        </w:rPr>
        <w:t>6）以鸟类、鼠类</w:t>
      </w:r>
      <w:r>
        <w:rPr>
          <w:rFonts w:hint="eastAsia"/>
          <w:color w:val="auto"/>
          <w:highlight w:val="none"/>
          <w:lang w:val="en-US" w:eastAsia="zh-CN"/>
        </w:rPr>
        <w:t>为</w:t>
      </w:r>
      <w:r>
        <w:rPr>
          <w:rFonts w:hint="eastAsia"/>
          <w:color w:val="auto"/>
          <w:highlight w:val="none"/>
          <w:lang w:eastAsia="zh-CN"/>
        </w:rPr>
        <w:t>主食的同食物资源集团，如黑鸢、白尾鹞等猛禽。</w:t>
      </w:r>
    </w:p>
    <w:p w14:paraId="5B4F9C6C">
      <w:pPr>
        <w:ind w:firstLine="480" w:firstLineChars="200"/>
        <w:rPr>
          <w:rFonts w:hint="eastAsia"/>
          <w:color w:val="auto"/>
          <w:highlight w:val="none"/>
          <w:lang w:eastAsia="zh-CN"/>
        </w:rPr>
      </w:pPr>
      <w:r>
        <w:rPr>
          <w:rFonts w:hint="eastAsia"/>
          <w:color w:val="auto"/>
          <w:highlight w:val="none"/>
          <w:lang w:eastAsia="zh-CN"/>
        </w:rPr>
        <w:t>除冬候鸟和旅鸟的食性相对稳定外，留鸟和夏候鸟在繁殖初期均以动物性食物喂养幼鸟直至羽毛丰满，待其离巢自行觅食。有时由于喜食性食物匮乏而被迫摄取厌食性食物以维持生存和</w:t>
      </w:r>
      <w:r>
        <w:rPr>
          <w:rFonts w:hint="eastAsia"/>
          <w:color w:val="auto"/>
          <w:highlight w:val="none"/>
          <w:lang w:val="en-US" w:eastAsia="zh-CN"/>
        </w:rPr>
        <w:t>繁衍</w:t>
      </w:r>
      <w:r>
        <w:rPr>
          <w:rFonts w:hint="eastAsia"/>
          <w:color w:val="auto"/>
          <w:highlight w:val="none"/>
          <w:lang w:eastAsia="zh-CN"/>
        </w:rPr>
        <w:t>。</w:t>
      </w:r>
    </w:p>
    <w:p w14:paraId="34D2355E">
      <w:pPr>
        <w:keepNext/>
        <w:keepLines/>
        <w:pageBreakBefore w:val="0"/>
        <w:widowControl w:val="0"/>
        <w:numPr>
          <w:ilvl w:val="3"/>
          <w:numId w:val="15"/>
        </w:numPr>
        <w:kinsoku/>
        <w:wordWrap/>
        <w:overflowPunct/>
        <w:topLinePunct w:val="0"/>
        <w:autoSpaceDE/>
        <w:autoSpaceDN/>
        <w:bidi w:val="0"/>
        <w:adjustRightInd/>
        <w:snapToGrid/>
        <w:spacing w:before="0" w:beforeLines="0" w:line="360" w:lineRule="auto"/>
        <w:ind w:left="0" w:leftChars="0" w:firstLine="482" w:firstLineChars="200"/>
        <w:jc w:val="both"/>
        <w:textAlignment w:val="auto"/>
        <w:outlineLvl w:val="4"/>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群落种群构成</w:t>
      </w:r>
    </w:p>
    <w:p w14:paraId="4352E907">
      <w:pPr>
        <w:ind w:firstLine="480" w:firstLineChars="200"/>
        <w:rPr>
          <w:rFonts w:hint="eastAsia"/>
          <w:color w:val="auto"/>
          <w:highlight w:val="none"/>
          <w:lang w:eastAsia="zh-CN"/>
        </w:rPr>
      </w:pPr>
      <w:r>
        <w:rPr>
          <w:rFonts w:hint="eastAsia"/>
          <w:color w:val="auto"/>
          <w:highlight w:val="none"/>
          <w:lang w:eastAsia="zh-CN"/>
        </w:rPr>
        <w:t>同鸟类的生活型和同食物资源集团一样，其群落的种群构成也十分复杂。拟建项目区及周边鸟类群落组成可分为单一种群、较固定的混合群、趋食性混合群和迁徙单一种群等4种群体类型，然而单一种群也并非一成不变，当环境条件发生变化时，尤其是栖息生境受到人为干扰或被分割缩小或某一小生境食物来源比较丰富时，也会出现混群现象。</w:t>
      </w:r>
    </w:p>
    <w:p w14:paraId="1D0DADCE">
      <w:pPr>
        <w:ind w:firstLine="480" w:firstLineChars="200"/>
        <w:rPr>
          <w:rFonts w:hint="eastAsia"/>
          <w:color w:val="auto"/>
          <w:highlight w:val="none"/>
          <w:lang w:eastAsia="zh-CN"/>
        </w:rPr>
      </w:pPr>
      <w:r>
        <w:rPr>
          <w:rFonts w:hint="eastAsia"/>
          <w:color w:val="auto"/>
          <w:highlight w:val="none"/>
          <w:lang w:eastAsia="zh-CN"/>
        </w:rPr>
        <w:t>1）单一种群：即不与其他种群混群活动，如凤头麦鸡、黄喉蜂虎等。除部分种类在迁徙时集结成更大的群体外，它们始终各自集群觅食和夜宿。</w:t>
      </w:r>
    </w:p>
    <w:p w14:paraId="6DBF8DFA">
      <w:pPr>
        <w:ind w:firstLine="480" w:firstLineChars="200"/>
        <w:rPr>
          <w:rFonts w:hint="eastAsia"/>
          <w:color w:val="auto"/>
          <w:highlight w:val="none"/>
          <w:lang w:eastAsia="zh-CN"/>
        </w:rPr>
      </w:pPr>
      <w:r>
        <w:rPr>
          <w:rFonts w:hint="eastAsia"/>
          <w:color w:val="auto"/>
          <w:highlight w:val="none"/>
          <w:lang w:eastAsia="zh-CN"/>
        </w:rPr>
        <w:t>2）较固定的混合群：如大白鹭、苍鹭为觅食、繁殖、夜栖混合群。</w:t>
      </w:r>
    </w:p>
    <w:p w14:paraId="6E7E9489">
      <w:pPr>
        <w:ind w:firstLine="480" w:firstLineChars="200"/>
        <w:rPr>
          <w:rFonts w:hint="eastAsia"/>
          <w:color w:val="auto"/>
          <w:highlight w:val="none"/>
          <w:lang w:eastAsia="zh-CN"/>
        </w:rPr>
      </w:pPr>
      <w:r>
        <w:rPr>
          <w:rFonts w:hint="eastAsia"/>
          <w:color w:val="auto"/>
          <w:highlight w:val="none"/>
          <w:lang w:eastAsia="zh-CN"/>
        </w:rPr>
        <w:t>3）趋食性混合群：普通燕鸥、红脚鹬、金眶（kuàng）鸻和黑翅长脚鹬等属于趋食性混合群，但是它们的迁入和迁出十分频繁，也可称为松散性集群。</w:t>
      </w:r>
    </w:p>
    <w:p w14:paraId="456FA698">
      <w:pPr>
        <w:ind w:firstLine="480" w:firstLineChars="200"/>
        <w:rPr>
          <w:rFonts w:hint="eastAsia" w:eastAsia="宋体"/>
          <w:color w:val="auto"/>
          <w:highlight w:val="none"/>
          <w:lang w:eastAsia="zh-CN"/>
        </w:rPr>
      </w:pPr>
      <w:r>
        <w:rPr>
          <w:rFonts w:hint="eastAsia"/>
          <w:color w:val="auto"/>
          <w:highlight w:val="none"/>
          <w:lang w:eastAsia="zh-CN"/>
        </w:rPr>
        <w:t>4）迁徙单一群体：包括上述较固定的混合群和筑巢、育雏、夜宿混合群以及趋食性混合群，它们在南迁北徙时均解体为单一种群展翅高飞。如黑翅长脚鹬、家燕和普通楼燕等。</w:t>
      </w:r>
    </w:p>
    <w:p w14:paraId="391AD0B8">
      <w:pPr>
        <w:keepNext/>
        <w:keepLines/>
        <w:pageBreakBefore w:val="0"/>
        <w:widowControl w:val="0"/>
        <w:numPr>
          <w:ilvl w:val="3"/>
          <w:numId w:val="15"/>
        </w:numPr>
        <w:kinsoku/>
        <w:wordWrap/>
        <w:overflowPunct/>
        <w:topLinePunct w:val="0"/>
        <w:autoSpaceDE/>
        <w:autoSpaceDN/>
        <w:bidi w:val="0"/>
        <w:adjustRightInd/>
        <w:snapToGrid/>
        <w:spacing w:before="0" w:beforeLines="0" w:line="360" w:lineRule="auto"/>
        <w:ind w:left="0" w:leftChars="0" w:firstLine="482" w:firstLineChars="200"/>
        <w:jc w:val="both"/>
        <w:textAlignment w:val="auto"/>
        <w:outlineLvl w:val="4"/>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鸟类分布</w:t>
      </w:r>
    </w:p>
    <w:p w14:paraId="5B9A8A32">
      <w:pPr>
        <w:ind w:firstLine="480" w:firstLineChars="200"/>
        <w:rPr>
          <w:rFonts w:hint="eastAsia"/>
          <w:color w:val="auto"/>
          <w:highlight w:val="none"/>
        </w:rPr>
      </w:pPr>
      <w:r>
        <w:rPr>
          <w:rFonts w:hint="eastAsia"/>
          <w:color w:val="auto"/>
          <w:highlight w:val="none"/>
        </w:rPr>
        <w:t>从鸟类栖息类型上看，栖息生境丰富。拟建项目区及周边绝大多数为旱田生境，主要作物有棉花、枸杞等</w:t>
      </w:r>
      <w:r>
        <w:rPr>
          <w:rFonts w:hint="eastAsia"/>
          <w:color w:val="auto"/>
          <w:highlight w:val="none"/>
          <w:lang w:eastAsia="zh-CN"/>
        </w:rPr>
        <w:t>。</w:t>
      </w:r>
      <w:r>
        <w:rPr>
          <w:rFonts w:hint="eastAsia"/>
          <w:color w:val="auto"/>
          <w:highlight w:val="none"/>
        </w:rPr>
        <w:t>该生境隐蔽条件差，生境单一，只有少数食谷鸟类在此觅食。优势种有灰斑鸠（</w:t>
      </w:r>
      <w:r>
        <w:rPr>
          <w:rFonts w:hint="eastAsia"/>
          <w:i/>
          <w:color w:val="auto"/>
          <w:highlight w:val="none"/>
        </w:rPr>
        <w:t>Streptopelia decaocto</w:t>
      </w:r>
      <w:r>
        <w:rPr>
          <w:rFonts w:hint="eastAsia"/>
          <w:color w:val="auto"/>
          <w:highlight w:val="none"/>
        </w:rPr>
        <w:t>）、麻雀（</w:t>
      </w:r>
      <w:r>
        <w:rPr>
          <w:rFonts w:hint="eastAsia"/>
          <w:i/>
          <w:color w:val="auto"/>
          <w:highlight w:val="none"/>
        </w:rPr>
        <w:t>Passer montanus</w:t>
      </w:r>
      <w:r>
        <w:rPr>
          <w:rFonts w:hint="eastAsia"/>
          <w:color w:val="auto"/>
          <w:highlight w:val="none"/>
        </w:rPr>
        <w:t>）、家燕（</w:t>
      </w:r>
      <w:r>
        <w:rPr>
          <w:rFonts w:hint="eastAsia"/>
          <w:i/>
          <w:color w:val="auto"/>
          <w:highlight w:val="none"/>
        </w:rPr>
        <w:t>Hirundo rustica</w:t>
      </w:r>
      <w:r>
        <w:rPr>
          <w:rFonts w:hint="eastAsia"/>
          <w:color w:val="auto"/>
          <w:highlight w:val="none"/>
        </w:rPr>
        <w:t>）、斑翅山鹑</w:t>
      </w:r>
      <w:r>
        <w:rPr>
          <w:rFonts w:hint="eastAsia"/>
          <w:color w:val="auto"/>
          <w:highlight w:val="none"/>
          <w:lang w:val="en-US" w:eastAsia="zh-CN"/>
        </w:rPr>
        <w:t>&lt;chún&gt;</w:t>
      </w:r>
      <w:r>
        <w:rPr>
          <w:rFonts w:hint="eastAsia"/>
          <w:color w:val="auto"/>
          <w:highlight w:val="none"/>
        </w:rPr>
        <w:t>（</w:t>
      </w:r>
      <w:r>
        <w:rPr>
          <w:rFonts w:hint="eastAsia"/>
          <w:i/>
          <w:color w:val="auto"/>
          <w:highlight w:val="none"/>
        </w:rPr>
        <w:t>Perdix dauurica</w:t>
      </w:r>
      <w:r>
        <w:rPr>
          <w:rFonts w:hint="eastAsia"/>
          <w:color w:val="auto"/>
          <w:highlight w:val="none"/>
        </w:rPr>
        <w:t>）、戴胜（</w:t>
      </w:r>
      <w:r>
        <w:rPr>
          <w:rFonts w:hint="eastAsia"/>
          <w:i/>
          <w:color w:val="auto"/>
          <w:highlight w:val="none"/>
        </w:rPr>
        <w:t>Upupa epops</w:t>
      </w:r>
      <w:r>
        <w:rPr>
          <w:rFonts w:hint="eastAsia"/>
          <w:color w:val="auto"/>
          <w:highlight w:val="none"/>
        </w:rPr>
        <w:t>）等，且</w:t>
      </w:r>
      <w:r>
        <w:rPr>
          <w:rFonts w:hint="eastAsia"/>
          <w:color w:val="auto"/>
          <w:highlight w:val="none"/>
          <w:lang w:val="en-US" w:eastAsia="zh-CN"/>
        </w:rPr>
        <w:t>鸟类</w:t>
      </w:r>
      <w:r>
        <w:rPr>
          <w:rFonts w:hint="eastAsia"/>
          <w:color w:val="auto"/>
          <w:highlight w:val="none"/>
        </w:rPr>
        <w:t>数量较少。</w:t>
      </w:r>
    </w:p>
    <w:p w14:paraId="07FB8191">
      <w:pPr>
        <w:ind w:firstLine="480" w:firstLineChars="200"/>
        <w:rPr>
          <w:color w:val="auto"/>
          <w:highlight w:val="none"/>
        </w:rPr>
      </w:pPr>
      <w:r>
        <w:rPr>
          <w:rFonts w:hint="eastAsia"/>
          <w:color w:val="auto"/>
          <w:highlight w:val="none"/>
        </w:rPr>
        <w:t>项目区及周边还零星分布有</w:t>
      </w:r>
      <w:r>
        <w:rPr>
          <w:rFonts w:hint="eastAsia"/>
          <w:color w:val="auto"/>
          <w:highlight w:val="none"/>
          <w:lang w:val="en-US" w:eastAsia="zh-CN"/>
        </w:rPr>
        <w:t>小片</w:t>
      </w:r>
      <w:r>
        <w:rPr>
          <w:rFonts w:hint="eastAsia"/>
          <w:color w:val="auto"/>
          <w:highlight w:val="none"/>
        </w:rPr>
        <w:t>林地、草地等，仅在区域旱田中有少量农田防护林带以及护路林带。这里生活的鸟类多为树栖型鸟类，以雀形目等小型鸟类居多。分布在这一生境的鸟类有隼形目、鸡形目、鸮形目、鹃形目、裂形目及雀形目等鸟类。优势种有麻雀（</w:t>
      </w:r>
      <w:r>
        <w:rPr>
          <w:rFonts w:hint="eastAsia"/>
          <w:i/>
          <w:color w:val="auto"/>
          <w:highlight w:val="none"/>
        </w:rPr>
        <w:t>Passer montanus</w:t>
      </w:r>
      <w:r>
        <w:rPr>
          <w:rFonts w:hint="eastAsia"/>
          <w:color w:val="auto"/>
          <w:highlight w:val="none"/>
        </w:rPr>
        <w:t>）、家燕（</w:t>
      </w:r>
      <w:r>
        <w:rPr>
          <w:rFonts w:hint="eastAsia"/>
          <w:i/>
          <w:color w:val="auto"/>
          <w:highlight w:val="none"/>
        </w:rPr>
        <w:t>Hirundo rustica</w:t>
      </w:r>
      <w:r>
        <w:rPr>
          <w:rFonts w:hint="eastAsia"/>
          <w:color w:val="auto"/>
          <w:highlight w:val="none"/>
        </w:rPr>
        <w:t>）、乌鸫（</w:t>
      </w:r>
      <w:r>
        <w:rPr>
          <w:rFonts w:hint="eastAsia"/>
          <w:i/>
          <w:color w:val="auto"/>
          <w:highlight w:val="none"/>
        </w:rPr>
        <w:t>Turdus merula</w:t>
      </w:r>
      <w:r>
        <w:rPr>
          <w:rFonts w:hint="eastAsia"/>
          <w:color w:val="auto"/>
          <w:highlight w:val="none"/>
        </w:rPr>
        <w:t>）等，且鸟类数量也较少。草原典型的以地栖型为主的代表鸟种，而缺乏湿地和树栖鸟类，也没有特有种。该区此类小生境极少，可称得上是点状的隐域性小生境，才在相当程度上丰富了物种多样性。这些鸟种大多属于广布型物种，但种群数量较少，代表种有凤头百灵（</w:t>
      </w:r>
      <w:r>
        <w:rPr>
          <w:rFonts w:hint="eastAsia"/>
          <w:i/>
          <w:color w:val="auto"/>
          <w:highlight w:val="none"/>
        </w:rPr>
        <w:t>Galerida cristata</w:t>
      </w:r>
      <w:r>
        <w:rPr>
          <w:rFonts w:hint="eastAsia"/>
          <w:color w:val="auto"/>
          <w:highlight w:val="none"/>
        </w:rPr>
        <w:t>）等。</w:t>
      </w:r>
    </w:p>
    <w:p w14:paraId="3CCBA9AB">
      <w:pPr>
        <w:ind w:firstLine="480" w:firstLineChars="200"/>
        <w:rPr>
          <w:color w:val="auto"/>
          <w:highlight w:val="none"/>
        </w:rPr>
      </w:pPr>
      <w:r>
        <w:rPr>
          <w:rFonts w:hint="eastAsia"/>
          <w:color w:val="auto"/>
          <w:highlight w:val="none"/>
        </w:rPr>
        <w:t>项目区及周边的少量湿地是区域游禽、涉禽的主要栖息</w:t>
      </w:r>
      <w:r>
        <w:rPr>
          <w:rFonts w:hint="eastAsia"/>
          <w:color w:val="auto"/>
          <w:highlight w:val="none"/>
          <w:lang w:val="en-US" w:eastAsia="zh-CN"/>
        </w:rPr>
        <w:t>生境</w:t>
      </w:r>
      <w:r>
        <w:rPr>
          <w:rFonts w:hint="eastAsia"/>
          <w:color w:val="auto"/>
          <w:highlight w:val="none"/>
        </w:rPr>
        <w:t>。这些鸟类均属于候鸟，其迁徙具有明显的季节特点，这些鸟类中大多数为旅鸟，使得春秋两季鸟类数量较多，形成迁徙高峰；夏季有一部分夏候鸟在此活动取食。湿地动物群以大量游禽、涉禽湿地鸟类为代表</w:t>
      </w:r>
      <w:r>
        <w:rPr>
          <w:rFonts w:hint="eastAsia"/>
          <w:color w:val="auto"/>
          <w:highlight w:val="none"/>
          <w:lang w:eastAsia="zh-CN"/>
        </w:rPr>
        <w:t>，</w:t>
      </w:r>
      <w:r>
        <w:rPr>
          <w:rFonts w:hint="eastAsia"/>
          <w:color w:val="auto"/>
          <w:highlight w:val="none"/>
        </w:rPr>
        <w:t>常见的种类有绿头鸭（</w:t>
      </w:r>
      <w:r>
        <w:rPr>
          <w:rFonts w:hint="eastAsia"/>
          <w:i/>
          <w:color w:val="auto"/>
          <w:highlight w:val="none"/>
        </w:rPr>
        <w:t>Anas platyrhynchos</w:t>
      </w:r>
      <w:r>
        <w:rPr>
          <w:rFonts w:hint="eastAsia"/>
          <w:color w:val="auto"/>
          <w:highlight w:val="none"/>
        </w:rPr>
        <w:t>）、黑翅长脚鹬（</w:t>
      </w:r>
      <w:r>
        <w:rPr>
          <w:rFonts w:hint="eastAsia"/>
          <w:i/>
          <w:color w:val="auto"/>
          <w:highlight w:val="none"/>
        </w:rPr>
        <w:t>Himantopus himantopus</w:t>
      </w:r>
      <w:r>
        <w:rPr>
          <w:rFonts w:hint="eastAsia"/>
          <w:color w:val="auto"/>
          <w:highlight w:val="none"/>
        </w:rPr>
        <w:t>）、红脚鹬（</w:t>
      </w:r>
      <w:r>
        <w:rPr>
          <w:rFonts w:hint="eastAsia"/>
          <w:i/>
          <w:color w:val="auto"/>
          <w:highlight w:val="none"/>
        </w:rPr>
        <w:t>Tringa totanus</w:t>
      </w:r>
      <w:r>
        <w:rPr>
          <w:rFonts w:hint="eastAsia"/>
          <w:color w:val="auto"/>
          <w:highlight w:val="none"/>
        </w:rPr>
        <w:t>）等。</w:t>
      </w:r>
    </w:p>
    <w:p w14:paraId="71E851A0">
      <w:pPr>
        <w:keepNext/>
        <w:keepLines/>
        <w:pageBreakBefore w:val="0"/>
        <w:widowControl w:val="0"/>
        <w:numPr>
          <w:ilvl w:val="3"/>
          <w:numId w:val="15"/>
        </w:numPr>
        <w:kinsoku/>
        <w:wordWrap/>
        <w:overflowPunct/>
        <w:topLinePunct w:val="0"/>
        <w:autoSpaceDE/>
        <w:autoSpaceDN/>
        <w:bidi w:val="0"/>
        <w:adjustRightInd/>
        <w:snapToGrid/>
        <w:spacing w:before="0" w:beforeLines="0" w:line="360" w:lineRule="auto"/>
        <w:ind w:left="0" w:leftChars="0" w:firstLine="482" w:firstLineChars="200"/>
        <w:jc w:val="both"/>
        <w:textAlignment w:val="auto"/>
        <w:outlineLvl w:val="4"/>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鸟类与主要环境因子的关系</w:t>
      </w:r>
    </w:p>
    <w:p w14:paraId="28CE25F6">
      <w:pPr>
        <w:ind w:firstLine="480" w:firstLineChars="200"/>
        <w:rPr>
          <w:rFonts w:hint="eastAsia"/>
          <w:color w:val="auto"/>
          <w:highlight w:val="none"/>
          <w:lang w:val="en-US" w:eastAsia="zh-CN"/>
        </w:rPr>
      </w:pPr>
      <w:r>
        <w:rPr>
          <w:rFonts w:hint="eastAsia"/>
          <w:color w:val="auto"/>
          <w:highlight w:val="none"/>
          <w:lang w:val="en-US" w:eastAsia="zh-CN"/>
        </w:rPr>
        <w:t>鸟类在飞行区及其周边区域分布影响因素众多，其中生态因子为决定性因素，如食物因子、水源因子、具有隐蔽条件的栖息繁殖地和迁徙候鸟的停歇驿站等。</w:t>
      </w:r>
    </w:p>
    <w:p w14:paraId="55CD4672">
      <w:pPr>
        <w:ind w:firstLine="482" w:firstLineChars="200"/>
        <w:rPr>
          <w:rFonts w:hint="default" w:eastAsia="宋体"/>
          <w:b/>
          <w:bCs/>
          <w:color w:val="auto"/>
          <w:highlight w:val="none"/>
          <w:lang w:val="en-US" w:eastAsia="zh-CN"/>
        </w:rPr>
      </w:pPr>
      <w:r>
        <w:rPr>
          <w:rFonts w:hint="eastAsia"/>
          <w:b/>
          <w:bCs/>
          <w:color w:val="auto"/>
          <w:highlight w:val="none"/>
          <w:lang w:val="en-US" w:eastAsia="zh-CN"/>
        </w:rPr>
        <w:t>1）食物因子</w:t>
      </w:r>
    </w:p>
    <w:p w14:paraId="4E4A68E2">
      <w:pPr>
        <w:ind w:firstLine="480" w:firstLineChars="200"/>
        <w:rPr>
          <w:rFonts w:hint="eastAsia"/>
          <w:color w:val="auto"/>
          <w:highlight w:val="none"/>
        </w:rPr>
      </w:pPr>
      <w:r>
        <w:rPr>
          <w:rFonts w:hint="eastAsia"/>
          <w:color w:val="auto"/>
          <w:highlight w:val="none"/>
        </w:rPr>
        <w:t>根据食物和觅食习惯的不同，可将鸟类分为植食性鸟类、肉食性鸟类和杂食性鸟类。因鸟类食性各不相同，所以控制鸟类的难度较大。鸟类被食物吸引到机场，特别是某些广食性的鸟，它们可充分利用当地各种食物。当食物充足而且多样时，有些鸟种集群或与其他鸟种混群觅食。当这些鸟在机场内或在机场上空出现时，飞机进出场都会对其产生威胁，因而控制鸟类食物的可获得性是抑制鸟类在机场出现的关键。</w:t>
      </w:r>
    </w:p>
    <w:p w14:paraId="1BC4A749">
      <w:pPr>
        <w:ind w:firstLine="480" w:firstLineChars="200"/>
        <w:rPr>
          <w:rFonts w:hint="eastAsia"/>
          <w:color w:val="auto"/>
          <w:highlight w:val="none"/>
        </w:rPr>
      </w:pPr>
      <w:r>
        <w:rPr>
          <w:rFonts w:hint="eastAsia"/>
          <w:color w:val="auto"/>
          <w:highlight w:val="none"/>
        </w:rPr>
        <w:t>春季植物开始发芽，土壤动物和昆虫的数量日渐增多，拟建区域内大片农田内生长的庄稼幼苗以及杂草，给昆虫及土壤动物提供丰富的食物，吸引多种鸟类。麻雀、喜鹊、环颈雉等杂食性鸟类以新鲜植物嫩芽为食或捕食地面低矮植物上的昆虫，集群的家燕、普通雨燕等捕食空中的飞虫，鼠类以植物嫩芽等为食，而鼠类和小型鸟类又为猛禽提供丰盛的食物，这样在草、鼠和鸟之间形成了复杂的食物链或食物网。这些鸟类如果在跑道附近活动或横穿跑道，将会因飞机起降等而受到致命威胁。</w:t>
      </w:r>
    </w:p>
    <w:p w14:paraId="26619481">
      <w:pPr>
        <w:ind w:firstLine="480" w:firstLineChars="200"/>
        <w:rPr>
          <w:rFonts w:hint="eastAsia"/>
          <w:color w:val="auto"/>
          <w:highlight w:val="none"/>
        </w:rPr>
      </w:pPr>
      <w:r>
        <w:rPr>
          <w:rFonts w:hint="eastAsia"/>
          <w:color w:val="auto"/>
          <w:highlight w:val="none"/>
        </w:rPr>
        <w:t>夏秋时节，控制鸟类分布的食源因子与春夏时节的基本相同，同时湿地为鹭类提供丰富的食物来源。该时段是鸟类的繁殖和育雏季节，对食物的需求量急剧增大，鸟类的活动频次加剧，使鸟击的潜在威胁更大。</w:t>
      </w:r>
    </w:p>
    <w:p w14:paraId="47139D63">
      <w:pPr>
        <w:ind w:firstLine="480" w:firstLineChars="200"/>
        <w:rPr>
          <w:rFonts w:hint="eastAsia"/>
          <w:color w:val="auto"/>
          <w:highlight w:val="none"/>
        </w:rPr>
      </w:pPr>
      <w:r>
        <w:rPr>
          <w:rFonts w:hint="eastAsia"/>
          <w:color w:val="auto"/>
          <w:highlight w:val="none"/>
        </w:rPr>
        <w:t>秋季大量成熟农作物和杂草草籽为鼠类和食谷鸟类提供丰富的食源，如何选择割草时机，尽量减少草籽的成熟是控制鸟类在飞行区内分布的主要手段之一。此外，在此繁殖的夏候鸟迁徙前极大群且频发飞行觅食补充能量，如在农田生境集群的紫翅椋</w:t>
      </w:r>
      <w:r>
        <w:rPr>
          <w:rFonts w:hint="eastAsia"/>
          <w:color w:val="auto"/>
          <w:highlight w:val="none"/>
          <w:lang w:eastAsia="zh-CN"/>
        </w:rPr>
        <w:t>（liáng）</w:t>
      </w:r>
      <w:r>
        <w:rPr>
          <w:rFonts w:hint="eastAsia"/>
          <w:color w:val="auto"/>
          <w:highlight w:val="none"/>
        </w:rPr>
        <w:t>鸟、家燕、崖沙燕、普通雨燕等，这些候鸟都会在迁徙前到收割后的农田觅食。</w:t>
      </w:r>
    </w:p>
    <w:p w14:paraId="3EC6F017">
      <w:pPr>
        <w:ind w:firstLine="480" w:firstLineChars="200"/>
        <w:rPr>
          <w:rFonts w:hint="eastAsia"/>
          <w:color w:val="auto"/>
          <w:highlight w:val="none"/>
        </w:rPr>
      </w:pPr>
      <w:r>
        <w:rPr>
          <w:rFonts w:hint="eastAsia"/>
          <w:color w:val="auto"/>
          <w:highlight w:val="none"/>
        </w:rPr>
        <w:t>冬季机场</w:t>
      </w:r>
      <w:r>
        <w:rPr>
          <w:rFonts w:hint="eastAsia"/>
          <w:color w:val="auto"/>
          <w:highlight w:val="none"/>
          <w:lang w:val="en-US" w:eastAsia="zh-CN"/>
        </w:rPr>
        <w:t>区域</w:t>
      </w:r>
      <w:r>
        <w:rPr>
          <w:rFonts w:hint="eastAsia"/>
          <w:color w:val="auto"/>
          <w:highlight w:val="none"/>
        </w:rPr>
        <w:t>鸟类可食的食物减少，所以冬季的鸟群种类较为单一，数量较少。但是机场围界以外的环境与飞行区内极不相同，包括村庄、林地、草地和湿地等生境，食物源主要有作物种子、杂草种子、农副产品、昆虫、鼠类和生活垃圾等。如机场围界外养殖户或农户牲畜草料和堆集的农作物等，吸引麻雀、苍头燕雀、山雀、喜鹊等鸟类来此觅食，这些鸟类经常飞到围界以内，飞机进出场会对其生命安全造成重大威胁。</w:t>
      </w:r>
    </w:p>
    <w:p w14:paraId="3DF075DF">
      <w:pPr>
        <w:ind w:firstLine="480" w:firstLineChars="200"/>
        <w:rPr>
          <w:rFonts w:hint="eastAsia"/>
          <w:color w:val="auto"/>
          <w:highlight w:val="none"/>
          <w:lang w:eastAsia="zh-CN"/>
        </w:rPr>
      </w:pPr>
      <w:r>
        <w:rPr>
          <w:rFonts w:hint="eastAsia"/>
          <w:color w:val="auto"/>
          <w:highlight w:val="none"/>
        </w:rPr>
        <w:t>飞行区外为典型的农田居民点景观，这些村庄农田、居民点、林地交错分布，形成点网格局。影响鸟类分布的食物因子非常多，食源主要有农作物种子、杂草草籽、农副产品、昆虫、鼠类和生活垃圾等。评价区周边居民点有较多的生活垃圾堆放处，这些垃圾为喜鹊、乌鸫等杂食性鸟类提供充足的食源，这些鸟类的种群数量较大，分布范围广，是受飞机进出场影响的重要鸟种。另外，田间地头和荒地的杂草草籽、各生境内昆虫和鼠类等都在不同季节间为鸟类提供食源。充足的食源吸引种类繁多的鸟类，飞机飞行对其生命安全造成潜在隐患</w:t>
      </w:r>
      <w:r>
        <w:rPr>
          <w:rFonts w:hint="eastAsia"/>
          <w:color w:val="auto"/>
          <w:highlight w:val="none"/>
          <w:lang w:eastAsia="zh-CN"/>
        </w:rPr>
        <w:t>。</w:t>
      </w:r>
    </w:p>
    <w:p w14:paraId="54CEE96A">
      <w:pPr>
        <w:ind w:firstLine="482" w:firstLineChars="200"/>
        <w:rPr>
          <w:rFonts w:hint="default"/>
          <w:b/>
          <w:bCs/>
          <w:color w:val="auto"/>
          <w:highlight w:val="none"/>
          <w:lang w:val="en-US" w:eastAsia="zh-CN"/>
        </w:rPr>
      </w:pPr>
      <w:r>
        <w:rPr>
          <w:rFonts w:hint="eastAsia"/>
          <w:b/>
          <w:bCs/>
          <w:color w:val="auto"/>
          <w:highlight w:val="none"/>
          <w:lang w:val="en-US" w:eastAsia="zh-CN"/>
        </w:rPr>
        <w:t>2）水源因子</w:t>
      </w:r>
    </w:p>
    <w:p w14:paraId="3AAA199E">
      <w:pPr>
        <w:ind w:firstLine="480" w:firstLineChars="200"/>
        <w:rPr>
          <w:rFonts w:hint="eastAsia"/>
          <w:color w:val="auto"/>
          <w:highlight w:val="none"/>
          <w:lang w:eastAsia="zh-CN"/>
        </w:rPr>
      </w:pPr>
      <w:r>
        <w:rPr>
          <w:rFonts w:hint="eastAsia"/>
          <w:color w:val="auto"/>
          <w:highlight w:val="none"/>
          <w:lang w:eastAsia="zh-CN"/>
        </w:rPr>
        <w:t>淡水水源对多数陆地鸟类及部分水鸟具有关键吸引力，明水不仅可供鸟类饮用，其中水生生物还可为鸟类提供食源。前来觅食、饮水的鸟类又将其天敌猛禽吸引到机场及其周边。机场周边可被鸟类利用的水资源主要分布于灌溉渠道、下雨后的地面积水等，为鸟类提供生存用水。</w:t>
      </w:r>
    </w:p>
    <w:p w14:paraId="501208C6">
      <w:pPr>
        <w:ind w:firstLine="482" w:firstLineChars="200"/>
        <w:rPr>
          <w:rFonts w:hint="default"/>
          <w:b/>
          <w:bCs/>
          <w:color w:val="auto"/>
          <w:highlight w:val="none"/>
          <w:lang w:val="en-US" w:eastAsia="zh-CN"/>
        </w:rPr>
      </w:pPr>
      <w:r>
        <w:rPr>
          <w:rFonts w:hint="eastAsia"/>
          <w:b/>
          <w:bCs/>
          <w:color w:val="auto"/>
          <w:highlight w:val="none"/>
          <w:lang w:val="en-US" w:eastAsia="zh-CN"/>
        </w:rPr>
        <w:t>3）鸟类的隐蔽及繁殖地</w:t>
      </w:r>
    </w:p>
    <w:p w14:paraId="2DCF2823">
      <w:pPr>
        <w:ind w:firstLine="480" w:firstLineChars="200"/>
        <w:rPr>
          <w:rFonts w:hint="eastAsia"/>
          <w:color w:val="auto"/>
          <w:highlight w:val="none"/>
          <w:lang w:eastAsia="zh-CN"/>
        </w:rPr>
      </w:pPr>
      <w:r>
        <w:rPr>
          <w:rFonts w:hint="eastAsia"/>
          <w:color w:val="auto"/>
          <w:highlight w:val="none"/>
          <w:lang w:eastAsia="zh-CN"/>
        </w:rPr>
        <w:t>良好的栖息和繁殖</w:t>
      </w:r>
      <w:r>
        <w:rPr>
          <w:rFonts w:hint="eastAsia"/>
          <w:color w:val="auto"/>
          <w:highlight w:val="none"/>
          <w:lang w:val="en-US" w:eastAsia="zh-CN"/>
        </w:rPr>
        <w:t>生境</w:t>
      </w:r>
      <w:r>
        <w:rPr>
          <w:rFonts w:hint="eastAsia"/>
          <w:color w:val="auto"/>
          <w:highlight w:val="none"/>
          <w:lang w:eastAsia="zh-CN"/>
        </w:rPr>
        <w:t>也是影响鸟类分布的主要因子之一。隐蔽场所是鸟类在活动中躲避外界干扰而寻找的安全地点，包括鸟类游荡、栖息和筑巢等区域。鸟类在活动过程中时时刻刻都有可能因受到外界干扰而寻找隐蔽场所。机场飞行区内和周边地区适合鸟类栖息和繁殖的场所较多，因此会吸引较多鸟类在此区域栖息和繁殖，仅繁殖鸟类就记录到74种。</w:t>
      </w:r>
    </w:p>
    <w:p w14:paraId="77A71649">
      <w:pPr>
        <w:ind w:firstLine="480" w:firstLineChars="200"/>
        <w:rPr>
          <w:rFonts w:hint="eastAsia"/>
          <w:color w:val="auto"/>
          <w:highlight w:val="none"/>
          <w:lang w:eastAsia="zh-CN"/>
        </w:rPr>
      </w:pPr>
      <w:r>
        <w:rPr>
          <w:rFonts w:hint="eastAsia"/>
          <w:color w:val="auto"/>
          <w:highlight w:val="none"/>
          <w:lang w:eastAsia="zh-CN"/>
        </w:rPr>
        <w:t>项目区及周边适合鸟类栖息和繁殖的场所众多，主要为林地生境、农田生境和湿地生境。拟建机场飞行区外周边地区的农田分布面积较广，分布其中的鸟类主要为与人类伴居的常见种类，如家燕、麻雀等。飞行区周围的林地树种较为单一，呈小面积的零星分布，这为攀禽和鸣禽提供适宜的生境，有灰斑鸠、麻雀、白翅啄木鸟等。</w:t>
      </w:r>
    </w:p>
    <w:p w14:paraId="1DE8B4D4">
      <w:pPr>
        <w:keepNext/>
        <w:keepLines/>
        <w:pageBreakBefore w:val="0"/>
        <w:widowControl w:val="0"/>
        <w:numPr>
          <w:ilvl w:val="3"/>
          <w:numId w:val="15"/>
        </w:numPr>
        <w:kinsoku/>
        <w:wordWrap/>
        <w:overflowPunct/>
        <w:topLinePunct w:val="0"/>
        <w:autoSpaceDE/>
        <w:autoSpaceDN/>
        <w:bidi w:val="0"/>
        <w:adjustRightInd/>
        <w:snapToGrid/>
        <w:spacing w:before="0" w:beforeLines="0" w:line="360" w:lineRule="auto"/>
        <w:ind w:left="0" w:leftChars="0" w:firstLine="482" w:firstLineChars="200"/>
        <w:jc w:val="both"/>
        <w:textAlignment w:val="auto"/>
        <w:outlineLvl w:val="4"/>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艾比湖停歇的迁徙候鸟</w:t>
      </w:r>
    </w:p>
    <w:p w14:paraId="373243DB">
      <w:pPr>
        <w:ind w:firstLine="480" w:firstLineChars="200"/>
        <w:rPr>
          <w:rFonts w:hint="eastAsia"/>
          <w:color w:val="auto"/>
          <w:highlight w:val="none"/>
          <w:lang w:eastAsia="zh-CN"/>
        </w:rPr>
      </w:pPr>
      <w:r>
        <w:rPr>
          <w:rFonts w:hint="eastAsia"/>
          <w:color w:val="auto"/>
          <w:highlight w:val="none"/>
          <w:lang w:eastAsia="zh-CN"/>
        </w:rPr>
        <w:t>拟建机场东部和北部的湿地主要有精河河流湿地、博尔塔拉河湿地、艾比湖南岸湖泊湿地，这些湿地为水鸟提供食源和水源，是水鸟尤其是雁形目、鸻形目的适宜生境，其间分布的水鸟种类丰富，种群数量也相对较大。</w:t>
      </w:r>
    </w:p>
    <w:p w14:paraId="4D39DDEE">
      <w:pPr>
        <w:ind w:firstLine="480" w:firstLineChars="200"/>
        <w:rPr>
          <w:rFonts w:hint="eastAsia"/>
          <w:color w:val="auto"/>
          <w:highlight w:val="none"/>
          <w:lang w:eastAsia="zh-CN"/>
        </w:rPr>
      </w:pPr>
      <w:r>
        <w:rPr>
          <w:rFonts w:hint="eastAsia"/>
          <w:color w:val="auto"/>
          <w:highlight w:val="none"/>
          <w:lang w:eastAsia="zh-CN"/>
        </w:rPr>
        <w:t>艾比湖是准噶尔盆地最大的湖泊，也是新疆最大的咸水湖（矿化度维持在70~100g/L），位于精河县城以北35km处，西与北疆铁路精河到阿拉山口段相邻，东为甘家湖梭梭林自然保护区。艾比湖接纳周边河流补给和精河盆地地下水径流和泉水排泄，形成椭圆状湖面。地表水补给源，原有包括博尔塔拉河、精河和奎屯河等23条河。因20世纪50年代以来开始大规模农业开发，修建柳沟、奎屯河、黄沟一、黄沟二等十几座水库，大量引水灌溉导致各主要河流入湖水量大量减少甚至断流（20世纪70年代末奎屯河口完全断流，博尔塔拉河夏季断流，精河春季断流），1977年艾比湖湖面面积缩减至522km</w:t>
      </w:r>
      <w:r>
        <w:rPr>
          <w:rFonts w:hint="eastAsia"/>
          <w:color w:val="auto"/>
          <w:highlight w:val="none"/>
          <w:vertAlign w:val="superscript"/>
          <w:lang w:eastAsia="zh-CN"/>
        </w:rPr>
        <w:t>2</w:t>
      </w:r>
      <w:r>
        <w:rPr>
          <w:rFonts w:hint="eastAsia"/>
          <w:color w:val="auto"/>
          <w:highlight w:val="none"/>
          <w:lang w:eastAsia="zh-CN"/>
        </w:rPr>
        <w:t>，地下水补给量也受到大规模开荒等活动的影响。总之，在气候变化和人类活动的双重影响下，艾比湖湖面面积由1950年的1200km</w:t>
      </w:r>
      <w:r>
        <w:rPr>
          <w:rFonts w:hint="eastAsia"/>
          <w:color w:val="auto"/>
          <w:highlight w:val="none"/>
          <w:vertAlign w:val="superscript"/>
          <w:lang w:val="en-US" w:eastAsia="zh-CN"/>
        </w:rPr>
        <w:t>2</w:t>
      </w:r>
      <w:r>
        <w:rPr>
          <w:rFonts w:hint="eastAsia"/>
          <w:color w:val="auto"/>
          <w:highlight w:val="none"/>
          <w:lang w:eastAsia="zh-CN"/>
        </w:rPr>
        <w:t>锐减至2013年的408km</w:t>
      </w:r>
      <w:r>
        <w:rPr>
          <w:rFonts w:hint="eastAsia"/>
          <w:color w:val="auto"/>
          <w:highlight w:val="none"/>
          <w:vertAlign w:val="superscript"/>
          <w:lang w:val="en-US" w:eastAsia="zh-CN"/>
        </w:rPr>
        <w:t>2</w:t>
      </w:r>
      <w:r>
        <w:rPr>
          <w:rFonts w:hint="eastAsia"/>
          <w:color w:val="auto"/>
          <w:highlight w:val="none"/>
          <w:lang w:eastAsia="zh-CN"/>
        </w:rPr>
        <w:t>。近些年，随着灌区节水改造和实行最严格的水资源管理制度、加大生态环境保护等，湖面面积有所恢复。</w:t>
      </w:r>
    </w:p>
    <w:p w14:paraId="148CF1DF">
      <w:pPr>
        <w:ind w:firstLine="480" w:firstLineChars="200"/>
        <w:rPr>
          <w:rFonts w:hint="eastAsia"/>
          <w:color w:val="auto"/>
          <w:highlight w:val="none"/>
          <w:lang w:val="en-US" w:eastAsia="zh-CN"/>
        </w:rPr>
      </w:pPr>
      <w:r>
        <w:rPr>
          <w:rFonts w:hint="eastAsia"/>
          <w:color w:val="auto"/>
          <w:highlight w:val="none"/>
          <w:lang w:val="en-US" w:eastAsia="zh-CN"/>
        </w:rPr>
        <w:t>新疆夏季普遍干旱少雨，导致艾比湖及湖区周边湿地补给水源匮乏，主要补给河流例如精河、博乐河等都出现较长时间断流情况。入河口及湖区周边湿地是水鸟度夏和迁徙的主要停歇觅食地，水源的减少让湖区大幅萎缩，湖水盐分变高，湿地水位下降，为鸻鹬类鸟种提供更多滩涂，所以今年明显表现为迁徙停歇时间长、数量大等特点。雁鸭类多为植食性，且更喜欢水域开阔环境，8-9月间的枯水期受到的影响较大，在大风天气湖区周边湿地雁鸭类数量会大幅度增加，但天气稳定后马上飞离。鸥类、鹭类、鹳（guàn）类等在9月下旬前数量相对较大，与养殖水域水位较低利于捕食有关，9月下旬随着补给水源大量补充（上游农业用水基本结束）数量明显下降。随着水位上涨水域面积扩大，9月下旬之后，雁鸭类进入过境数量高峰期。林栖鸟类总体数量不大，多为零星过境，也与今年整体干旱缺乏食物有关。</w:t>
      </w:r>
    </w:p>
    <w:p w14:paraId="27BFCFF7">
      <w:pPr>
        <w:ind w:firstLine="480" w:firstLineChars="200"/>
        <w:rPr>
          <w:rFonts w:hint="eastAsia"/>
          <w:color w:val="auto"/>
          <w:highlight w:val="none"/>
        </w:rPr>
      </w:pPr>
      <w:r>
        <w:rPr>
          <w:rFonts w:hint="eastAsia"/>
          <w:color w:val="auto"/>
          <w:highlight w:val="none"/>
          <w:lang w:val="en-US" w:eastAsia="zh-CN"/>
        </w:rPr>
        <w:t>艾比湖湿地是干旱区脆弱环境监测的热点地区，是鸟类迁徙的重要驿站。据调查，艾比湖区域共记录鸟类233种，以古北种（183种，78.5%）或广布种（49种，21.0%）为主，在这个地区少有东洋种（&lt;0.5%）。留鸟38种（占总数16.3%），夏候鸟约102种（占43.8%），其余为旅鸟61种（26.2%）和冬候鸟31种（13.3%）。秋季9～10月鸟类出现一个数量高峰期，最多一次迁徙数量统计为103875只，揭示艾比湖区所处的特殊地理位置与鸟类季节性变化的关系。部分候鸟在北方高纬度繁殖地与南方低纬度越冬地之间迁徙时途经艾比湖区域，拟建机场临近博尔塔拉河且跑道方向与博尔塔拉河垂直，向北几乎正对艾比湖湿地上空。因此，需要针对该区持续开展鸟情监测的同时，加强鸟击排查与防治工作，保障通行飞机的飞行安全。</w:t>
      </w:r>
    </w:p>
    <w:p w14:paraId="070DFB8B">
      <w:pPr>
        <w:keepNext/>
        <w:keepLines/>
        <w:pageBreakBefore w:val="0"/>
        <w:widowControl w:val="0"/>
        <w:numPr>
          <w:ilvl w:val="3"/>
          <w:numId w:val="15"/>
        </w:numPr>
        <w:kinsoku/>
        <w:wordWrap/>
        <w:overflowPunct/>
        <w:topLinePunct w:val="0"/>
        <w:autoSpaceDE/>
        <w:autoSpaceDN/>
        <w:bidi w:val="0"/>
        <w:adjustRightInd/>
        <w:snapToGrid/>
        <w:spacing w:before="0" w:beforeLines="0" w:line="360" w:lineRule="auto"/>
        <w:ind w:left="0" w:leftChars="0" w:firstLine="482" w:firstLineChars="200"/>
        <w:jc w:val="both"/>
        <w:textAlignment w:val="auto"/>
        <w:outlineLvl w:val="4"/>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不同季节鸟类组成及活动特点</w:t>
      </w:r>
    </w:p>
    <w:p w14:paraId="03039250">
      <w:pPr>
        <w:ind w:firstLine="480" w:firstLineChars="200"/>
        <w:rPr>
          <w:rFonts w:hint="eastAsia"/>
          <w:color w:val="auto"/>
          <w:highlight w:val="none"/>
        </w:rPr>
      </w:pPr>
      <w:r>
        <w:rPr>
          <w:rFonts w:hint="eastAsia"/>
          <w:color w:val="auto"/>
          <w:highlight w:val="none"/>
        </w:rPr>
        <w:t>根据鸟类是否迁徙，可分为留鸟和候鸟。随着季节的变化，有的鸟类作短距离迁移，有的鸟类则在繁殖区和越冬区之间作长距离迁徙。鸟类多样性不仅与鸟类的种类和数量相关，不同季节间某个地区的鸟类组成有差异，因而不同季节的鸟类多样性指数表现出较大差异。</w:t>
      </w:r>
    </w:p>
    <w:p w14:paraId="24AF1D37">
      <w:pPr>
        <w:ind w:firstLine="480" w:firstLineChars="200"/>
        <w:rPr>
          <w:rFonts w:hint="eastAsia"/>
          <w:color w:val="auto"/>
          <w:highlight w:val="none"/>
        </w:rPr>
      </w:pPr>
      <w:r>
        <w:rPr>
          <w:rFonts w:hint="eastAsia"/>
          <w:color w:val="auto"/>
          <w:highlight w:val="none"/>
        </w:rPr>
        <w:t>春季正是鸟类的迁徙季节，鸟类组成发生很大变化，主要由留鸟、早迁来的夏候鸟、晚迁走的冬候鸟及旅鸟构成。鸟类在春季活动频繁，其种类和数量都明显</w:t>
      </w:r>
      <w:r>
        <w:rPr>
          <w:rFonts w:hint="eastAsia"/>
          <w:color w:val="auto"/>
          <w:highlight w:val="none"/>
          <w:lang w:eastAsia="zh-CN"/>
        </w:rPr>
        <w:t>增多</w:t>
      </w:r>
      <w:r>
        <w:rPr>
          <w:rFonts w:hint="eastAsia"/>
          <w:color w:val="auto"/>
          <w:highlight w:val="none"/>
        </w:rPr>
        <w:t>。本地的留鸟种类和数量比较稳定，它们开始选择巢址、筑巢，为繁殖做准备；由南往北迁的旅鸟，途经此地只做短暂停留，进行休憩与觅食；在此越冬的冬候鸟，由于气温回升，受体内激素刺激，开始成群成对陆续北迁，威胁着飞机安全飞行；陆续来此繁殖的夏候鸟，开始筑巢、配对，使得该季节鸟类种数增多。</w:t>
      </w:r>
    </w:p>
    <w:p w14:paraId="54CC66C4">
      <w:pPr>
        <w:ind w:firstLine="480" w:firstLineChars="200"/>
        <w:rPr>
          <w:rFonts w:hint="eastAsia"/>
          <w:color w:val="auto"/>
          <w:highlight w:val="none"/>
        </w:rPr>
      </w:pPr>
      <w:r>
        <w:rPr>
          <w:rFonts w:hint="eastAsia"/>
          <w:color w:val="auto"/>
          <w:highlight w:val="none"/>
        </w:rPr>
        <w:t>夏季的鸟类组成中夏候鸟和留鸟占主体地位，多数鸟种成对活动、多栖息于相对较为隐蔽的林地、灌丛或者湿地生境。此外，初夏和夏末部分旅鸟也在此区域作短暂停留，增加夏季鸟类的种群数量。</w:t>
      </w:r>
    </w:p>
    <w:p w14:paraId="075D7D92">
      <w:pPr>
        <w:ind w:firstLine="480" w:firstLineChars="200"/>
        <w:rPr>
          <w:rFonts w:hint="eastAsia"/>
          <w:color w:val="auto"/>
          <w:highlight w:val="none"/>
        </w:rPr>
      </w:pPr>
      <w:r>
        <w:rPr>
          <w:rFonts w:hint="eastAsia"/>
          <w:color w:val="auto"/>
          <w:highlight w:val="none"/>
        </w:rPr>
        <w:t>秋季鸟类由留鸟、旅鸟及部分夏候鸟组成，秋初幼鸟数量增多，多种鸟类巢后集群，以家族或混合性集群觅食。秋末夏候鸟开始陆续迁离此地，冬候鸟开始迁徙而来，增强了</w:t>
      </w:r>
      <w:r>
        <w:rPr>
          <w:rFonts w:hint="eastAsia"/>
          <w:color w:val="auto"/>
          <w:highlight w:val="none"/>
          <w:lang w:val="en-US" w:eastAsia="zh-CN"/>
        </w:rPr>
        <w:t>区域</w:t>
      </w:r>
      <w:r>
        <w:rPr>
          <w:rFonts w:hint="eastAsia"/>
          <w:color w:val="auto"/>
          <w:highlight w:val="none"/>
        </w:rPr>
        <w:t>鸟类流动性，鸟击概率增加，特别是不熟悉环境的幼鸟数量增多也是鸟击概率加剧的重要原因。</w:t>
      </w:r>
    </w:p>
    <w:p w14:paraId="569EAB3A">
      <w:pPr>
        <w:ind w:firstLine="480" w:firstLineChars="200"/>
        <w:rPr>
          <w:color w:val="auto"/>
          <w:highlight w:val="none"/>
        </w:rPr>
      </w:pPr>
      <w:r>
        <w:rPr>
          <w:rFonts w:hint="eastAsia"/>
          <w:color w:val="auto"/>
          <w:highlight w:val="none"/>
        </w:rPr>
        <w:t>拟建项目区及周边冬季气候寒冷，仅区域内农田、绿洲为鸟类提供了食物和隐蔽条件。由于冬季鸟群种类并不丰富，种群数量也不大，且受气候的影响，本项目区内冬季鸟类较少。</w:t>
      </w:r>
    </w:p>
    <w:p w14:paraId="4FE0D00A">
      <w:pPr>
        <w:keepNext/>
        <w:keepLines/>
        <w:pageBreakBefore w:val="0"/>
        <w:widowControl w:val="0"/>
        <w:numPr>
          <w:ilvl w:val="3"/>
          <w:numId w:val="15"/>
        </w:numPr>
        <w:kinsoku/>
        <w:wordWrap/>
        <w:overflowPunct/>
        <w:topLinePunct w:val="0"/>
        <w:autoSpaceDE/>
        <w:autoSpaceDN/>
        <w:bidi w:val="0"/>
        <w:adjustRightInd/>
        <w:snapToGrid/>
        <w:spacing w:before="0" w:beforeLines="0" w:line="360" w:lineRule="auto"/>
        <w:ind w:left="0" w:leftChars="0" w:firstLine="482" w:firstLineChars="200"/>
        <w:jc w:val="both"/>
        <w:textAlignment w:val="auto"/>
        <w:outlineLvl w:val="4"/>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重点保护鸟类</w:t>
      </w:r>
    </w:p>
    <w:p w14:paraId="497031AE">
      <w:pPr>
        <w:ind w:firstLine="480" w:firstLineChars="200"/>
        <w:rPr>
          <w:color w:val="auto"/>
          <w:highlight w:val="none"/>
        </w:rPr>
      </w:pPr>
      <w:r>
        <w:rPr>
          <w:rFonts w:hint="eastAsia"/>
          <w:color w:val="auto"/>
          <w:highlight w:val="none"/>
        </w:rPr>
        <w:t>根据《国家重点保护野生动物名录》（国家林业和草原局 农业农村部公告2021年第3号）和《新疆维吾尔自治区重点保护野生动物名录（修订）》（新政发〔2022〕75号），拟建项目区及周边分布的国家和自治区重点保护野生动物有23种，均为罕见种，占该区域陆生脊椎动物物种总数的22.33％。根据《中国生物多样性红色名录》，拟建项目区及周边分布的2种野生鸟类被《中国生物多样性红色名录》列入易危（VU）物种，即大鵟</w:t>
      </w:r>
      <w:r>
        <w:rPr>
          <w:rFonts w:hint="eastAsia"/>
          <w:color w:val="auto"/>
          <w:highlight w:val="none"/>
          <w:lang w:eastAsia="zh-CN"/>
        </w:rPr>
        <w:t>（kuáng）</w:t>
      </w:r>
      <w:r>
        <w:rPr>
          <w:rFonts w:hint="eastAsia"/>
          <w:color w:val="auto"/>
          <w:highlight w:val="none"/>
        </w:rPr>
        <w:t>和黄爪</w:t>
      </w:r>
      <w:r>
        <w:rPr>
          <w:rFonts w:hint="eastAsia"/>
          <w:color w:val="auto"/>
          <w:highlight w:val="none"/>
          <w:lang w:eastAsia="zh-CN"/>
        </w:rPr>
        <w:t>（zhǎo）</w:t>
      </w:r>
      <w:r>
        <w:rPr>
          <w:rFonts w:hint="eastAsia"/>
          <w:color w:val="auto"/>
          <w:highlight w:val="none"/>
        </w:rPr>
        <w:t>隼。</w:t>
      </w:r>
    </w:p>
    <w:p w14:paraId="5D309B2D">
      <w:pPr>
        <w:keepNext/>
        <w:keepLines/>
        <w:pageBreakBefore w:val="0"/>
        <w:widowControl w:val="0"/>
        <w:numPr>
          <w:ilvl w:val="3"/>
          <w:numId w:val="15"/>
        </w:numPr>
        <w:kinsoku/>
        <w:wordWrap/>
        <w:overflowPunct/>
        <w:topLinePunct w:val="0"/>
        <w:autoSpaceDE/>
        <w:autoSpaceDN/>
        <w:bidi w:val="0"/>
        <w:adjustRightInd/>
        <w:snapToGrid/>
        <w:spacing w:before="0" w:beforeLines="0" w:line="360" w:lineRule="auto"/>
        <w:ind w:left="0" w:leftChars="0" w:firstLine="482" w:firstLineChars="200"/>
        <w:jc w:val="both"/>
        <w:textAlignment w:val="auto"/>
        <w:outlineLvl w:val="4"/>
        <w:rPr>
          <w:rFonts w:ascii="Times New Roman" w:hAnsi="Times New Roman" w:eastAsia="宋体"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危险鸟种及其习性</w:t>
      </w:r>
    </w:p>
    <w:p w14:paraId="275C2C4A">
      <w:pPr>
        <w:ind w:firstLine="480" w:firstLineChars="200"/>
        <w:rPr>
          <w:rFonts w:hint="eastAsia"/>
          <w:color w:val="auto"/>
          <w:highlight w:val="none"/>
          <w:lang w:val="en-US" w:eastAsia="zh-CN"/>
        </w:rPr>
      </w:pPr>
      <w:r>
        <w:rPr>
          <w:rFonts w:hint="eastAsia"/>
          <w:color w:val="auto"/>
          <w:highlight w:val="none"/>
          <w:lang w:val="en-US" w:eastAsia="zh-CN"/>
        </w:rPr>
        <w:t>将评价区域的鸟类名录与《运输机场鸟击航空器防范危险鸟种目录》进行对比，统计出可能影响到机场飞行安全的候鸟种类及习性分析，详见下表：</w:t>
      </w:r>
    </w:p>
    <w:p w14:paraId="2146EB95">
      <w:pPr>
        <w:ind w:firstLine="480" w:firstLineChars="200"/>
        <w:rPr>
          <w:rFonts w:hint="eastAsia"/>
          <w:color w:val="auto"/>
          <w:highlight w:val="none"/>
          <w:lang w:val="en-US" w:eastAsia="zh-CN"/>
        </w:rPr>
      </w:pPr>
      <w:r>
        <w:rPr>
          <w:rFonts w:hint="eastAsia"/>
          <w:color w:val="auto"/>
          <w:highlight w:val="none"/>
          <w:lang w:val="en-US" w:eastAsia="zh-CN"/>
        </w:rPr>
        <w:t>结合鸟情调查报告，以及</w:t>
      </w:r>
      <w:r>
        <w:rPr>
          <w:rFonts w:hint="eastAsia" w:ascii="Times New Roman" w:eastAsia="宋体"/>
          <w:color w:val="auto"/>
          <w:highlight w:val="none"/>
          <w:lang w:val="en-US" w:eastAsia="zh-CN"/>
        </w:rPr>
        <w:t>鸟类食性、水源、隐蔽及繁殖地需求的分析，识别出评价区内以下鸟类活动热点区域</w:t>
      </w:r>
      <w:r>
        <w:rPr>
          <w:rFonts w:hint="eastAsia"/>
          <w:color w:val="auto"/>
          <w:highlight w:val="none"/>
          <w:lang w:val="en-US" w:eastAsia="zh-CN"/>
        </w:rPr>
        <w:t>：</w:t>
      </w:r>
    </w:p>
    <w:p w14:paraId="49051B8C">
      <w:pPr>
        <w:ind w:firstLine="480" w:firstLineChars="200"/>
        <w:rPr>
          <w:rFonts w:hint="eastAsia" w:eastAsia="宋体"/>
          <w:color w:val="auto"/>
          <w:highlight w:val="none"/>
          <w:lang w:eastAsia="zh-CN"/>
        </w:rPr>
      </w:pPr>
      <w:r>
        <w:rPr>
          <w:rFonts w:hint="eastAsia"/>
          <w:color w:val="auto"/>
          <w:highlight w:val="none"/>
          <w:lang w:val="en-US" w:eastAsia="zh-CN"/>
        </w:rPr>
        <w:t>1</w:t>
      </w:r>
      <w:r>
        <w:rPr>
          <w:rFonts w:hint="eastAsia"/>
          <w:color w:val="auto"/>
          <w:highlight w:val="none"/>
          <w:lang w:eastAsia="zh-CN"/>
        </w:rPr>
        <w:t>）</w:t>
      </w:r>
      <w:r>
        <w:rPr>
          <w:rFonts w:hint="eastAsia" w:eastAsia="宋体"/>
          <w:color w:val="auto"/>
          <w:highlight w:val="none"/>
          <w:lang w:eastAsia="zh-CN"/>
        </w:rPr>
        <w:t>核心水源与觅食区：评价区内零星的湿地、灌溉渠道及季节性积水区。这些区域是游禽（如绿头鸭）、涉禽（如黑翅长脚鹬）以及前来饮水和捕食的猛禽（如黑鸢）的关键活动点。</w:t>
      </w:r>
    </w:p>
    <w:p w14:paraId="6B00B57F">
      <w:pPr>
        <w:ind w:firstLine="480" w:firstLineChars="200"/>
        <w:rPr>
          <w:rFonts w:hint="eastAsia" w:eastAsia="宋体"/>
          <w:color w:val="auto"/>
          <w:highlight w:val="none"/>
          <w:lang w:eastAsia="zh-CN"/>
        </w:rPr>
      </w:pPr>
      <w:r>
        <w:rPr>
          <w:rFonts w:hint="eastAsia"/>
          <w:color w:val="auto"/>
          <w:highlight w:val="none"/>
          <w:lang w:val="en-US" w:eastAsia="zh-CN"/>
        </w:rPr>
        <w:t>2</w:t>
      </w:r>
      <w:r>
        <w:rPr>
          <w:rFonts w:hint="eastAsia"/>
          <w:color w:val="auto"/>
          <w:highlight w:val="none"/>
          <w:lang w:eastAsia="zh-CN"/>
        </w:rPr>
        <w:t>）</w:t>
      </w:r>
      <w:r>
        <w:rPr>
          <w:rFonts w:hint="eastAsia" w:eastAsia="宋体"/>
          <w:color w:val="auto"/>
          <w:highlight w:val="none"/>
          <w:lang w:eastAsia="zh-CN"/>
        </w:rPr>
        <w:t>开阔地狩猎区：大面积的荒漠草</w:t>
      </w:r>
      <w:r>
        <w:rPr>
          <w:rFonts w:hint="eastAsia"/>
          <w:color w:val="auto"/>
          <w:highlight w:val="none"/>
          <w:lang w:val="en-US" w:eastAsia="zh-CN"/>
        </w:rPr>
        <w:t>地</w:t>
      </w:r>
      <w:r>
        <w:rPr>
          <w:rFonts w:hint="eastAsia" w:eastAsia="宋体"/>
          <w:color w:val="auto"/>
          <w:highlight w:val="none"/>
          <w:lang w:eastAsia="zh-CN"/>
        </w:rPr>
        <w:t>、农田（特别是收割后及犁耕的农田）。这些区域是猛禽（如短趾雕、白尾鹞、各种鵟、隼）的主要觅食场所</w:t>
      </w:r>
      <w:r>
        <w:rPr>
          <w:rFonts w:hint="eastAsia"/>
          <w:color w:val="auto"/>
          <w:highlight w:val="none"/>
          <w:lang w:eastAsia="zh-CN"/>
        </w:rPr>
        <w:t>，</w:t>
      </w:r>
      <w:r>
        <w:rPr>
          <w:rFonts w:hint="eastAsia" w:eastAsia="宋体"/>
          <w:color w:val="auto"/>
          <w:highlight w:val="none"/>
          <w:lang w:eastAsia="zh-CN"/>
        </w:rPr>
        <w:t>春季集群的黑鸢喜欢在犁后的农田觅食。</w:t>
      </w:r>
    </w:p>
    <w:p w14:paraId="6E8F1F60">
      <w:pPr>
        <w:ind w:firstLine="480" w:firstLineChars="200"/>
        <w:rPr>
          <w:rFonts w:hint="eastAsia"/>
          <w:color w:val="auto"/>
          <w:highlight w:val="none"/>
          <w:lang w:eastAsia="zh-CN"/>
        </w:rPr>
      </w:pPr>
      <w:r>
        <w:rPr>
          <w:rFonts w:hint="eastAsia"/>
          <w:color w:val="auto"/>
          <w:highlight w:val="none"/>
          <w:lang w:val="en-US" w:eastAsia="zh-CN"/>
        </w:rPr>
        <w:t>3</w:t>
      </w:r>
      <w:r>
        <w:rPr>
          <w:rFonts w:hint="eastAsia"/>
          <w:color w:val="auto"/>
          <w:highlight w:val="none"/>
          <w:lang w:eastAsia="zh-CN"/>
        </w:rPr>
        <w:t>）</w:t>
      </w:r>
      <w:r>
        <w:rPr>
          <w:rFonts w:hint="eastAsia" w:eastAsia="宋体"/>
          <w:color w:val="auto"/>
          <w:highlight w:val="none"/>
          <w:lang w:eastAsia="zh-CN"/>
        </w:rPr>
        <w:t>林地与灌丛栖息区：零散分布的农田防护林、护路林带及灌丛。这些区域为攀禽（如白翅啄木鸟）和鸣禽（如蓝喉歌鸲、新疆歌鸲）提供了栖息和繁殖场所</w:t>
      </w:r>
      <w:r>
        <w:rPr>
          <w:rFonts w:hint="eastAsia"/>
          <w:color w:val="auto"/>
          <w:highlight w:val="none"/>
          <w:lang w:eastAsia="zh-CN"/>
        </w:rPr>
        <w:t>。</w:t>
      </w:r>
    </w:p>
    <w:p w14:paraId="166FC4BD">
      <w:pPr>
        <w:ind w:firstLine="480" w:firstLineChars="200"/>
        <w:rPr>
          <w:rFonts w:hint="eastAsia"/>
          <w:color w:val="auto"/>
          <w:highlight w:val="none"/>
          <w:lang w:val="en-US" w:eastAsia="zh-CN"/>
        </w:rPr>
      </w:pPr>
      <w:r>
        <w:rPr>
          <w:rFonts w:hint="eastAsia"/>
          <w:color w:val="auto"/>
          <w:highlight w:val="none"/>
          <w:lang w:val="en-US" w:eastAsia="zh-CN"/>
        </w:rPr>
        <w:t>4</w:t>
      </w:r>
      <w:r>
        <w:rPr>
          <w:rFonts w:hint="eastAsia"/>
          <w:color w:val="auto"/>
          <w:highlight w:val="none"/>
          <w:lang w:eastAsia="zh-CN"/>
        </w:rPr>
        <w:t>）迁徙路径关键节点：宏观路径</w:t>
      </w:r>
      <w:r>
        <w:rPr>
          <w:rFonts w:hint="eastAsia"/>
          <w:color w:val="auto"/>
          <w:highlight w:val="none"/>
          <w:lang w:val="en-US" w:eastAsia="zh-CN"/>
        </w:rPr>
        <w:t>主要为</w:t>
      </w:r>
      <w:r>
        <w:rPr>
          <w:rFonts w:hint="eastAsia"/>
          <w:color w:val="auto"/>
          <w:highlight w:val="none"/>
          <w:lang w:eastAsia="zh-CN"/>
        </w:rPr>
        <w:t>博尔塔拉河河谷、</w:t>
      </w:r>
      <w:r>
        <w:rPr>
          <w:rFonts w:hint="eastAsia"/>
          <w:color w:val="auto"/>
          <w:highlight w:val="none"/>
          <w:lang w:val="en-US" w:eastAsia="zh-CN"/>
        </w:rPr>
        <w:t>精河河谷</w:t>
      </w:r>
      <w:r>
        <w:rPr>
          <w:rFonts w:hint="eastAsia"/>
          <w:color w:val="auto"/>
          <w:highlight w:val="none"/>
          <w:lang w:eastAsia="zh-CN"/>
        </w:rPr>
        <w:t>，是连接艾比湖湿地的重要迁徙廊道，雁鸭类、鸻鹬类及追随其的猛禽多沿此通道迁徙，构成潜在冲突点。微观停歇点</w:t>
      </w:r>
      <w:r>
        <w:rPr>
          <w:rFonts w:hint="eastAsia"/>
          <w:color w:val="auto"/>
          <w:highlight w:val="none"/>
          <w:lang w:val="en-US" w:eastAsia="zh-CN"/>
        </w:rPr>
        <w:t>主要为</w:t>
      </w:r>
      <w:r>
        <w:rPr>
          <w:rFonts w:hint="eastAsia"/>
          <w:color w:val="auto"/>
          <w:highlight w:val="none"/>
          <w:lang w:eastAsia="zh-CN"/>
        </w:rPr>
        <w:t>机场周边的农田，在春秋季为迁徙候鸟（如灰雁、紫翅椋鸟、家燕）提供重要的觅食补给地</w:t>
      </w:r>
      <w:r>
        <w:rPr>
          <w:rFonts w:hint="eastAsia" w:eastAsia="宋体"/>
          <w:color w:val="auto"/>
          <w:highlight w:val="none"/>
          <w:lang w:eastAsia="zh-CN"/>
        </w:rPr>
        <w:t>。</w:t>
      </w:r>
    </w:p>
    <w:p w14:paraId="4DF122DC">
      <w:pPr>
        <w:keepNext/>
        <w:keepLines/>
        <w:pageBreakBefore w:val="0"/>
        <w:widowControl w:val="0"/>
        <w:numPr>
          <w:ilvl w:val="2"/>
          <w:numId w:val="10"/>
        </w:numPr>
        <w:kinsoku/>
        <w:overflowPunct/>
        <w:bidi w:val="0"/>
        <w:spacing w:line="360" w:lineRule="auto"/>
        <w:ind w:left="709" w:hanging="709"/>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鸟类迁徙通道</w:t>
      </w:r>
    </w:p>
    <w:p w14:paraId="634699AF">
      <w:pPr>
        <w:ind w:firstLine="480" w:firstLineChars="200"/>
        <w:rPr>
          <w:rFonts w:hint="eastAsia" w:eastAsia="宋体"/>
          <w:color w:val="auto"/>
          <w:highlight w:val="none"/>
          <w:lang w:eastAsia="zh-CN"/>
        </w:rPr>
      </w:pPr>
      <w:r>
        <w:rPr>
          <w:rFonts w:hint="eastAsia" w:ascii="Times New Roman" w:eastAsia="宋体"/>
          <w:color w:val="auto"/>
          <w:highlight w:val="none"/>
          <w:lang w:val="en-US" w:eastAsia="zh-CN"/>
        </w:rPr>
        <w:t>从我国</w:t>
      </w:r>
      <w:r>
        <w:rPr>
          <w:rFonts w:hint="eastAsia"/>
          <w:color w:val="auto"/>
          <w:highlight w:val="none"/>
          <w:lang w:val="en-US" w:eastAsia="zh-CN"/>
        </w:rPr>
        <w:t>动物地理区划上看，拟建项目区及周边属于古北界蒙新区和哈萨克区交界处。在鸟类迁徙的问题上，国际上常因研究和管理等不同需要，使用不同的划分等级术语。湿地国际将全球划分为八大迁徙通道，本区域处于中亚通道上。对我国南北季节性迁徙的候鸟而言，其迁徙途径主要分为西部、中部和东部3个候鸟迁徙区。新疆地处候鸟迁徙的西部迁徙区，距拟建项目区北部约18km处的艾比湖湿地鸟类重要停歇地是西部迁徙区的重要候鸟迁徙停歇地</w:t>
      </w:r>
      <w:r>
        <w:rPr>
          <w:rFonts w:hint="eastAsia"/>
          <w:color w:val="auto"/>
          <w:highlight w:val="none"/>
          <w:lang w:eastAsia="zh-CN"/>
        </w:rPr>
        <w:t>。</w:t>
      </w:r>
    </w:p>
    <w:p w14:paraId="7B812BCB">
      <w:pPr>
        <w:ind w:firstLine="480" w:firstLineChars="200"/>
        <w:rPr>
          <w:rFonts w:hint="eastAsia"/>
          <w:color w:val="auto"/>
          <w:highlight w:val="none"/>
          <w:lang w:val="en-US" w:eastAsia="zh-CN"/>
        </w:rPr>
      </w:pPr>
      <w:r>
        <w:rPr>
          <w:rFonts w:hint="eastAsia"/>
          <w:color w:val="auto"/>
          <w:highlight w:val="none"/>
          <w:lang w:val="en-US" w:eastAsia="zh-CN"/>
        </w:rPr>
        <w:t>根据资料，新疆天山北部地区受高山和沙漠阻隔，鸟类迁徙的方向不都是“南来北往”，多与风向及山脉走向一致，沿着天山山脉北部湖群或河流，如伊犁河、额尔齐斯河、乌伦古河等呈东西方向迁徙。鸟类环志结果显示，至少有3条国际迁徙路线（通道）经过新疆境内：一是西亚—中东—东非路线；二是西伯利亚-中亚-南亚路线；三是北极苔原—亚洲—澳洲路线。在新疆北部地区，鸟类迁徙受到古尔班通古特沙漠和天山山脉的阻断，一部分绕过天山向西或向东迁飞，另外一部分顺着乌鲁木齐河谷或乌鲁木齐河峡口往达坂城山口越过天山迁飞。由于局部地区如额尔齐斯河流域、伊犁河流域、塔里木河流域等存在沙漠和高山阻隔，秋季迁徙鸟流的方向多为由东向西。实际上，上述3条迁徙路线都存在，而新疆正好处在3条线路的交汇区域。</w:t>
      </w:r>
    </w:p>
    <w:p w14:paraId="30EB4355">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候鸟的迁徙通道空间分布范围</w:t>
      </w:r>
    </w:p>
    <w:p w14:paraId="3BC7D28F">
      <w:pPr>
        <w:ind w:firstLine="480" w:firstLineChars="200"/>
        <w:rPr>
          <w:rFonts w:hint="eastAsia"/>
          <w:color w:val="auto"/>
          <w:highlight w:val="none"/>
        </w:rPr>
      </w:pPr>
      <w:r>
        <w:rPr>
          <w:rFonts w:hint="eastAsia"/>
          <w:color w:val="auto"/>
          <w:highlight w:val="none"/>
        </w:rPr>
        <w:t>拟建项目区及周边多为农田区域且以集约化种植棉花为主，基本没有适于候鸟临时停歇补充食物的重要环境。拟建项目区及周边的鸟类分布与四季变化以及对栖息生境的选择变化较大，拟建机场分布的多数雀形目鸟类多选择农田绿洲交错区的防护林地、开阔的半荒漠和荒漠草原，也有分布在居民区的鸟类物种。</w:t>
      </w:r>
    </w:p>
    <w:p w14:paraId="2D3DCCE1">
      <w:pPr>
        <w:ind w:firstLine="482" w:firstLineChars="200"/>
        <w:rPr>
          <w:rFonts w:hint="eastAsia"/>
          <w:b/>
          <w:bCs/>
          <w:color w:val="auto"/>
          <w:highlight w:val="none"/>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lang w:eastAsia="zh-CN"/>
        </w:rPr>
        <w:t>）</w:t>
      </w:r>
      <w:r>
        <w:rPr>
          <w:rFonts w:hint="eastAsia"/>
          <w:b/>
          <w:bCs/>
          <w:color w:val="auto"/>
          <w:highlight w:val="none"/>
        </w:rPr>
        <w:t>宏观角度</w:t>
      </w:r>
    </w:p>
    <w:p w14:paraId="29566019">
      <w:pPr>
        <w:ind w:firstLine="480" w:firstLineChars="200"/>
        <w:rPr>
          <w:rFonts w:hint="eastAsia" w:eastAsia="宋体"/>
          <w:color w:val="auto"/>
          <w:highlight w:val="none"/>
          <w:lang w:val="en-US" w:eastAsia="zh-CN"/>
        </w:rPr>
      </w:pPr>
      <w:r>
        <w:rPr>
          <w:rFonts w:hint="eastAsia"/>
          <w:color w:val="auto"/>
          <w:highlight w:val="none"/>
        </w:rPr>
        <w:t>距拟建机场北部约</w:t>
      </w:r>
      <w:r>
        <w:rPr>
          <w:rFonts w:hint="eastAsia"/>
          <w:color w:val="auto"/>
          <w:highlight w:val="none"/>
          <w:lang w:val="en-US" w:eastAsia="zh-CN"/>
        </w:rPr>
        <w:t>18</w:t>
      </w:r>
      <w:r>
        <w:rPr>
          <w:rFonts w:hint="eastAsia"/>
          <w:color w:val="auto"/>
          <w:highlight w:val="none"/>
        </w:rPr>
        <w:t>km处的艾比湖湿地鸟类重要停歇地是该区域重要的鸟类栖息和停歇地。由于艾比湖湿地优越的生态环境、充足的食物资源，每年都会吸引着大量迁徙候鸟选择在艾比湖南岸湿地停歇和补充能量。在此集群停歇的候鸟除觅食外也会在该区域上空飞行。此外部分停歇候鸟会沿博尔塔拉河迁徙，而拟建机场起飞方向与博尔塔拉河垂直，这将增加拟建机场飞行器起降与候鸟发生碰撞的概率</w:t>
      </w:r>
      <w:r>
        <w:rPr>
          <w:rFonts w:hint="eastAsia"/>
          <w:color w:val="auto"/>
          <w:highlight w:val="none"/>
          <w:lang w:eastAsia="zh-CN"/>
        </w:rPr>
        <w:t>。</w:t>
      </w:r>
    </w:p>
    <w:p w14:paraId="73C09996">
      <w:pPr>
        <w:ind w:firstLine="480" w:firstLineChars="200"/>
        <w:rPr>
          <w:rFonts w:hint="eastAsia"/>
          <w:color w:val="auto"/>
          <w:highlight w:val="none"/>
          <w:lang w:eastAsia="zh-CN"/>
        </w:rPr>
      </w:pPr>
      <w:r>
        <w:rPr>
          <w:rFonts w:hint="eastAsia"/>
          <w:color w:val="auto"/>
          <w:highlight w:val="none"/>
        </w:rPr>
        <w:t>艾比湖位于新疆北部准噶尔盆地西南缘，湿地面积辽阔，是鸟类迁徙在新疆境内一个重要的中转地。每到秋季来临，自西伯利亚向南迁徙的候鸟飞入天山北坡沿线境内，在艾比湖以及周边湿地停歇。这些候鸟数量大、种类多，会在这里停留持续2个月的时间（每年的8月中下旬至10月中下旬），其中主要为集大群的雁鸭类和鸻鹬类等，还有猛禽和雀形目候鸟等，这些候鸟在这里经过短暂的休息后继续迁徙。据查证资料，该区域每年秋季9～10月鸟类会出现一个数量高峰期，且最多一次迁徙数量统计为103875只</w:t>
      </w:r>
      <w:r>
        <w:rPr>
          <w:rFonts w:hint="eastAsia"/>
          <w:color w:val="auto"/>
          <w:highlight w:val="none"/>
          <w:lang w:eastAsia="zh-CN"/>
        </w:rPr>
        <w:t>。</w:t>
      </w:r>
    </w:p>
    <w:p w14:paraId="69A562AB">
      <w:pPr>
        <w:ind w:firstLine="480" w:firstLineChars="200"/>
        <w:rPr>
          <w:rFonts w:hint="eastAsia"/>
          <w:color w:val="auto"/>
          <w:highlight w:val="none"/>
        </w:rPr>
      </w:pPr>
      <w:r>
        <w:rPr>
          <w:rFonts w:hint="eastAsia"/>
          <w:color w:val="auto"/>
          <w:highlight w:val="none"/>
        </w:rPr>
        <w:t>每种迁徙候鸟的迁徙路线</w:t>
      </w:r>
      <w:r>
        <w:rPr>
          <w:rFonts w:hint="eastAsia"/>
          <w:color w:val="auto"/>
          <w:highlight w:val="none"/>
          <w:lang w:val="en-US" w:eastAsia="zh-CN"/>
        </w:rPr>
        <w:t>有所不同</w:t>
      </w:r>
      <w:r>
        <w:rPr>
          <w:rFonts w:hint="eastAsia"/>
          <w:color w:val="auto"/>
          <w:highlight w:val="none"/>
        </w:rPr>
        <w:t>。其中，雁鸭类和鸻鹬类候鸟主要沿河流、湖泊湿地等迁徙</w:t>
      </w:r>
      <w:r>
        <w:rPr>
          <w:rFonts w:hint="eastAsia"/>
          <w:color w:val="auto"/>
          <w:highlight w:val="none"/>
          <w:lang w:eastAsia="zh-CN"/>
        </w:rPr>
        <w:t>。</w:t>
      </w:r>
      <w:r>
        <w:rPr>
          <w:rFonts w:hint="eastAsia"/>
          <w:color w:val="auto"/>
          <w:highlight w:val="none"/>
        </w:rPr>
        <w:t>鸻鹬类在艾比湖停歇后沿博尔塔拉河等向西迁徙至哈萨克斯坦境内，证实艾比湖停歇的雁鸭类和鸻鹬类候鸟沿博尔塔拉河迁徙的路线。其次，以雁鸭类为食的部分迁徙的猛禽也随着雁鸭类和鸻鹬类等食物沿博尔塔拉河迁徙路线迁徙，而少部分迁徙猛禽（如白尾鹞等）和小型雀形目鸟类（如亚洲短趾百灵等）可能沿艾比湖南部的小型河流迁徙，且种群数量较少。</w:t>
      </w:r>
    </w:p>
    <w:p w14:paraId="360B0252">
      <w:pPr>
        <w:ind w:firstLine="480" w:firstLineChars="200"/>
        <w:rPr>
          <w:rFonts w:hint="eastAsia"/>
          <w:color w:val="auto"/>
          <w:highlight w:val="none"/>
        </w:rPr>
      </w:pPr>
      <w:r>
        <w:rPr>
          <w:rFonts w:hint="eastAsia"/>
          <w:color w:val="auto"/>
          <w:highlight w:val="none"/>
        </w:rPr>
        <w:t>每年春季（3月</w:t>
      </w:r>
      <w:r>
        <w:rPr>
          <w:rFonts w:hint="eastAsia"/>
          <w:color w:val="auto"/>
          <w:highlight w:val="none"/>
          <w:lang w:val="en-US" w:eastAsia="zh-CN"/>
        </w:rPr>
        <w:t>~</w:t>
      </w:r>
      <w:r>
        <w:rPr>
          <w:rFonts w:hint="eastAsia"/>
          <w:color w:val="auto"/>
          <w:highlight w:val="none"/>
        </w:rPr>
        <w:t>5月）大多数候鸟经天山北坡向东沿博尔塔拉河迁入至艾比湖湿地停歇和觅食，在此短暂停歇后继续向北或向东迁徙至繁殖地；还有少量物种翻越天山沿内流河（如精河、阿恰尔河等）向北迁徙至艾比湖湿地停歇和觅食，随后继续向</w:t>
      </w:r>
      <w:r>
        <w:rPr>
          <w:rFonts w:hint="eastAsia"/>
          <w:color w:val="auto"/>
          <w:highlight w:val="none"/>
          <w:lang w:eastAsia="zh-CN"/>
        </w:rPr>
        <w:t>北</w:t>
      </w:r>
      <w:r>
        <w:rPr>
          <w:rFonts w:hint="eastAsia"/>
          <w:color w:val="auto"/>
          <w:highlight w:val="none"/>
        </w:rPr>
        <w:t>迁徙至自身繁殖地。</w:t>
      </w:r>
    </w:p>
    <w:p w14:paraId="74C44199">
      <w:pPr>
        <w:ind w:firstLine="480" w:firstLineChars="200"/>
        <w:rPr>
          <w:rFonts w:hint="eastAsia"/>
          <w:color w:val="auto"/>
          <w:highlight w:val="none"/>
          <w:lang w:eastAsia="zh-CN"/>
        </w:rPr>
      </w:pPr>
      <w:r>
        <w:rPr>
          <w:rFonts w:hint="eastAsia"/>
          <w:color w:val="auto"/>
          <w:highlight w:val="none"/>
        </w:rPr>
        <w:t>相对于拟建机场区域，每年秋季大部分候鸟主要自阿尔泰山至塔城盆地方向南迁，进入艾比湖湿地候鸟重要停歇地停歇和觅食，持续时间长达2个月（每年的8月中下旬至10月中下旬）。大多数停歇和补充能量后的鸟类从天山北坡向西沿博尔塔拉河迁飞出境，迁徙至中东或北非地区越冬；少量物种沿天山北坡内流河（如精河、阿恰尔河等）向南迁徙，通过精河河峡口往达坂城山口或者沿海拔相对较低的精伊牧道越过天山迁飞至伊犁谷地</w:t>
      </w:r>
      <w:r>
        <w:rPr>
          <w:rFonts w:hint="eastAsia"/>
          <w:color w:val="auto"/>
          <w:highlight w:val="none"/>
          <w:lang w:eastAsia="zh-CN"/>
        </w:rPr>
        <w:t>。</w:t>
      </w:r>
    </w:p>
    <w:p w14:paraId="3A686D16">
      <w:pPr>
        <w:ind w:firstLine="482" w:firstLineChars="200"/>
        <w:rPr>
          <w:rFonts w:hint="eastAsia"/>
          <w:b/>
          <w:bCs/>
          <w:color w:val="auto"/>
          <w:highlight w:val="none"/>
          <w:lang w:eastAsia="zh-CN"/>
        </w:rPr>
      </w:pPr>
      <w:r>
        <w:rPr>
          <w:rFonts w:hint="eastAsia"/>
          <w:b/>
          <w:bCs/>
          <w:color w:val="auto"/>
          <w:highlight w:val="none"/>
          <w:lang w:eastAsia="zh-CN"/>
        </w:rPr>
        <w:t>（2）微观角度</w:t>
      </w:r>
    </w:p>
    <w:p w14:paraId="0291E8F7">
      <w:pPr>
        <w:ind w:firstLine="480" w:firstLineChars="200"/>
        <w:rPr>
          <w:rFonts w:hint="eastAsia"/>
          <w:color w:val="auto"/>
          <w:highlight w:val="none"/>
          <w:lang w:eastAsia="zh-CN"/>
        </w:rPr>
      </w:pPr>
      <w:r>
        <w:rPr>
          <w:rFonts w:hint="eastAsia"/>
          <w:color w:val="auto"/>
          <w:highlight w:val="none"/>
          <w:lang w:eastAsia="zh-CN"/>
        </w:rPr>
        <w:t>微观角度看，拟建机场周边大部分为农田，而在每年春秋季迁徙季，部分候鸟都会选择在农田觅食从而补充自身能量。如春季集群迁徙的黑鸢（yuān）特别喜欢在犁后的农田觅食，以及秋季在此繁殖的紫翅椋（liáng）鸟、家燕、普通雨燕在迁徙前都会集大群觅食，特别会选择在收割后农田觅食，特别是玉米等谷物地。而且，在此迁徙路过的雁群（如灰雁、豆雁等）都会在玉米收割后的农田觅食来补充能量。因此，在后期还应持续关注拟建机场8公里范围内的农作物种植类型和农耕活动。</w:t>
      </w:r>
    </w:p>
    <w:p w14:paraId="474B1C20">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候鸟迁飞高度与飞机飞行高度</w:t>
      </w:r>
    </w:p>
    <w:p w14:paraId="70A3C1B7">
      <w:pPr>
        <w:ind w:firstLine="480" w:firstLineChars="200"/>
        <w:rPr>
          <w:rFonts w:hint="default"/>
          <w:color w:val="auto"/>
          <w:highlight w:val="none"/>
          <w:lang w:val="en-US" w:eastAsia="zh-CN"/>
        </w:rPr>
      </w:pPr>
      <w:r>
        <w:rPr>
          <w:rFonts w:hint="eastAsia"/>
          <w:color w:val="auto"/>
          <w:highlight w:val="none"/>
          <w:lang w:eastAsia="zh-CN"/>
        </w:rPr>
        <w:t>根据《中华人民共和国飞行基本规则》，飞行高度层按照以下标准划分：真航线角在0度至179度范围内，高度由900m至8100m，每隔600m为一个高度层；高度由8900m至12500m，每隔600m为一个高度层；高度在12500m以上，每隔1200m为一个高度层。真航线角在180度至359度范围内，高度由600m至8400m，每隔600m为一个高度层；高度由9200m至12200m，每隔600m为一个高度层；高度在13100m以上，每隔1200m为一个高度层。根据《中华人民共和国飞行基本规则》，航空器最低安全高度是除航空器起飞或着陆需要外，任何人不得在低于以下高度上运行航空器。在人口稠密区、集镇或居住区的上空或者任何露天公众集会上空，航空器的高度不得低于在其600m（2000英尺）水平半径范围内的最高障碍物以上300m（1000英尺），在人口稠密区以外地区的上空，航空器不得低于离地高度150m（500英尺）。</w:t>
      </w:r>
    </w:p>
    <w:p w14:paraId="13172266">
      <w:pPr>
        <w:ind w:firstLine="480" w:firstLineChars="200"/>
        <w:rPr>
          <w:rFonts w:hint="eastAsia"/>
          <w:color w:val="auto"/>
          <w:highlight w:val="none"/>
          <w:lang w:eastAsia="zh-CN"/>
        </w:rPr>
      </w:pPr>
      <w:r>
        <w:rPr>
          <w:rFonts w:hint="eastAsia"/>
          <w:color w:val="auto"/>
          <w:highlight w:val="none"/>
          <w:lang w:eastAsia="zh-CN"/>
        </w:rPr>
        <w:t>根据国际民航联合会（HACO）使用雷达网络等先进手段研究候鸟迁徙规律资料调查显示，撞机率最高时为候鸟迁徙的季节，也是飞机飞行与鸟类活动之间矛盾突出的时间。据有关报告，大多数鸟类生活和飞行在相对较低的海拔，但有些物种生活，迁徙，或者偶尔在高海拔地区发现。受大气中的含氧量限制，大多数鸟类的飞行高度在400m~1400m（</w:t>
      </w:r>
      <w:r>
        <w:rPr>
          <w:rFonts w:hint="eastAsia"/>
          <w:color w:val="auto"/>
          <w:highlight w:val="none"/>
          <w:lang w:val="en-US" w:eastAsia="zh-CN"/>
        </w:rPr>
        <w:t>一般低于</w:t>
      </w:r>
      <w:r>
        <w:rPr>
          <w:rFonts w:hint="eastAsia"/>
          <w:color w:val="auto"/>
          <w:highlight w:val="none"/>
          <w:lang w:eastAsia="zh-CN"/>
        </w:rPr>
        <w:t>1000m），小型鸟类不超过400m、无高飞能力的约在300~500m之间或离地面仅为100m~200m，甚至掠地而过。50%的雀形目鸟类夜晚（日落30min~40min后）飞行时在离地面400~700m以上。雷达记录到鸟的最大飞行高度在3000m~6300m之间。</w:t>
      </w:r>
    </w:p>
    <w:p w14:paraId="3D08834D">
      <w:pPr>
        <w:ind w:firstLine="480" w:firstLineChars="200"/>
        <w:rPr>
          <w:rFonts w:hint="eastAsia"/>
          <w:color w:val="auto"/>
          <w:highlight w:val="none"/>
        </w:rPr>
      </w:pPr>
      <w:r>
        <w:rPr>
          <w:rFonts w:hint="eastAsia"/>
          <w:color w:val="auto"/>
          <w:highlight w:val="none"/>
        </w:rPr>
        <w:t>资料表明，候鸟在迁徙停歇地活动和觅食时的飞行高度一般低于500m，飞机在空中正常飞行的高度达数千米，一般猛禽类虽然也能飞到如此高度，但猛禽数量少在高空中</w:t>
      </w:r>
      <w:r>
        <w:rPr>
          <w:rFonts w:hint="eastAsia"/>
          <w:color w:val="auto"/>
          <w:highlight w:val="none"/>
          <w:lang w:eastAsia="zh-CN"/>
        </w:rPr>
        <w:t>出现的概率</w:t>
      </w:r>
      <w:r>
        <w:rPr>
          <w:rFonts w:hint="eastAsia"/>
          <w:color w:val="auto"/>
          <w:highlight w:val="none"/>
        </w:rPr>
        <w:t>并不大。而在低空特别是拟建机场飞机起降时，飞机会与飞行的鸟类存在空间重叠，特别是在春秋迁徙季飞行候鸟种类和数量都较多时，大大增加出现鸟击的风险。拟建机场的本场使用范围以跑道中心南北两端各11.5km、中心线两侧各6km（23km×12km）。部分候鸟在北方高纬度繁殖地与南方低纬度越冬地之间迁徙时途经艾比湖区域，拟建机场临近博尔塔拉河且跑道方向与博尔塔拉河垂直，向北几乎正对艾比湖湿地上空</w:t>
      </w:r>
      <w:r>
        <w:rPr>
          <w:rFonts w:hint="eastAsia"/>
          <w:color w:val="auto"/>
          <w:highlight w:val="none"/>
          <w:lang w:eastAsia="zh-CN"/>
        </w:rPr>
        <w:t>，</w:t>
      </w:r>
      <w:r>
        <w:rPr>
          <w:rFonts w:hint="eastAsia"/>
          <w:color w:val="auto"/>
          <w:highlight w:val="none"/>
          <w:lang w:val="en-US" w:eastAsia="zh-CN"/>
        </w:rPr>
        <w:t>将增加拟建机场飞行器起降与候鸟发生碰撞的概率</w:t>
      </w:r>
      <w:r>
        <w:rPr>
          <w:rFonts w:hint="eastAsia"/>
          <w:color w:val="auto"/>
          <w:highlight w:val="none"/>
        </w:rPr>
        <w:t>。因此，需要针对该区持续开展鸟情监测的同时，加强鸟击排查与防治工作，保障通行飞机的飞行安全</w:t>
      </w:r>
      <w:r>
        <w:rPr>
          <w:rFonts w:hint="eastAsia"/>
          <w:color w:val="auto"/>
          <w:highlight w:val="none"/>
          <w:lang w:eastAsia="zh-CN"/>
        </w:rPr>
        <w:t>。</w:t>
      </w:r>
      <w:r>
        <w:rPr>
          <w:rFonts w:hint="eastAsia"/>
          <w:color w:val="auto"/>
          <w:highlight w:val="none"/>
        </w:rPr>
        <w:t>拟建机场</w:t>
      </w:r>
      <w:r>
        <w:rPr>
          <w:rFonts w:hint="eastAsia"/>
          <w:color w:val="auto"/>
          <w:highlight w:val="none"/>
          <w:lang w:val="en-US" w:eastAsia="zh-CN"/>
        </w:rPr>
        <w:t>与</w:t>
      </w:r>
      <w:r>
        <w:rPr>
          <w:rFonts w:hint="eastAsia"/>
          <w:color w:val="auto"/>
          <w:highlight w:val="none"/>
        </w:rPr>
        <w:t>艾比湖湿地国家级自然保护区相距</w:t>
      </w:r>
      <w:r>
        <w:rPr>
          <w:rFonts w:hint="eastAsia"/>
          <w:color w:val="auto"/>
          <w:highlight w:val="none"/>
          <w:lang w:val="en-US" w:eastAsia="zh-CN"/>
        </w:rPr>
        <w:t>约</w:t>
      </w:r>
      <w:r>
        <w:rPr>
          <w:rFonts w:hint="eastAsia"/>
          <w:color w:val="auto"/>
          <w:highlight w:val="none"/>
        </w:rPr>
        <w:t>23公里</w:t>
      </w:r>
      <w:r>
        <w:rPr>
          <w:rFonts w:hint="eastAsia"/>
          <w:color w:val="auto"/>
          <w:highlight w:val="none"/>
          <w:lang w:eastAsia="zh-CN"/>
        </w:rPr>
        <w:t>，</w:t>
      </w:r>
      <w:r>
        <w:rPr>
          <w:rFonts w:hint="eastAsia"/>
          <w:color w:val="auto"/>
          <w:highlight w:val="none"/>
        </w:rPr>
        <w:t>考虑转场航线高度以及满足与博乐机场进离场程序垂直间隔，与航路满足安全间隔，本场使用范围垂直高度为900m（海平面基准）。低空飞行、群体生活的家燕、普通雨燕、紫翅椋鸟（飞行高度均为30m~300m）等应引起足够的重视，特别是上述候鸟迁徙季在飞机起飞降落过程中。</w:t>
      </w:r>
    </w:p>
    <w:p w14:paraId="33CCAAC5">
      <w:pPr>
        <w:ind w:firstLine="480" w:firstLineChars="200"/>
        <w:rPr>
          <w:rFonts w:hint="eastAsia"/>
          <w:color w:val="auto"/>
          <w:highlight w:val="none"/>
          <w:lang w:eastAsia="zh-CN"/>
        </w:rPr>
      </w:pPr>
      <w:r>
        <w:rPr>
          <w:rFonts w:hint="eastAsia"/>
          <w:color w:val="auto"/>
          <w:highlight w:val="none"/>
        </w:rPr>
        <w:t>根据调查和拟建机场项目区及周边常见鸟类的飞行高度并叠加机场净空规划，拟建机场飞机起降过程中有可能与普通雨燕、家燕、麻雀、家鸽、乌鸦、黑喉和苍头燕雀等，在拟建机场起降范围（特别是高度为300m以下空域）相遇，飞机起降对上述鸟类影响</w:t>
      </w:r>
      <w:r>
        <w:rPr>
          <w:rFonts w:hint="eastAsia"/>
          <w:color w:val="auto"/>
          <w:highlight w:val="none"/>
          <w:lang w:val="en-US" w:eastAsia="zh-CN"/>
        </w:rPr>
        <w:t>较</w:t>
      </w:r>
      <w:r>
        <w:rPr>
          <w:rFonts w:hint="eastAsia"/>
          <w:color w:val="auto"/>
          <w:highlight w:val="none"/>
        </w:rPr>
        <w:t>大，</w:t>
      </w:r>
      <w:r>
        <w:rPr>
          <w:rFonts w:hint="eastAsia"/>
          <w:color w:val="auto"/>
          <w:highlight w:val="none"/>
          <w:lang w:val="en-US" w:eastAsia="zh-CN"/>
        </w:rPr>
        <w:t>有</w:t>
      </w:r>
      <w:r>
        <w:rPr>
          <w:rFonts w:hint="eastAsia"/>
          <w:color w:val="auto"/>
          <w:highlight w:val="none"/>
        </w:rPr>
        <w:t>鸟击</w:t>
      </w:r>
      <w:r>
        <w:rPr>
          <w:rFonts w:hint="eastAsia"/>
          <w:color w:val="auto"/>
          <w:highlight w:val="none"/>
          <w:lang w:val="en-US" w:eastAsia="zh-CN"/>
        </w:rPr>
        <w:t>风险</w:t>
      </w:r>
      <w:r>
        <w:rPr>
          <w:rFonts w:hint="eastAsia"/>
          <w:color w:val="auto"/>
          <w:highlight w:val="none"/>
        </w:rPr>
        <w:t>。同时，艾比湖湿地鸟类重要停歇地位于本项目北部18km处，在</w:t>
      </w:r>
      <w:r>
        <w:rPr>
          <w:rFonts w:hint="eastAsia"/>
          <w:color w:val="auto"/>
          <w:highlight w:val="none"/>
          <w:lang w:val="en-US" w:eastAsia="zh-CN"/>
        </w:rPr>
        <w:t>航空器</w:t>
      </w:r>
      <w:r>
        <w:rPr>
          <w:rFonts w:hint="eastAsia"/>
          <w:color w:val="auto"/>
          <w:highlight w:val="none"/>
        </w:rPr>
        <w:t>起飞降落及低空飞行时，易与区域候鸟发生碰撞，特别是春秋候鸟迁徙两季。因此，需持续开展起降区鸟情监测、做好鸟击防范工作</w:t>
      </w:r>
      <w:r>
        <w:rPr>
          <w:rFonts w:hint="eastAsia"/>
          <w:color w:val="auto"/>
          <w:highlight w:val="none"/>
          <w:lang w:eastAsia="zh-CN"/>
        </w:rPr>
        <w:t>。</w:t>
      </w:r>
    </w:p>
    <w:p w14:paraId="67E88681">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机场建设及运营与外环境的生态环境制约因素之间相容性</w:t>
      </w:r>
      <w:r>
        <w:rPr>
          <w:rFonts w:hint="eastAsia" w:cs="Times New Roman"/>
          <w:b/>
          <w:bCs/>
          <w:color w:val="auto"/>
          <w:kern w:val="2"/>
          <w:sz w:val="24"/>
          <w:szCs w:val="24"/>
          <w:highlight w:val="none"/>
          <w:lang w:val="en-US" w:eastAsia="zh-CN" w:bidi="ar-SA"/>
        </w:rPr>
        <w:t>分析</w:t>
      </w:r>
    </w:p>
    <w:p w14:paraId="5742DBEB">
      <w:pPr>
        <w:ind w:firstLine="480" w:firstLineChars="200"/>
        <w:rPr>
          <w:rFonts w:hint="default"/>
          <w:color w:val="auto"/>
          <w:highlight w:val="none"/>
          <w:lang w:val="en-US" w:eastAsia="zh-CN"/>
        </w:rPr>
      </w:pPr>
      <w:r>
        <w:rPr>
          <w:rFonts w:hint="eastAsia"/>
          <w:color w:val="auto"/>
          <w:highlight w:val="none"/>
          <w:lang w:val="en-US" w:eastAsia="zh-CN"/>
        </w:rPr>
        <w:t>机场的生态环境制约因素在于鸟击风险，此外机场虽不在艾比湖湿地自然保护区内，但其建设运营，特别是起降航线和噪声可能对保护区的生态功能（如鸟类栖息、迁徙）产生间接影响。须通过科学、系统的管理和减缓措施，构建多层次、全过程的鸟击防范与生态保护体系，将潜在矛盾控制在可接受、可管理的水平，实现项目建设与生态环境保护的双赢。实现相容性的对策与建议如下：</w:t>
      </w:r>
    </w:p>
    <w:p w14:paraId="08F5E9D1">
      <w:pPr>
        <w:numPr>
          <w:ilvl w:val="0"/>
          <w:numId w:val="16"/>
        </w:numPr>
        <w:ind w:firstLine="480" w:firstLineChars="200"/>
        <w:rPr>
          <w:rFonts w:hint="eastAsia"/>
          <w:color w:val="auto"/>
          <w:highlight w:val="none"/>
          <w:lang w:eastAsia="zh-CN"/>
        </w:rPr>
      </w:pPr>
      <w:r>
        <w:rPr>
          <w:rFonts w:hint="eastAsia"/>
          <w:color w:val="auto"/>
          <w:highlight w:val="none"/>
          <w:lang w:eastAsia="zh-CN"/>
        </w:rPr>
        <w:t>跑道与航线优化论证：</w:t>
      </w:r>
      <w:r>
        <w:rPr>
          <w:rFonts w:hint="eastAsia"/>
          <w:color w:val="auto"/>
          <w:highlight w:val="none"/>
          <w:lang w:val="en-US" w:eastAsia="zh-CN"/>
        </w:rPr>
        <w:t>在设计阶段</w:t>
      </w:r>
      <w:r>
        <w:rPr>
          <w:rFonts w:hint="eastAsia"/>
          <w:color w:val="auto"/>
          <w:highlight w:val="none"/>
          <w:lang w:eastAsia="zh-CN"/>
        </w:rPr>
        <w:t>对</w:t>
      </w:r>
      <w:r>
        <w:rPr>
          <w:rFonts w:hint="eastAsia"/>
          <w:color w:val="auto"/>
          <w:highlight w:val="none"/>
          <w:lang w:val="en-US" w:eastAsia="zh-CN"/>
        </w:rPr>
        <w:t>航空器</w:t>
      </w:r>
      <w:r>
        <w:rPr>
          <w:rFonts w:hint="eastAsia"/>
          <w:color w:val="auto"/>
          <w:highlight w:val="none"/>
          <w:lang w:eastAsia="zh-CN"/>
        </w:rPr>
        <w:t>起降程序进行</w:t>
      </w:r>
      <w:r>
        <w:rPr>
          <w:rFonts w:hint="eastAsia"/>
          <w:color w:val="auto"/>
          <w:highlight w:val="none"/>
          <w:lang w:val="en-US" w:eastAsia="zh-CN"/>
        </w:rPr>
        <w:t>进一步</w:t>
      </w:r>
      <w:r>
        <w:rPr>
          <w:rFonts w:hint="eastAsia"/>
          <w:color w:val="auto"/>
          <w:highlight w:val="none"/>
          <w:lang w:eastAsia="zh-CN"/>
        </w:rPr>
        <w:t>优化。利用</w:t>
      </w:r>
      <w:r>
        <w:rPr>
          <w:rFonts w:hint="eastAsia"/>
          <w:color w:val="auto"/>
          <w:highlight w:val="none"/>
          <w:lang w:val="en-US" w:eastAsia="zh-CN"/>
        </w:rPr>
        <w:t>现有</w:t>
      </w:r>
      <w:r>
        <w:rPr>
          <w:rFonts w:hint="eastAsia"/>
          <w:color w:val="auto"/>
          <w:highlight w:val="none"/>
          <w:lang w:eastAsia="zh-CN"/>
        </w:rPr>
        <w:t>鸟类迁徙数据，在特定季节（春秋迁徙季）</w:t>
      </w:r>
      <w:r>
        <w:rPr>
          <w:rFonts w:hint="eastAsia"/>
          <w:color w:val="auto"/>
          <w:highlight w:val="none"/>
          <w:lang w:val="en-US" w:eastAsia="zh-CN"/>
        </w:rPr>
        <w:t>根据实际情况相应调整航空器</w:t>
      </w:r>
      <w:r>
        <w:rPr>
          <w:rFonts w:hint="eastAsia"/>
          <w:color w:val="auto"/>
          <w:highlight w:val="none"/>
          <w:lang w:eastAsia="zh-CN"/>
        </w:rPr>
        <w:t>起降航线</w:t>
      </w:r>
      <w:r>
        <w:rPr>
          <w:rFonts w:hint="eastAsia"/>
          <w:color w:val="auto"/>
          <w:highlight w:val="none"/>
          <w:lang w:val="en-US" w:eastAsia="zh-CN"/>
        </w:rPr>
        <w:t>及架次</w:t>
      </w:r>
      <w:r>
        <w:rPr>
          <w:rFonts w:hint="eastAsia"/>
          <w:color w:val="auto"/>
          <w:highlight w:val="none"/>
          <w:lang w:eastAsia="zh-CN"/>
        </w:rPr>
        <w:t>，尽可能避开鸟类集群飞行的高度层和核心路径。</w:t>
      </w:r>
    </w:p>
    <w:p w14:paraId="032B937B">
      <w:pPr>
        <w:numPr>
          <w:ilvl w:val="0"/>
          <w:numId w:val="16"/>
        </w:numPr>
        <w:ind w:firstLine="480" w:firstLineChars="200"/>
        <w:rPr>
          <w:rFonts w:hint="eastAsia"/>
          <w:color w:val="auto"/>
          <w:highlight w:val="none"/>
          <w:lang w:eastAsia="zh-CN"/>
        </w:rPr>
      </w:pPr>
      <w:r>
        <w:rPr>
          <w:rFonts w:hint="eastAsia"/>
          <w:color w:val="auto"/>
          <w:highlight w:val="none"/>
          <w:lang w:eastAsia="zh-CN"/>
        </w:rPr>
        <w:t>机场内部及周边土地规划：严格控制机场周边（特别是跑道两端延长线附近）的土地利用。避免建设吸引鸟类的设施，如垃圾场、污水处理厂、大型水产养殖场等。</w:t>
      </w:r>
    </w:p>
    <w:p w14:paraId="1F85A905">
      <w:pPr>
        <w:numPr>
          <w:ilvl w:val="0"/>
          <w:numId w:val="16"/>
        </w:numPr>
        <w:ind w:firstLine="480" w:firstLineChars="200"/>
        <w:rPr>
          <w:rFonts w:hint="eastAsia"/>
          <w:color w:val="auto"/>
          <w:highlight w:val="none"/>
          <w:lang w:eastAsia="zh-CN"/>
        </w:rPr>
      </w:pPr>
      <w:r>
        <w:rPr>
          <w:rFonts w:hint="eastAsia"/>
          <w:color w:val="auto"/>
          <w:highlight w:val="none"/>
          <w:lang w:eastAsia="zh-CN"/>
        </w:rPr>
        <w:t>生态</w:t>
      </w:r>
      <w:r>
        <w:rPr>
          <w:rFonts w:hint="eastAsia"/>
          <w:color w:val="auto"/>
          <w:highlight w:val="none"/>
          <w:lang w:val="en-US" w:eastAsia="zh-CN"/>
        </w:rPr>
        <w:t>及</w:t>
      </w:r>
      <w:r>
        <w:rPr>
          <w:rFonts w:hint="eastAsia"/>
          <w:color w:val="auto"/>
          <w:highlight w:val="none"/>
          <w:lang w:eastAsia="zh-CN"/>
        </w:rPr>
        <w:t>景观管理：机场内部的绿化不应选用结果实、吸引鸟类的植物，应种植不易吸引鸟类的草种和树种，并定期修剪，减少昆虫（鸟类的食物）滋生。</w:t>
      </w:r>
    </w:p>
    <w:p w14:paraId="4B612908">
      <w:pPr>
        <w:numPr>
          <w:ilvl w:val="0"/>
          <w:numId w:val="16"/>
        </w:numPr>
        <w:ind w:firstLine="480" w:firstLineChars="200"/>
        <w:rPr>
          <w:rFonts w:hint="eastAsia"/>
          <w:color w:val="auto"/>
          <w:highlight w:val="none"/>
          <w:lang w:eastAsia="zh-CN"/>
        </w:rPr>
      </w:pPr>
      <w:r>
        <w:rPr>
          <w:rFonts w:hint="eastAsia"/>
          <w:color w:val="auto"/>
          <w:highlight w:val="none"/>
          <w:lang w:val="en-US" w:eastAsia="zh-CN"/>
        </w:rPr>
        <w:t>运营期定期对</w:t>
      </w:r>
      <w:r>
        <w:rPr>
          <w:rFonts w:hint="eastAsia"/>
          <w:color w:val="auto"/>
          <w:highlight w:val="none"/>
          <w:lang w:eastAsia="zh-CN"/>
        </w:rPr>
        <w:t>鸟情</w:t>
      </w:r>
      <w:r>
        <w:rPr>
          <w:rFonts w:hint="eastAsia"/>
          <w:color w:val="auto"/>
          <w:highlight w:val="none"/>
          <w:lang w:val="en-US" w:eastAsia="zh-CN"/>
        </w:rPr>
        <w:t>进行</w:t>
      </w:r>
      <w:r>
        <w:rPr>
          <w:rFonts w:hint="eastAsia"/>
          <w:color w:val="auto"/>
          <w:highlight w:val="none"/>
          <w:lang w:eastAsia="zh-CN"/>
        </w:rPr>
        <w:t>监测，在机场内外，特别是博尔塔拉河、</w:t>
      </w:r>
      <w:r>
        <w:rPr>
          <w:rFonts w:hint="eastAsia"/>
          <w:color w:val="auto"/>
          <w:highlight w:val="none"/>
          <w:lang w:val="en-US" w:eastAsia="zh-CN"/>
        </w:rPr>
        <w:t>精河</w:t>
      </w:r>
      <w:r>
        <w:rPr>
          <w:rFonts w:hint="eastAsia"/>
          <w:color w:val="auto"/>
          <w:highlight w:val="none"/>
          <w:lang w:eastAsia="zh-CN"/>
        </w:rPr>
        <w:t>沿岸</w:t>
      </w:r>
      <w:r>
        <w:rPr>
          <w:rFonts w:hint="eastAsia"/>
          <w:color w:val="auto"/>
          <w:highlight w:val="none"/>
          <w:lang w:val="en-US" w:eastAsia="zh-CN"/>
        </w:rPr>
        <w:t>以及</w:t>
      </w:r>
      <w:r>
        <w:rPr>
          <w:rFonts w:hint="eastAsia"/>
          <w:color w:val="auto"/>
          <w:highlight w:val="none"/>
          <w:lang w:eastAsia="zh-CN"/>
        </w:rPr>
        <w:t>朝向艾比湖的方向，设立固定和流动观测点；</w:t>
      </w:r>
      <w:r>
        <w:rPr>
          <w:rFonts w:hint="eastAsia"/>
          <w:color w:val="auto"/>
          <w:highlight w:val="none"/>
          <w:lang w:val="en-US" w:eastAsia="zh-CN"/>
        </w:rPr>
        <w:t>可</w:t>
      </w:r>
      <w:r>
        <w:rPr>
          <w:rFonts w:hint="eastAsia"/>
          <w:color w:val="auto"/>
          <w:highlight w:val="none"/>
          <w:lang w:eastAsia="zh-CN"/>
        </w:rPr>
        <w:t>结合望远镜、声学监测等多种手段，对鸟类（特别是</w:t>
      </w:r>
      <w:r>
        <w:rPr>
          <w:rFonts w:hint="eastAsia"/>
          <w:color w:val="auto"/>
          <w:highlight w:val="none"/>
          <w:lang w:val="en-US" w:eastAsia="zh-CN"/>
        </w:rPr>
        <w:t>鸟情报告</w:t>
      </w:r>
      <w:r>
        <w:rPr>
          <w:rFonts w:hint="eastAsia"/>
          <w:color w:val="auto"/>
          <w:highlight w:val="none"/>
          <w:lang w:eastAsia="zh-CN"/>
        </w:rPr>
        <w:t>中提及的重点鸟种）的种类、数量、飞行高度、方向和集群情况进行</w:t>
      </w:r>
      <w:r>
        <w:rPr>
          <w:rFonts w:hint="eastAsia"/>
          <w:color w:val="auto"/>
          <w:highlight w:val="none"/>
          <w:lang w:val="en-US" w:eastAsia="zh-CN"/>
        </w:rPr>
        <w:t>调查、记录。根据调查数据，建立不同等级的鸟情预警（如绿、黄、橙、红）。当监测到大规模鸟群活动时，及时向塔台发布预警。</w:t>
      </w:r>
    </w:p>
    <w:p w14:paraId="4D5C49C3">
      <w:pPr>
        <w:numPr>
          <w:ilvl w:val="0"/>
          <w:numId w:val="16"/>
        </w:numPr>
        <w:ind w:firstLine="480" w:firstLineChars="200"/>
        <w:rPr>
          <w:rFonts w:hint="eastAsia"/>
          <w:color w:val="auto"/>
          <w:highlight w:val="none"/>
          <w:lang w:eastAsia="zh-CN"/>
        </w:rPr>
      </w:pPr>
      <w:r>
        <w:rPr>
          <w:rFonts w:hint="eastAsia"/>
          <w:color w:val="auto"/>
          <w:highlight w:val="none"/>
          <w:lang w:eastAsia="zh-CN"/>
        </w:rPr>
        <w:t>实施“主动驱鸟与生态调控”措施。配备煤气炮、声波驱鸟器、驱鸟车等综合驱鸟设备，根据鸟情预警等级启动相应措施；生态调控</w:t>
      </w:r>
      <w:r>
        <w:rPr>
          <w:rFonts w:hint="eastAsia"/>
          <w:color w:val="auto"/>
          <w:highlight w:val="none"/>
          <w:lang w:val="en-US" w:eastAsia="zh-CN"/>
        </w:rPr>
        <w:t>方面，</w:t>
      </w:r>
      <w:r>
        <w:rPr>
          <w:rFonts w:hint="eastAsia"/>
          <w:color w:val="auto"/>
          <w:highlight w:val="none"/>
          <w:lang w:eastAsia="zh-CN"/>
        </w:rPr>
        <w:t>通过控制草地高度、使用杀虫剂减少昆虫数量、填平积水洼地等方式，从根本上降低机场区域对鸟类的吸引力。</w:t>
      </w:r>
    </w:p>
    <w:p w14:paraId="3DEA6252">
      <w:pPr>
        <w:numPr>
          <w:ilvl w:val="0"/>
          <w:numId w:val="16"/>
        </w:numPr>
        <w:ind w:firstLine="480" w:firstLineChars="200"/>
        <w:rPr>
          <w:rFonts w:hint="eastAsia"/>
          <w:color w:val="auto"/>
          <w:highlight w:val="none"/>
          <w:lang w:eastAsia="zh-CN"/>
        </w:rPr>
      </w:pPr>
      <w:r>
        <w:rPr>
          <w:rFonts w:hint="eastAsia"/>
          <w:color w:val="auto"/>
          <w:highlight w:val="none"/>
          <w:lang w:eastAsia="zh-CN"/>
        </w:rPr>
        <w:t>强化“飞行调度与应急响应”机制。流量调控：塔台在接到高级别鸟情预警时，可酌情采取调整起降方向、暂停起降、拉大飞行间隔等临时管制措施。应急预案：制定详细的鸟击事故应急预案，并定期演练。</w:t>
      </w:r>
    </w:p>
    <w:p w14:paraId="3B8DB420">
      <w:pPr>
        <w:numPr>
          <w:ilvl w:val="0"/>
          <w:numId w:val="16"/>
        </w:numPr>
        <w:ind w:firstLine="480" w:firstLineChars="200"/>
        <w:rPr>
          <w:rFonts w:hint="eastAsia"/>
          <w:color w:val="auto"/>
          <w:highlight w:val="none"/>
          <w:lang w:eastAsia="zh-CN"/>
        </w:rPr>
      </w:pPr>
      <w:r>
        <w:rPr>
          <w:rFonts w:hint="eastAsia"/>
          <w:color w:val="auto"/>
          <w:highlight w:val="none"/>
          <w:lang w:eastAsia="zh-CN"/>
        </w:rPr>
        <w:t>长期的生态补偿与协同共管（事后补偿与区域协同）。开展长期生态监测与研究：承诺并实施长期的鸟类生态监测计划，不仅服务于机场安全，也为区域生物多样性保护提供数据支持。</w:t>
      </w:r>
      <w:r>
        <w:rPr>
          <w:rFonts w:hint="eastAsia"/>
          <w:color w:val="auto"/>
          <w:highlight w:val="none"/>
          <w:lang w:val="en-US" w:eastAsia="zh-CN"/>
        </w:rPr>
        <w:t>可</w:t>
      </w:r>
      <w:r>
        <w:rPr>
          <w:rFonts w:hint="eastAsia"/>
          <w:color w:val="auto"/>
          <w:highlight w:val="none"/>
          <w:lang w:eastAsia="zh-CN"/>
        </w:rPr>
        <w:t>与科研院校合作，深入研究候鸟迁徙规律，为优化驱鸟策略提供科学依据；区域生态保护协作：主动与艾比湖湿地自然保护区管理部门建立协作机制，共享鸟情数据，共同研究机场运营对保护区候鸟的潜在影响，并探讨联合保护措施，这体现了企业的社会责任，也能有效缓解环保方面的压力；实施生态补偿项目：可以考虑在艾比湖湿地或其他合适地点实施生态补偿项目，如湿地修复、鸟类栖息</w:t>
      </w:r>
      <w:r>
        <w:rPr>
          <w:rFonts w:hint="eastAsia"/>
          <w:color w:val="auto"/>
          <w:highlight w:val="none"/>
          <w:lang w:val="en-US" w:eastAsia="zh-CN"/>
        </w:rPr>
        <w:t>生境</w:t>
      </w:r>
      <w:r>
        <w:rPr>
          <w:rFonts w:hint="eastAsia"/>
          <w:color w:val="auto"/>
          <w:highlight w:val="none"/>
          <w:lang w:eastAsia="zh-CN"/>
        </w:rPr>
        <w:t>营造等。</w:t>
      </w:r>
    </w:p>
    <w:p w14:paraId="0588FAB7">
      <w:pPr>
        <w:numPr>
          <w:ilvl w:val="0"/>
          <w:numId w:val="0"/>
        </w:numPr>
        <w:ind w:firstLine="420" w:firstLineChars="0"/>
        <w:rPr>
          <w:rFonts w:hint="eastAsia"/>
          <w:color w:val="auto"/>
          <w:highlight w:val="none"/>
          <w:lang w:eastAsia="zh-CN"/>
        </w:rPr>
      </w:pPr>
      <w:r>
        <w:rPr>
          <w:rFonts w:hint="eastAsia"/>
          <w:color w:val="auto"/>
          <w:highlight w:val="none"/>
          <w:lang w:eastAsia="zh-CN"/>
        </w:rPr>
        <w:t>通过以上措施，</w:t>
      </w:r>
      <w:r>
        <w:rPr>
          <w:rFonts w:hint="eastAsia"/>
          <w:color w:val="auto"/>
          <w:highlight w:val="none"/>
          <w:lang w:val="en-US" w:eastAsia="zh-CN"/>
        </w:rPr>
        <w:t>建设单位及机场运营单位须</w:t>
      </w:r>
      <w:r>
        <w:rPr>
          <w:rFonts w:hint="eastAsia"/>
          <w:color w:val="auto"/>
          <w:highlight w:val="none"/>
          <w:lang w:eastAsia="zh-CN"/>
        </w:rPr>
        <w:t>深刻认识到生态环境制约的</w:t>
      </w:r>
      <w:r>
        <w:rPr>
          <w:rFonts w:hint="eastAsia"/>
          <w:color w:val="auto"/>
          <w:highlight w:val="none"/>
          <w:lang w:val="en-US" w:eastAsia="zh-CN"/>
        </w:rPr>
        <w:t>因素</w:t>
      </w:r>
      <w:r>
        <w:rPr>
          <w:rFonts w:hint="eastAsia"/>
          <w:color w:val="auto"/>
          <w:highlight w:val="none"/>
          <w:lang w:eastAsia="zh-CN"/>
        </w:rPr>
        <w:t>，并具备科学、可行的</w:t>
      </w:r>
      <w:r>
        <w:rPr>
          <w:rFonts w:hint="eastAsia"/>
          <w:color w:val="auto"/>
          <w:highlight w:val="none"/>
          <w:lang w:val="en-US" w:eastAsia="zh-CN"/>
        </w:rPr>
        <w:t>生态保护措施及驱鸟措施，</w:t>
      </w:r>
      <w:r>
        <w:rPr>
          <w:rFonts w:hint="eastAsia"/>
          <w:color w:val="auto"/>
          <w:highlight w:val="none"/>
          <w:lang w:eastAsia="zh-CN"/>
        </w:rPr>
        <w:t>将风险降至最低，从而增强项目</w:t>
      </w:r>
      <w:r>
        <w:rPr>
          <w:rFonts w:hint="eastAsia"/>
          <w:color w:val="auto"/>
          <w:highlight w:val="none"/>
          <w:lang w:val="en-US" w:eastAsia="zh-CN"/>
        </w:rPr>
        <w:t>建设在生态保护方面的可行性及</w:t>
      </w:r>
      <w:r>
        <w:rPr>
          <w:rFonts w:hint="eastAsia"/>
          <w:color w:val="auto"/>
          <w:highlight w:val="none"/>
          <w:lang w:eastAsia="zh-CN"/>
        </w:rPr>
        <w:t>机场建设运营与外环境生态环境制约因素之间</w:t>
      </w:r>
      <w:r>
        <w:rPr>
          <w:rFonts w:hint="eastAsia"/>
          <w:color w:val="auto"/>
          <w:highlight w:val="none"/>
          <w:lang w:val="en-US" w:eastAsia="zh-CN"/>
        </w:rPr>
        <w:t>的</w:t>
      </w:r>
      <w:r>
        <w:rPr>
          <w:rFonts w:hint="eastAsia"/>
          <w:color w:val="auto"/>
          <w:highlight w:val="none"/>
          <w:lang w:eastAsia="zh-CN"/>
        </w:rPr>
        <w:t>相容性。</w:t>
      </w:r>
    </w:p>
    <w:p w14:paraId="5E25B1DC">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项目区重点公益林调查与评价</w:t>
      </w:r>
    </w:p>
    <w:p w14:paraId="69DAD168">
      <w:pPr>
        <w:ind w:firstLine="480" w:firstLineChars="200"/>
        <w:rPr>
          <w:color w:val="auto"/>
          <w:highlight w:val="none"/>
        </w:rPr>
      </w:pPr>
      <w:r>
        <w:rPr>
          <w:rFonts w:hint="eastAsia"/>
          <w:color w:val="auto"/>
          <w:highlight w:val="none"/>
        </w:rPr>
        <w:t>本项目所在区域行政区划隶属于博尔塔拉蒙古自治州精河县。精河县南接天山北麓，北至艾比湖湿地，属典型大陆性气候，森林资源具有灌木林地比例高、生态公益林为主体、宜林地造林难度小、乔木林地、灌木林地面积大，经济效益较高等特点。</w:t>
      </w:r>
    </w:p>
    <w:p w14:paraId="00201906">
      <w:pPr>
        <w:pageBreakBefore w:val="0"/>
        <w:kinsoku/>
        <w:wordWrap/>
        <w:overflowPunct/>
        <w:bidi w:val="0"/>
        <w:ind w:firstLine="480" w:firstLineChars="200"/>
        <w:rPr>
          <w:rFonts w:hint="eastAsia"/>
          <w:color w:val="auto"/>
          <w:highlight w:val="none"/>
          <w:lang w:eastAsia="zh-CN"/>
        </w:rPr>
      </w:pPr>
      <w:r>
        <w:rPr>
          <w:rFonts w:hint="eastAsia"/>
          <w:color w:val="auto"/>
          <w:highlight w:val="none"/>
        </w:rPr>
        <w:t>根据调查及相关资料，本项目所在区域所分布的公益林主要分布在评价区西北部，地类为灌木林地，优势树种为</w:t>
      </w:r>
      <w:r>
        <w:rPr>
          <w:rFonts w:hint="eastAsia" w:eastAsia="宋体"/>
          <w:color w:val="auto"/>
          <w:highlight w:val="none"/>
          <w:lang w:eastAsia="zh-CN"/>
        </w:rPr>
        <w:t>胡杨、</w:t>
      </w:r>
      <w:r>
        <w:rPr>
          <w:rFonts w:hint="eastAsia"/>
          <w:color w:val="auto"/>
          <w:highlight w:val="none"/>
        </w:rPr>
        <w:t>梭梭，均为地方公益林。</w:t>
      </w:r>
      <w:r>
        <w:rPr>
          <w:color w:val="auto"/>
          <w:highlight w:val="none"/>
        </w:rPr>
        <w:t>本项目拟建机场场址位于</w:t>
      </w:r>
      <w:r>
        <w:rPr>
          <w:rFonts w:hint="eastAsia"/>
          <w:color w:val="auto"/>
          <w:highlight w:val="none"/>
        </w:rPr>
        <w:t>精河县西北部八家户牧业四队东侧</w:t>
      </w:r>
      <w:r>
        <w:rPr>
          <w:color w:val="auto"/>
          <w:highlight w:val="none"/>
        </w:rPr>
        <w:t>。本项目</w:t>
      </w:r>
      <w:r>
        <w:rPr>
          <w:rFonts w:hint="eastAsia"/>
          <w:color w:val="auto"/>
          <w:highlight w:val="none"/>
          <w:lang w:val="en-US" w:eastAsia="zh-CN"/>
        </w:rPr>
        <w:t>不占用</w:t>
      </w:r>
      <w:r>
        <w:rPr>
          <w:color w:val="auto"/>
          <w:highlight w:val="none"/>
        </w:rPr>
        <w:t>重点公益林，距离拟建机场场址最近的重点公益林</w:t>
      </w:r>
      <w:r>
        <w:rPr>
          <w:rFonts w:hint="eastAsia" w:eastAsia="宋体"/>
          <w:color w:val="auto"/>
          <w:highlight w:val="none"/>
          <w:lang w:eastAsia="zh-CN"/>
        </w:rPr>
        <w:t>（</w:t>
      </w:r>
      <w:r>
        <w:rPr>
          <w:rFonts w:hint="eastAsia" w:ascii="Times New Roman" w:eastAsia="宋体"/>
          <w:color w:val="auto"/>
          <w:highlight w:val="none"/>
          <w:lang w:val="en-US" w:eastAsia="zh-CN"/>
        </w:rPr>
        <w:t>为地方公益林</w:t>
      </w:r>
      <w:r>
        <w:rPr>
          <w:rFonts w:hint="eastAsia" w:eastAsia="宋体"/>
          <w:color w:val="auto"/>
          <w:highlight w:val="none"/>
          <w:lang w:eastAsia="zh-CN"/>
        </w:rPr>
        <w:t>）</w:t>
      </w:r>
      <w:r>
        <w:rPr>
          <w:color w:val="auto"/>
          <w:highlight w:val="none"/>
        </w:rPr>
        <w:t>约200m</w:t>
      </w:r>
      <w:r>
        <w:rPr>
          <w:rFonts w:hint="eastAsia"/>
          <w:color w:val="auto"/>
          <w:highlight w:val="none"/>
          <w:lang w:eastAsia="zh-CN"/>
        </w:rPr>
        <w:t>。</w:t>
      </w:r>
    </w:p>
    <w:p w14:paraId="77F10881">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土地沙化现状调查与评价</w:t>
      </w:r>
    </w:p>
    <w:p w14:paraId="045B7FD3">
      <w:pPr>
        <w:pageBreakBefore w:val="0"/>
        <w:kinsoku/>
        <w:wordWrap/>
        <w:overflowPunct/>
        <w:bidi w:val="0"/>
        <w:ind w:firstLine="480" w:firstLineChars="200"/>
        <w:rPr>
          <w:rFonts w:hint="eastAsia"/>
          <w:color w:val="auto"/>
          <w:highlight w:val="none"/>
          <w:lang w:eastAsia="zh-CN"/>
        </w:rPr>
      </w:pPr>
      <w:r>
        <w:rPr>
          <w:rFonts w:hint="eastAsia"/>
          <w:color w:val="auto"/>
          <w:highlight w:val="none"/>
          <w:lang w:eastAsia="zh-CN"/>
        </w:rPr>
        <w:t>根据《新疆第六次沙化监测报告》，沙化监测区内沙化土地面积7468.21万公顷，占新疆国土面积的44.85%，占监测区总面积47.60%；具有明显沙化趋势的土地面积437.96万公顷，占新疆国土面积的2.63%，占监测区总面积2.79%；其他土地面积7782.95万公顷，占新疆国土面积的46.75%，占监测区总面积49.61%。</w:t>
      </w:r>
    </w:p>
    <w:p w14:paraId="1A9AD4CF">
      <w:pPr>
        <w:pageBreakBefore w:val="0"/>
        <w:kinsoku/>
        <w:wordWrap/>
        <w:overflowPunct/>
        <w:bidi w:val="0"/>
        <w:ind w:firstLine="480" w:firstLineChars="200"/>
        <w:rPr>
          <w:rFonts w:hint="eastAsia"/>
          <w:color w:val="auto"/>
          <w:highlight w:val="none"/>
          <w:lang w:eastAsia="zh-CN"/>
        </w:rPr>
      </w:pPr>
      <w:r>
        <w:rPr>
          <w:rFonts w:hint="eastAsia"/>
          <w:color w:val="auto"/>
          <w:highlight w:val="none"/>
          <w:lang w:eastAsia="zh-CN"/>
        </w:rPr>
        <w:t>本</w:t>
      </w:r>
      <w:r>
        <w:rPr>
          <w:rFonts w:hint="eastAsia"/>
          <w:color w:val="auto"/>
          <w:highlight w:val="none"/>
          <w:lang w:val="en-US" w:eastAsia="zh-CN"/>
        </w:rPr>
        <w:t>项目</w:t>
      </w:r>
      <w:r>
        <w:rPr>
          <w:rFonts w:hint="eastAsia"/>
          <w:color w:val="auto"/>
          <w:highlight w:val="none"/>
          <w:lang w:eastAsia="zh-CN"/>
        </w:rPr>
        <w:t>位于</w:t>
      </w:r>
      <w:r>
        <w:rPr>
          <w:rFonts w:hint="eastAsia"/>
          <w:color w:val="auto"/>
          <w:highlight w:val="none"/>
          <w:lang w:val="en-US" w:eastAsia="zh-CN"/>
        </w:rPr>
        <w:t>博罗克努山北坡与艾比湖盆地之间的绿洲地带</w:t>
      </w:r>
      <w:r>
        <w:rPr>
          <w:rFonts w:hint="eastAsia"/>
          <w:color w:val="auto"/>
          <w:highlight w:val="none"/>
          <w:lang w:eastAsia="zh-CN"/>
        </w:rPr>
        <w:t>，根据《新疆第六次沙化土地监测报告》，</w:t>
      </w:r>
      <w:r>
        <w:rPr>
          <w:rFonts w:hint="eastAsia"/>
          <w:color w:val="auto"/>
          <w:highlight w:val="none"/>
          <w:lang w:val="en-US" w:eastAsia="zh-CN"/>
        </w:rPr>
        <w:t>本项目所在区域为“非沙化土地”，本项目“不涉及沙区”</w:t>
      </w:r>
      <w:r>
        <w:rPr>
          <w:rFonts w:hint="eastAsia"/>
          <w:color w:val="auto"/>
          <w:highlight w:val="none"/>
          <w:lang w:eastAsia="zh-CN"/>
        </w:rPr>
        <w:t>，</w:t>
      </w:r>
      <w:r>
        <w:rPr>
          <w:rFonts w:hint="eastAsia"/>
          <w:color w:val="auto"/>
          <w:highlight w:val="none"/>
          <w:lang w:val="en-US" w:eastAsia="zh-CN"/>
        </w:rPr>
        <w:t>详见</w:t>
      </w:r>
      <w:r>
        <w:rPr>
          <w:rFonts w:hint="eastAsia"/>
          <w:color w:val="auto"/>
          <w:highlight w:val="none"/>
          <w:lang w:eastAsia="zh-CN"/>
        </w:rPr>
        <w:t>图4.</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16</w:t>
      </w:r>
      <w:r>
        <w:rPr>
          <w:rFonts w:hint="eastAsia"/>
          <w:color w:val="auto"/>
          <w:highlight w:val="none"/>
          <w:lang w:eastAsia="zh-CN"/>
        </w:rPr>
        <w:t>。</w:t>
      </w:r>
    </w:p>
    <w:p w14:paraId="6B08A012">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评价区现状生态环境问题</w:t>
      </w:r>
    </w:p>
    <w:p w14:paraId="654620DA">
      <w:pPr>
        <w:pageBreakBefore w:val="0"/>
        <w:kinsoku/>
        <w:wordWrap/>
        <w:overflowPunct/>
        <w:bidi w:val="0"/>
        <w:ind w:firstLine="480" w:firstLineChars="200"/>
        <w:rPr>
          <w:color w:val="auto"/>
          <w:highlight w:val="none"/>
        </w:rPr>
      </w:pPr>
      <w:r>
        <w:rPr>
          <w:rFonts w:hint="eastAsia"/>
          <w:color w:val="auto"/>
          <w:highlight w:val="none"/>
        </w:rPr>
        <w:t>评价</w:t>
      </w:r>
      <w:r>
        <w:rPr>
          <w:rFonts w:hint="eastAsia"/>
          <w:color w:val="auto"/>
          <w:highlight w:val="none"/>
          <w:lang w:val="en-US" w:eastAsia="zh-CN"/>
        </w:rPr>
        <w:t>区域</w:t>
      </w:r>
      <w:r>
        <w:rPr>
          <w:rFonts w:hint="eastAsia"/>
          <w:color w:val="auto"/>
          <w:highlight w:val="none"/>
        </w:rPr>
        <w:t>现状</w:t>
      </w:r>
      <w:r>
        <w:rPr>
          <w:rFonts w:hint="eastAsia"/>
          <w:color w:val="auto"/>
          <w:highlight w:val="none"/>
          <w:lang w:val="en-US" w:eastAsia="zh-CN"/>
        </w:rPr>
        <w:t>生态</w:t>
      </w:r>
      <w:r>
        <w:rPr>
          <w:rFonts w:hint="eastAsia"/>
          <w:color w:val="auto"/>
          <w:highlight w:val="none"/>
        </w:rPr>
        <w:t>环境问题</w:t>
      </w:r>
      <w:r>
        <w:rPr>
          <w:rFonts w:hint="eastAsia"/>
          <w:color w:val="auto"/>
          <w:highlight w:val="none"/>
          <w:lang w:val="en-US" w:eastAsia="zh-CN"/>
        </w:rPr>
        <w:t>主要表现在“荒漠植被破坏，土壤盐渍化、风沙危害、农田污染”</w:t>
      </w:r>
      <w:r>
        <w:rPr>
          <w:color w:val="auto"/>
          <w:highlight w:val="none"/>
        </w:rPr>
        <w:t>。</w:t>
      </w:r>
    </w:p>
    <w:p w14:paraId="4DB9411A">
      <w:pPr>
        <w:pageBreakBefore w:val="0"/>
        <w:kinsoku/>
        <w:wordWrap/>
        <w:overflowPunct/>
        <w:bidi w:val="0"/>
        <w:ind w:firstLine="480" w:firstLineChars="200"/>
        <w:rPr>
          <w:rFonts w:hint="eastAsia"/>
          <w:color w:val="auto"/>
          <w:highlight w:val="none"/>
          <w:lang w:val="en-US" w:eastAsia="zh-CN"/>
        </w:rPr>
      </w:pPr>
      <w:r>
        <w:rPr>
          <w:rFonts w:hint="eastAsia"/>
          <w:color w:val="auto"/>
          <w:highlight w:val="none"/>
          <w:lang w:val="en-US" w:eastAsia="zh-CN"/>
        </w:rPr>
        <w:t>（1）荒漠植被破坏</w:t>
      </w:r>
    </w:p>
    <w:p w14:paraId="6A022628">
      <w:pPr>
        <w:pageBreakBefore w:val="0"/>
        <w:kinsoku/>
        <w:wordWrap/>
        <w:overflowPunct/>
        <w:bidi w:val="0"/>
        <w:ind w:firstLine="480" w:firstLineChars="200"/>
        <w:rPr>
          <w:rFonts w:hint="eastAsia"/>
          <w:color w:val="auto"/>
          <w:highlight w:val="none"/>
          <w:lang w:val="en-US" w:eastAsia="zh-CN"/>
        </w:rPr>
      </w:pPr>
      <w:r>
        <w:rPr>
          <w:rFonts w:hint="eastAsia"/>
          <w:color w:val="auto"/>
          <w:highlight w:val="none"/>
          <w:lang w:val="en-US" w:eastAsia="zh-CN"/>
        </w:rPr>
        <w:t>荒漠植被破坏主要是由于区域大量开垦农田所致，根据现场调查及多期遥感影像显示，区域水土条件相对优越，北邻艾比湖湿地、东有精河、西有博尔塔拉河，且地势平坦，农业条件良好，加之交通条件逐年改善，区域垦荒耕地呈逐年增加趋势，导致荒漠植被生境受到挤压。</w:t>
      </w:r>
    </w:p>
    <w:p w14:paraId="7A1F5333">
      <w:pPr>
        <w:pageBreakBefore w:val="0"/>
        <w:kinsoku/>
        <w:wordWrap/>
        <w:overflowPunct/>
        <w:bidi w:val="0"/>
        <w:ind w:firstLine="480" w:firstLineChars="200"/>
        <w:rPr>
          <w:rFonts w:hint="eastAsia"/>
          <w:color w:val="auto"/>
          <w:highlight w:val="none"/>
          <w:lang w:val="en-US" w:eastAsia="zh-CN"/>
        </w:rPr>
      </w:pPr>
      <w:r>
        <w:rPr>
          <w:rFonts w:hint="eastAsia"/>
          <w:color w:val="auto"/>
          <w:highlight w:val="none"/>
          <w:lang w:val="en-US" w:eastAsia="zh-CN"/>
        </w:rPr>
        <w:t>（2）土壤盐渍化</w:t>
      </w:r>
    </w:p>
    <w:p w14:paraId="3861ED6C">
      <w:pPr>
        <w:pageBreakBefore w:val="0"/>
        <w:kinsoku/>
        <w:wordWrap/>
        <w:overflowPunct/>
        <w:bidi w:val="0"/>
        <w:ind w:firstLine="480" w:firstLineChars="200"/>
        <w:rPr>
          <w:rFonts w:hint="eastAsia"/>
          <w:color w:val="auto"/>
          <w:highlight w:val="none"/>
          <w:lang w:val="en-US" w:eastAsia="zh-CN"/>
        </w:rPr>
      </w:pPr>
      <w:r>
        <w:rPr>
          <w:rFonts w:hint="eastAsia"/>
          <w:color w:val="auto"/>
          <w:highlight w:val="none"/>
          <w:lang w:val="en-US" w:eastAsia="zh-CN"/>
        </w:rPr>
        <w:t>土壤盐渍化是由于区域生态背景导致，据调查，区域北部的艾比湖处于地势低点，汇集区域多条河流，加之干旱区背景下的强烈蒸散发作用导致绿洲下游土壤盐分逐渐汇集，致使艾比湖正向咸水湖演变，评价区域位于艾比湖南部，土壤盐渍化问题亦日益突出（郭佳丽，马勇刚，潘恒，等.艾比湖春夏季土壤盐渍化卫星监测对比分析[J/OL].干旱区地理，1-20）。</w:t>
      </w:r>
    </w:p>
    <w:p w14:paraId="609C7E01">
      <w:pPr>
        <w:pageBreakBefore w:val="0"/>
        <w:kinsoku/>
        <w:wordWrap/>
        <w:overflowPunct/>
        <w:bidi w:val="0"/>
        <w:ind w:firstLine="480" w:firstLineChars="200"/>
        <w:rPr>
          <w:rFonts w:hint="eastAsia"/>
          <w:color w:val="auto"/>
          <w:highlight w:val="none"/>
          <w:lang w:val="en-US" w:eastAsia="zh-CN"/>
        </w:rPr>
      </w:pPr>
      <w:r>
        <w:rPr>
          <w:rFonts w:hint="eastAsia"/>
          <w:color w:val="auto"/>
          <w:highlight w:val="none"/>
          <w:lang w:val="en-US" w:eastAsia="zh-CN"/>
        </w:rPr>
        <w:t>（3）风沙危害</w:t>
      </w:r>
    </w:p>
    <w:p w14:paraId="40DA9AC7">
      <w:pPr>
        <w:pageBreakBefore w:val="0"/>
        <w:kinsoku/>
        <w:wordWrap/>
        <w:overflowPunct/>
        <w:bidi w:val="0"/>
        <w:ind w:firstLine="480" w:firstLineChars="200"/>
        <w:rPr>
          <w:rFonts w:hint="eastAsia"/>
          <w:color w:val="auto"/>
          <w:highlight w:val="none"/>
          <w:lang w:val="en-US" w:eastAsia="zh-CN"/>
        </w:rPr>
      </w:pPr>
      <w:r>
        <w:rPr>
          <w:rFonts w:hint="eastAsia"/>
          <w:color w:val="auto"/>
          <w:highlight w:val="none"/>
          <w:lang w:val="en-US" w:eastAsia="zh-CN"/>
        </w:rPr>
        <w:t>艾比湖西北部的阿拉山口为新疆著名的风区，随着湖面萎缩、荒漠植被破坏、垦荒后地面裸露面积的增加，导致区域沙源物质增多，产生风沙危害（朱元璞.艾比湖流域沙漠化时空演变特征与气候要素的关系[D].新疆师范大学,2021）。</w:t>
      </w:r>
    </w:p>
    <w:p w14:paraId="69AD1DE3">
      <w:pPr>
        <w:pageBreakBefore w:val="0"/>
        <w:kinsoku/>
        <w:wordWrap/>
        <w:overflowPunct/>
        <w:bidi w:val="0"/>
        <w:ind w:firstLine="480" w:firstLineChars="200"/>
        <w:rPr>
          <w:rFonts w:hint="eastAsia"/>
          <w:color w:val="auto"/>
          <w:highlight w:val="none"/>
          <w:lang w:val="en-US" w:eastAsia="zh-CN"/>
        </w:rPr>
      </w:pPr>
      <w:r>
        <w:rPr>
          <w:rFonts w:hint="eastAsia"/>
          <w:color w:val="auto"/>
          <w:highlight w:val="none"/>
          <w:lang w:val="en-US" w:eastAsia="zh-CN"/>
        </w:rPr>
        <w:t>（4）农田污染</w:t>
      </w:r>
    </w:p>
    <w:p w14:paraId="3F86FED3">
      <w:pPr>
        <w:pageBreakBefore w:val="0"/>
        <w:kinsoku/>
        <w:wordWrap/>
        <w:overflowPunct/>
        <w:bidi w:val="0"/>
        <w:ind w:firstLine="480" w:firstLineChars="200"/>
        <w:rPr>
          <w:rFonts w:hint="default" w:eastAsia="宋体"/>
          <w:color w:val="auto"/>
          <w:highlight w:val="none"/>
          <w:lang w:val="en-US" w:eastAsia="zh-CN"/>
        </w:rPr>
      </w:pPr>
      <w:r>
        <w:rPr>
          <w:rFonts w:hint="eastAsia"/>
          <w:color w:val="auto"/>
          <w:highlight w:val="none"/>
          <w:lang w:val="en-US" w:eastAsia="zh-CN"/>
        </w:rPr>
        <w:t>据调查，区域无其他大型工业源，农田污染主要来源于农药化肥的不合理使用导致（陈彦君,张怀辉,马祖红,等.我国农田土壤污染现状及治理措施[J].中国资源综合利用,2025,43(02):139-142.）。</w:t>
      </w:r>
    </w:p>
    <w:p w14:paraId="3B48F704">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生态现状小结</w:t>
      </w:r>
    </w:p>
    <w:p w14:paraId="0EF6BCA2">
      <w:pPr>
        <w:pageBreakBefore w:val="0"/>
        <w:kinsoku/>
        <w:wordWrap/>
        <w:overflowPunct/>
        <w:bidi w:val="0"/>
        <w:ind w:firstLine="480" w:firstLineChars="200"/>
        <w:rPr>
          <w:rFonts w:hint="eastAsia" w:eastAsia="宋体"/>
          <w:color w:val="auto"/>
          <w:highlight w:val="none"/>
          <w:lang w:eastAsia="zh-CN"/>
        </w:rPr>
      </w:pPr>
      <w:r>
        <w:rPr>
          <w:rFonts w:hint="eastAsia"/>
          <w:color w:val="auto"/>
          <w:highlight w:val="none"/>
          <w:lang w:eastAsia="zh-CN"/>
        </w:rPr>
        <w:t>项目</w:t>
      </w:r>
      <w:r>
        <w:rPr>
          <w:rFonts w:hint="eastAsia"/>
          <w:color w:val="auto"/>
          <w:highlight w:val="none"/>
          <w:lang w:val="en-US" w:eastAsia="zh-CN"/>
        </w:rPr>
        <w:t>评价范围内</w:t>
      </w:r>
      <w:r>
        <w:rPr>
          <w:rFonts w:hint="eastAsia"/>
          <w:color w:val="auto"/>
          <w:highlight w:val="none"/>
          <w:lang w:eastAsia="zh-CN"/>
        </w:rPr>
        <w:t>无自然保护区、风景名胜区、水源保护区等敏感目标，主要生态敏感目标为</w:t>
      </w:r>
      <w:r>
        <w:rPr>
          <w:rFonts w:hint="eastAsia"/>
          <w:color w:val="auto"/>
          <w:highlight w:val="none"/>
          <w:lang w:val="en-US" w:eastAsia="zh-CN"/>
        </w:rPr>
        <w:t>重要物种、永久基本农田、公益林等；此外，本项目东北距艾比湖湖区约23km、北距艾比湖湿地鸟类重要停歇地约18km、东北距艾比湖湿地国家级自然保护区约10.8km，均作为本评价的关心点</w:t>
      </w:r>
      <w:r>
        <w:rPr>
          <w:rFonts w:hint="eastAsia"/>
          <w:color w:val="auto"/>
          <w:highlight w:val="none"/>
          <w:lang w:eastAsia="zh-CN"/>
        </w:rPr>
        <w:t>。</w:t>
      </w:r>
      <w:r>
        <w:rPr>
          <w:rFonts w:hint="eastAsia"/>
          <w:color w:val="auto"/>
          <w:highlight w:val="none"/>
          <w:lang w:val="en-US" w:eastAsia="zh-CN"/>
        </w:rPr>
        <w:t>评价</w:t>
      </w:r>
      <w:r>
        <w:rPr>
          <w:rFonts w:hint="eastAsia"/>
          <w:color w:val="auto"/>
          <w:highlight w:val="none"/>
          <w:lang w:eastAsia="zh-CN"/>
        </w:rPr>
        <w:t>区域主要以</w:t>
      </w:r>
      <w:r>
        <w:rPr>
          <w:rFonts w:hint="eastAsia"/>
          <w:color w:val="auto"/>
          <w:highlight w:val="none"/>
          <w:lang w:val="en-US" w:eastAsia="zh-CN"/>
        </w:rPr>
        <w:t>农田</w:t>
      </w:r>
      <w:r>
        <w:rPr>
          <w:rFonts w:hint="eastAsia"/>
          <w:color w:val="auto"/>
          <w:highlight w:val="none"/>
          <w:lang w:eastAsia="zh-CN"/>
        </w:rPr>
        <w:t>生态系统为主，根据《新疆生态功能区划》，本项目所在区域属准噶尔盆地温性荒漠与绿洲农业生态区、准噶尔盆地西部荒漠及绿洲农业生态亚区、精河-博尔塔拉谷地绿洲农业生态功能区。</w:t>
      </w:r>
      <w:r>
        <w:rPr>
          <w:rFonts w:hint="eastAsia"/>
          <w:color w:val="auto"/>
          <w:highlight w:val="none"/>
          <w:lang w:val="en-US" w:eastAsia="zh-CN"/>
        </w:rPr>
        <w:t>项目</w:t>
      </w:r>
      <w:r>
        <w:rPr>
          <w:rFonts w:hint="eastAsia"/>
          <w:color w:val="auto"/>
          <w:highlight w:val="none"/>
          <w:lang w:eastAsia="zh-CN"/>
        </w:rPr>
        <w:t>占地范围内的土地利用类型以水浇地为主，均为一般耕地、不占用永久基本农田；此外项目还涉及乔木林地、农村道路、沟渠、其他草地等土地利用类型。</w:t>
      </w:r>
      <w:r>
        <w:rPr>
          <w:color w:val="auto"/>
          <w:highlight w:val="none"/>
        </w:rPr>
        <w:t>所在区域植被区划属于：</w:t>
      </w:r>
      <w:r>
        <w:rPr>
          <w:rFonts w:hint="eastAsia"/>
          <w:color w:val="auto"/>
          <w:highlight w:val="none"/>
          <w:lang w:eastAsia="zh-CN"/>
        </w:rPr>
        <w:t>Ⅻ</w:t>
      </w:r>
      <w:r>
        <w:rPr>
          <w:color w:val="auto"/>
          <w:highlight w:val="none"/>
        </w:rPr>
        <w:t>温带荒漠区域，XII</w:t>
      </w:r>
      <w:r>
        <w:rPr>
          <w:color w:val="auto"/>
          <w:highlight w:val="none"/>
          <w:vertAlign w:val="subscript"/>
        </w:rPr>
        <w:t>A</w:t>
      </w:r>
      <w:r>
        <w:rPr>
          <w:color w:val="auto"/>
          <w:highlight w:val="none"/>
        </w:rPr>
        <w:t>温带干旱半灌木、小乔木荒漠地带，XII</w:t>
      </w:r>
      <w:r>
        <w:rPr>
          <w:color w:val="auto"/>
          <w:highlight w:val="none"/>
          <w:vertAlign w:val="subscript"/>
        </w:rPr>
        <w:t>A2</w:t>
      </w:r>
      <w:r>
        <w:rPr>
          <w:color w:val="auto"/>
          <w:highlight w:val="none"/>
        </w:rPr>
        <w:t xml:space="preserve"> </w:t>
      </w:r>
      <w:r>
        <w:rPr>
          <w:rFonts w:hint="eastAsia"/>
          <w:color w:val="auto"/>
          <w:highlight w:val="none"/>
        </w:rPr>
        <w:t>天山北麓山地寒温性针叶林、草原区</w:t>
      </w:r>
      <w:r>
        <w:rPr>
          <w:rFonts w:hint="eastAsia"/>
          <w:color w:val="auto"/>
          <w:highlight w:val="none"/>
          <w:lang w:eastAsia="zh-CN"/>
        </w:rPr>
        <w:t>；评价区域的植物有13科、33种；</w:t>
      </w:r>
      <w:r>
        <w:rPr>
          <w:rFonts w:hint="eastAsia"/>
          <w:color w:val="auto"/>
          <w:highlight w:val="none"/>
          <w:lang w:val="en-US" w:eastAsia="zh-CN"/>
        </w:rPr>
        <w:t>保护植物为</w:t>
      </w:r>
      <w:r>
        <w:rPr>
          <w:rFonts w:hint="eastAsia"/>
          <w:color w:val="auto"/>
          <w:highlight w:val="none"/>
          <w:lang w:eastAsia="zh-CN"/>
        </w:rPr>
        <w:t>自治区Ⅱ级保护植物琵琶柴（</w:t>
      </w:r>
      <w:r>
        <w:rPr>
          <w:rFonts w:hint="eastAsia"/>
          <w:i/>
          <w:iCs/>
          <w:color w:val="auto"/>
          <w:highlight w:val="none"/>
          <w:lang w:eastAsia="zh-CN"/>
        </w:rPr>
        <w:t>Reaumuria kaschgarica</w:t>
      </w:r>
      <w:r>
        <w:rPr>
          <w:rFonts w:hint="eastAsia"/>
          <w:color w:val="auto"/>
          <w:highlight w:val="none"/>
          <w:lang w:eastAsia="zh-CN"/>
        </w:rPr>
        <w:t>）。项目所在区域属于古北界，中亚亚界，蒙新区，准噶尔盆地亚区，准噶尔盆地省，耐旱荒漠动物群；项目区及周边共分布有鸟类103种，隶属于17目39科。其中，以雀形目鸟类最多，共51种；分布的国家和自治区重点保护野生动物有23种；</w:t>
      </w:r>
      <w:r>
        <w:rPr>
          <w:rFonts w:hint="eastAsia"/>
          <w:color w:val="auto"/>
          <w:highlight w:val="none"/>
          <w:lang w:val="en-US" w:eastAsia="zh-CN"/>
        </w:rPr>
        <w:t>区域属于全球八大迁徙通道中的中亚通道、候鸟迁徙的西部迁徙区，距拟建项目区北部约18km处的艾比湖湿地鸟类重要停歇地是西部迁徙区的重要候鸟迁徙停歇地，项目区及周边的危险鸟种有24种；拟建机场飞机起降过程中有可能与普通雨燕、家燕、麻雀、家鸽、乌鸦、黑喉和苍头燕雀等，在拟建机场起降范围（特别是高度为300m以下空域）相遇，飞机起降对上述鸟类影响最大，发生鸟击事故概率较高，特别是春秋候鸟迁徙两季，需持续开展起降区鸟情监测、做好鸟击防范工作</w:t>
      </w:r>
      <w:r>
        <w:rPr>
          <w:rFonts w:hint="eastAsia"/>
          <w:color w:val="auto"/>
          <w:highlight w:val="none"/>
          <w:lang w:eastAsia="zh-CN"/>
        </w:rPr>
        <w:t>。项目</w:t>
      </w:r>
      <w:r>
        <w:rPr>
          <w:rFonts w:hint="eastAsia"/>
          <w:color w:val="auto"/>
          <w:highlight w:val="none"/>
          <w:lang w:val="en-US" w:eastAsia="zh-CN"/>
        </w:rPr>
        <w:t>不占用</w:t>
      </w:r>
      <w:r>
        <w:rPr>
          <w:rFonts w:hint="eastAsia"/>
          <w:color w:val="auto"/>
          <w:highlight w:val="none"/>
          <w:lang w:eastAsia="zh-CN"/>
        </w:rPr>
        <w:t>重点公益林，距最近的重点公益林（为地方公益林）约200m。</w:t>
      </w:r>
    </w:p>
    <w:p w14:paraId="5638B678">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56" w:name="_Toc13199"/>
      <w:bookmarkStart w:id="257" w:name="_Hlk48604214"/>
      <w:r>
        <w:rPr>
          <w:rFonts w:hint="eastAsia" w:ascii="Times New Roman" w:hAnsi="Times New Roman" w:eastAsia="黑体" w:cs="Times New Roman"/>
          <w:bCs/>
          <w:color w:val="auto"/>
          <w:spacing w:val="0"/>
          <w:w w:val="100"/>
          <w:kern w:val="28"/>
          <w:sz w:val="30"/>
          <w:szCs w:val="30"/>
          <w:highlight w:val="none"/>
          <w:lang w:val="en-US" w:eastAsia="zh-CN" w:bidi="ar-SA"/>
        </w:rPr>
        <w:t>大气环境现状调查与评价</w:t>
      </w:r>
      <w:bookmarkEnd w:id="256"/>
    </w:p>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57"/>
    <w:p w14:paraId="5288C079">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bookmarkStart w:id="258" w:name="_Toc387398678"/>
      <w:bookmarkStart w:id="259" w:name="_Toc387398679"/>
      <w:r>
        <w:rPr>
          <w:rFonts w:hint="eastAsia" w:eastAsia="黑体" w:cs="Times New Roman"/>
          <w:color w:val="auto"/>
          <w:spacing w:val="0"/>
          <w:kern w:val="2"/>
          <w:sz w:val="28"/>
          <w:szCs w:val="28"/>
          <w:highlight w:val="none"/>
          <w:lang w:val="en-US" w:eastAsia="zh-CN" w:bidi="ar-SA"/>
        </w:rPr>
        <w:t>区域大气环境质量达标判定</w:t>
      </w:r>
    </w:p>
    <w:p w14:paraId="0B8F4A2F">
      <w:pPr>
        <w:adjustRightInd w:val="0"/>
        <w:snapToGrid w:val="0"/>
        <w:ind w:firstLine="480" w:firstLineChars="200"/>
        <w:rPr>
          <w:color w:val="auto"/>
          <w:highlight w:val="none"/>
        </w:rPr>
      </w:pPr>
      <w:r>
        <w:rPr>
          <w:rFonts w:hint="eastAsia"/>
          <w:color w:val="auto"/>
          <w:highlight w:val="none"/>
        </w:rPr>
        <w:t>本项目地处博尔塔拉蒙古自治州精河县，根据《环境影响评价技术导则  大气环境》（HJ2.2-2018）对环境质量现状数据的要求，本次评价</w:t>
      </w:r>
      <w:r>
        <w:rPr>
          <w:rFonts w:hint="eastAsia"/>
          <w:color w:val="auto"/>
          <w:highlight w:val="none"/>
          <w:lang w:val="en-US" w:eastAsia="zh-CN"/>
        </w:rPr>
        <w:t>大气达标区判定数据来源为</w:t>
      </w:r>
      <w:r>
        <w:rPr>
          <w:rFonts w:hint="eastAsia"/>
          <w:color w:val="auto"/>
          <w:highlight w:val="none"/>
        </w:rPr>
        <w:t>生态环境部环境工程评估中心公布的2</w:t>
      </w:r>
      <w:r>
        <w:rPr>
          <w:color w:val="auto"/>
          <w:highlight w:val="none"/>
        </w:rPr>
        <w:t>02</w:t>
      </w:r>
      <w:r>
        <w:rPr>
          <w:rFonts w:hint="eastAsia"/>
          <w:color w:val="auto"/>
          <w:highlight w:val="none"/>
          <w:lang w:val="en-US" w:eastAsia="zh-CN"/>
        </w:rPr>
        <w:t>4</w:t>
      </w:r>
      <w:r>
        <w:rPr>
          <w:rFonts w:hint="eastAsia"/>
          <w:color w:val="auto"/>
          <w:highlight w:val="none"/>
        </w:rPr>
        <w:t>年</w:t>
      </w:r>
      <w:r>
        <w:rPr>
          <w:rFonts w:hint="eastAsia"/>
          <w:color w:val="auto"/>
          <w:highlight w:val="none"/>
          <w:lang w:val="en-US" w:eastAsia="zh-CN"/>
        </w:rPr>
        <w:t>项目区最近的</w:t>
      </w:r>
      <w:r>
        <w:rPr>
          <w:rFonts w:hint="eastAsia"/>
          <w:color w:val="auto"/>
          <w:highlight w:val="none"/>
        </w:rPr>
        <w:t>国控点环境空气质量达标区判定数据，达标判定</w:t>
      </w:r>
      <w:r>
        <w:rPr>
          <w:color w:val="auto"/>
          <w:highlight w:val="none"/>
        </w:rPr>
        <w:t>结果详见表4</w:t>
      </w:r>
      <w:r>
        <w:rPr>
          <w:rFonts w:hint="eastAsia"/>
          <w:color w:val="auto"/>
          <w:highlight w:val="none"/>
          <w:lang w:val="en-US" w:eastAsia="zh-CN"/>
        </w:rPr>
        <w:t>.4</w:t>
      </w:r>
      <w:r>
        <w:rPr>
          <w:color w:val="auto"/>
          <w:highlight w:val="none"/>
        </w:rPr>
        <w:t>-1。</w:t>
      </w:r>
    </w:p>
    <w:p w14:paraId="4966F59E">
      <w:pPr>
        <w:adjustRightInd w:val="0"/>
        <w:snapToGrid w:val="0"/>
        <w:ind w:firstLine="480" w:firstLineChars="200"/>
        <w:rPr>
          <w:color w:val="auto"/>
          <w:highlight w:val="none"/>
        </w:rPr>
      </w:pPr>
      <w:r>
        <w:rPr>
          <w:rFonts w:hint="eastAsia"/>
          <w:color w:val="auto"/>
          <w:highlight w:val="none"/>
        </w:rPr>
        <w:t>结果显示</w:t>
      </w:r>
      <w:r>
        <w:rPr>
          <w:color w:val="auto"/>
          <w:highlight w:val="none"/>
        </w:rPr>
        <w:t>，</w:t>
      </w:r>
      <w:r>
        <w:rPr>
          <w:rFonts w:hint="eastAsia"/>
          <w:color w:val="auto"/>
          <w:highlight w:val="none"/>
          <w:lang w:val="en-US" w:eastAsia="zh-CN"/>
        </w:rPr>
        <w:t>项目所在区域</w:t>
      </w:r>
      <w:r>
        <w:rPr>
          <w:rFonts w:hint="eastAsia"/>
          <w:color w:val="auto"/>
          <w:highlight w:val="none"/>
        </w:rPr>
        <w:t>2024年SO</w:t>
      </w:r>
      <w:r>
        <w:rPr>
          <w:rFonts w:hint="eastAsia"/>
          <w:color w:val="auto"/>
          <w:highlight w:val="none"/>
          <w:vertAlign w:val="subscript"/>
        </w:rPr>
        <w:t>2</w:t>
      </w:r>
      <w:r>
        <w:rPr>
          <w:rFonts w:hint="eastAsia"/>
          <w:color w:val="auto"/>
          <w:highlight w:val="none"/>
        </w:rPr>
        <w:t>、NO</w:t>
      </w:r>
      <w:r>
        <w:rPr>
          <w:rFonts w:hint="eastAsia"/>
          <w:color w:val="auto"/>
          <w:highlight w:val="none"/>
          <w:vertAlign w:val="subscript"/>
        </w:rPr>
        <w:t>2</w:t>
      </w:r>
      <w:r>
        <w:rPr>
          <w:rFonts w:hint="eastAsia"/>
          <w:color w:val="auto"/>
          <w:highlight w:val="none"/>
        </w:rPr>
        <w:t>、PM</w:t>
      </w:r>
      <w:r>
        <w:rPr>
          <w:rFonts w:hint="eastAsia"/>
          <w:color w:val="auto"/>
          <w:highlight w:val="none"/>
          <w:vertAlign w:val="subscript"/>
        </w:rPr>
        <w:t>10</w:t>
      </w:r>
      <w:r>
        <w:rPr>
          <w:rFonts w:hint="eastAsia"/>
          <w:color w:val="auto"/>
          <w:highlight w:val="none"/>
        </w:rPr>
        <w:t>、PM</w:t>
      </w:r>
      <w:r>
        <w:rPr>
          <w:rFonts w:hint="eastAsia"/>
          <w:color w:val="auto"/>
          <w:highlight w:val="none"/>
          <w:vertAlign w:val="subscript"/>
        </w:rPr>
        <w:t>2.5</w:t>
      </w:r>
      <w:r>
        <w:rPr>
          <w:rFonts w:hint="eastAsia"/>
          <w:color w:val="auto"/>
          <w:highlight w:val="none"/>
        </w:rPr>
        <w:t>年均浓度分别为8</w:t>
      </w:r>
      <w:r>
        <w:rPr>
          <w:rFonts w:hint="default" w:ascii="Times New Roman" w:hAnsi="Times New Roman" w:cs="Times New Roman"/>
          <w:color w:val="auto"/>
          <w:highlight w:val="none"/>
        </w:rPr>
        <w:t>μg</w:t>
      </w:r>
      <w:r>
        <w:rPr>
          <w:rFonts w:hint="eastAsia"/>
          <w:color w:val="auto"/>
          <w:highlight w:val="none"/>
        </w:rPr>
        <w:t>/</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、15μg/m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、49μg、23μg/m</w:t>
      </w:r>
      <w:r>
        <w:rPr>
          <w:rFonts w:hint="eastAsia"/>
          <w:color w:val="auto"/>
          <w:highlight w:val="none"/>
          <w:vertAlign w:val="superscript"/>
        </w:rPr>
        <w:t>3</w:t>
      </w:r>
      <w:r>
        <w:rPr>
          <w:rFonts w:hint="eastAsia"/>
          <w:color w:val="auto"/>
          <w:highlight w:val="none"/>
        </w:rPr>
        <w:t>；CO</w:t>
      </w:r>
      <w:r>
        <w:rPr>
          <w:rFonts w:hint="eastAsia"/>
          <w:color w:val="auto"/>
          <w:highlight w:val="none"/>
          <w:lang w:val="en-US" w:eastAsia="zh-CN"/>
        </w:rPr>
        <w:t xml:space="preserve"> </w:t>
      </w:r>
      <w:r>
        <w:rPr>
          <w:rFonts w:hint="eastAsia"/>
          <w:color w:val="auto"/>
          <w:highlight w:val="none"/>
        </w:rPr>
        <w:t>24小时平均第95百分位数为1mg/m</w:t>
      </w:r>
      <w:r>
        <w:rPr>
          <w:rFonts w:hint="eastAsia"/>
          <w:color w:val="auto"/>
          <w:highlight w:val="none"/>
          <w:vertAlign w:val="superscript"/>
        </w:rPr>
        <w:t>3</w:t>
      </w:r>
      <w:r>
        <w:rPr>
          <w:rFonts w:hint="eastAsia"/>
          <w:color w:val="auto"/>
          <w:highlight w:val="none"/>
        </w:rPr>
        <w:t>，O</w:t>
      </w:r>
      <w:r>
        <w:rPr>
          <w:rFonts w:hint="eastAsia"/>
          <w:color w:val="auto"/>
          <w:highlight w:val="none"/>
          <w:vertAlign w:val="subscript"/>
        </w:rPr>
        <w:t>3</w:t>
      </w:r>
      <w:r>
        <w:rPr>
          <w:rFonts w:hint="eastAsia"/>
          <w:color w:val="auto"/>
          <w:highlight w:val="none"/>
        </w:rPr>
        <w:t>日最大8小时平均第90百分位数为124</w:t>
      </w:r>
      <w:r>
        <w:rPr>
          <w:rFonts w:hint="default" w:ascii="Times New Roman" w:hAnsi="Times New Roman" w:cs="Times New Roman"/>
          <w:color w:val="auto"/>
          <w:highlight w:val="none"/>
        </w:rPr>
        <w:t>μg</w:t>
      </w:r>
      <w:r>
        <w:rPr>
          <w:rFonts w:hint="eastAsia"/>
          <w:color w:val="auto"/>
          <w:highlight w:val="none"/>
        </w:rPr>
        <w:t>/m</w:t>
      </w:r>
      <w:r>
        <w:rPr>
          <w:rFonts w:hint="eastAsia"/>
          <w:color w:val="auto"/>
          <w:highlight w:val="none"/>
          <w:vertAlign w:val="superscript"/>
        </w:rPr>
        <w:t>3</w:t>
      </w:r>
      <w:r>
        <w:rPr>
          <w:rFonts w:hint="eastAsia"/>
          <w:color w:val="auto"/>
          <w:highlight w:val="none"/>
        </w:rPr>
        <w:t>；各污染物平均浓度均优于《环境空气质量标准》（GB3095-2012）中二级标准限值</w:t>
      </w:r>
      <w:r>
        <w:rPr>
          <w:color w:val="auto"/>
          <w:highlight w:val="none"/>
        </w:rPr>
        <w:t>，因此</w:t>
      </w:r>
      <w:r>
        <w:rPr>
          <w:rFonts w:hint="eastAsia"/>
          <w:color w:val="auto"/>
          <w:highlight w:val="none"/>
          <w:lang w:val="en-US" w:eastAsia="zh-CN"/>
        </w:rPr>
        <w:t>项目区</w:t>
      </w:r>
      <w:r>
        <w:rPr>
          <w:color w:val="auto"/>
          <w:highlight w:val="none"/>
        </w:rPr>
        <w:t>属于环境空气质量达标区。</w:t>
      </w:r>
    </w:p>
    <w:p w14:paraId="642074B8">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补充监测</w:t>
      </w:r>
    </w:p>
    <w:p w14:paraId="246B9A1C">
      <w:pPr>
        <w:pageBreakBefore w:val="0"/>
        <w:kinsoku/>
        <w:wordWrap/>
        <w:overflowPunct/>
        <w:bidi w:val="0"/>
        <w:ind w:firstLine="480" w:firstLineChars="200"/>
        <w:rPr>
          <w:rFonts w:hint="eastAsia"/>
          <w:color w:val="auto"/>
          <w:highlight w:val="none"/>
          <w:lang w:eastAsia="zh-CN"/>
        </w:rPr>
      </w:pPr>
      <w:r>
        <w:rPr>
          <w:rFonts w:hint="eastAsia"/>
          <w:color w:val="auto"/>
          <w:highlight w:val="none"/>
        </w:rPr>
        <w:t>结果显示，在监测期内SO</w:t>
      </w:r>
      <w:r>
        <w:rPr>
          <w:rFonts w:hint="eastAsia"/>
          <w:color w:val="auto"/>
          <w:highlight w:val="none"/>
          <w:vertAlign w:val="subscript"/>
        </w:rPr>
        <w:t>2</w:t>
      </w:r>
      <w:r>
        <w:rPr>
          <w:rFonts w:hint="eastAsia"/>
          <w:color w:val="auto"/>
          <w:highlight w:val="none"/>
        </w:rPr>
        <w:t>、NO</w:t>
      </w:r>
      <w:r>
        <w:rPr>
          <w:rFonts w:hint="eastAsia"/>
          <w:color w:val="auto"/>
          <w:highlight w:val="none"/>
          <w:vertAlign w:val="subscript"/>
        </w:rPr>
        <w:t>2</w:t>
      </w:r>
      <w:r>
        <w:rPr>
          <w:rFonts w:hint="eastAsia"/>
          <w:color w:val="auto"/>
          <w:highlight w:val="none"/>
        </w:rPr>
        <w:t>、CO和O</w:t>
      </w:r>
      <w:r>
        <w:rPr>
          <w:rFonts w:hint="eastAsia"/>
          <w:color w:val="auto"/>
          <w:highlight w:val="none"/>
          <w:vertAlign w:val="subscript"/>
        </w:rPr>
        <w:t>3</w:t>
      </w:r>
      <w:r>
        <w:rPr>
          <w:rFonts w:hint="eastAsia"/>
          <w:color w:val="auto"/>
          <w:highlight w:val="none"/>
        </w:rPr>
        <w:t>小时平均浓度满足《环境空气质量标准》（GB3095-2012）的二级标准要求；N</w:t>
      </w:r>
      <w:r>
        <w:rPr>
          <w:color w:val="auto"/>
          <w:highlight w:val="none"/>
        </w:rPr>
        <w:t>MHC</w:t>
      </w:r>
      <w:r>
        <w:rPr>
          <w:rFonts w:hint="eastAsia"/>
          <w:color w:val="auto"/>
          <w:highlight w:val="none"/>
        </w:rPr>
        <w:t>小时平均值满足《大气污染物综合排放标准》（GB16297-1996）确</w:t>
      </w:r>
      <w:r>
        <w:rPr>
          <w:rFonts w:hint="eastAsia"/>
          <w:color w:val="auto"/>
          <w:highlight w:val="none"/>
          <w:lang w:eastAsia="zh-CN"/>
        </w:rPr>
        <w:t>定的</w:t>
      </w:r>
      <w:r>
        <w:rPr>
          <w:rFonts w:hint="eastAsia"/>
          <w:color w:val="auto"/>
          <w:highlight w:val="none"/>
        </w:rPr>
        <w:t>一次浓度限值2.0mg/m³要求；H</w:t>
      </w:r>
      <w:r>
        <w:rPr>
          <w:rFonts w:hint="eastAsia"/>
          <w:color w:val="auto"/>
          <w:highlight w:val="none"/>
          <w:vertAlign w:val="subscript"/>
        </w:rPr>
        <w:t>2</w:t>
      </w:r>
      <w:r>
        <w:rPr>
          <w:rFonts w:hint="eastAsia"/>
          <w:color w:val="auto"/>
          <w:highlight w:val="none"/>
        </w:rPr>
        <w:t>S、NH</w:t>
      </w:r>
      <w:r>
        <w:rPr>
          <w:rFonts w:hint="eastAsia"/>
          <w:color w:val="auto"/>
          <w:highlight w:val="none"/>
          <w:vertAlign w:val="subscript"/>
        </w:rPr>
        <w:t>3</w:t>
      </w:r>
      <w:r>
        <w:rPr>
          <w:rFonts w:hint="eastAsia"/>
          <w:color w:val="auto"/>
          <w:highlight w:val="none"/>
        </w:rPr>
        <w:t>小时平均浓度满足《环境影响评价技术导则 大气环境》（HJ2.2-2018）附录D中标准值要求</w:t>
      </w:r>
      <w:r>
        <w:rPr>
          <w:color w:val="auto"/>
          <w:highlight w:val="none"/>
        </w:rPr>
        <w:t>。</w:t>
      </w:r>
    </w:p>
    <w:p w14:paraId="4CC51915">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60" w:name="_Toc17977"/>
      <w:r>
        <w:rPr>
          <w:rFonts w:hint="eastAsia" w:ascii="Times New Roman" w:hAnsi="Times New Roman" w:eastAsia="黑体" w:cs="Times New Roman"/>
          <w:bCs/>
          <w:color w:val="auto"/>
          <w:spacing w:val="0"/>
          <w:w w:val="100"/>
          <w:kern w:val="28"/>
          <w:sz w:val="30"/>
          <w:szCs w:val="30"/>
          <w:highlight w:val="none"/>
          <w:lang w:val="en-US" w:eastAsia="zh-CN" w:bidi="ar-SA"/>
        </w:rPr>
        <w:t>地下水环境现状调查与评价</w:t>
      </w:r>
      <w:bookmarkEnd w:id="260"/>
    </w:p>
    <w:p w14:paraId="0D185362">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地下水环境现状调查</w:t>
      </w:r>
    </w:p>
    <w:p w14:paraId="2357F51A">
      <w:pPr>
        <w:pageBreakBefore w:val="0"/>
        <w:kinsoku/>
        <w:wordWrap/>
        <w:overflowPunct/>
        <w:bidi w:val="0"/>
        <w:ind w:firstLine="480" w:firstLineChars="200"/>
        <w:rPr>
          <w:rFonts w:hint="eastAsia"/>
          <w:color w:val="auto"/>
          <w:highlight w:val="none"/>
          <w:lang w:eastAsia="zh-CN"/>
        </w:rPr>
      </w:pPr>
      <w:bookmarkStart w:id="261" w:name="_Hlk106624425"/>
      <w:r>
        <w:rPr>
          <w:rFonts w:hint="eastAsia"/>
          <w:color w:val="auto"/>
          <w:szCs w:val="22"/>
          <w:highlight w:val="none"/>
        </w:rPr>
        <w:t>评价区</w:t>
      </w:r>
      <w:r>
        <w:rPr>
          <w:color w:val="auto"/>
          <w:szCs w:val="22"/>
          <w:highlight w:val="none"/>
        </w:rPr>
        <w:t>石油类满足《地表水环境质量标准》（GB3838-2002）</w:t>
      </w:r>
      <w:r>
        <w:rPr>
          <w:rFonts w:hint="eastAsia" w:ascii="宋体" w:hAnsi="宋体" w:cs="宋体"/>
          <w:color w:val="auto"/>
          <w:szCs w:val="22"/>
          <w:highlight w:val="none"/>
        </w:rPr>
        <w:t>Ⅲ</w:t>
      </w:r>
      <w:r>
        <w:rPr>
          <w:color w:val="auto"/>
          <w:szCs w:val="22"/>
          <w:highlight w:val="none"/>
        </w:rPr>
        <w:t>类标准，其他项目符合《地下水质量标准》（GB/T14848-2017）中</w:t>
      </w:r>
      <w:r>
        <w:rPr>
          <w:rFonts w:hint="eastAsia" w:ascii="宋体" w:hAnsi="宋体" w:cs="宋体"/>
          <w:color w:val="auto"/>
          <w:szCs w:val="22"/>
          <w:highlight w:val="none"/>
        </w:rPr>
        <w:t>Ⅲ</w:t>
      </w:r>
      <w:r>
        <w:rPr>
          <w:color w:val="auto"/>
          <w:szCs w:val="22"/>
          <w:highlight w:val="none"/>
        </w:rPr>
        <w:t>类标准限值的要求。</w:t>
      </w:r>
      <w:bookmarkEnd w:id="261"/>
      <w:r>
        <w:rPr>
          <w:color w:val="auto"/>
          <w:szCs w:val="22"/>
          <w:highlight w:val="none"/>
        </w:rPr>
        <w:t>水质良好。表</w:t>
      </w:r>
      <w:r>
        <w:rPr>
          <w:rFonts w:hint="eastAsia"/>
          <w:color w:val="auto"/>
          <w:szCs w:val="22"/>
          <w:highlight w:val="none"/>
          <w:lang w:eastAsia="zh-CN"/>
        </w:rPr>
        <w:t>4.5</w:t>
      </w:r>
      <w:r>
        <w:rPr>
          <w:color w:val="auto"/>
          <w:szCs w:val="22"/>
          <w:highlight w:val="none"/>
        </w:rPr>
        <w:t>-</w:t>
      </w:r>
      <w:r>
        <w:rPr>
          <w:rFonts w:hint="eastAsia"/>
          <w:color w:val="auto"/>
          <w:szCs w:val="22"/>
          <w:highlight w:val="none"/>
          <w:lang w:val="en-US" w:eastAsia="zh-CN"/>
        </w:rPr>
        <w:t>3</w:t>
      </w:r>
      <w:r>
        <w:rPr>
          <w:color w:val="auto"/>
          <w:szCs w:val="22"/>
          <w:highlight w:val="none"/>
        </w:rPr>
        <w:t>中可以看出，</w:t>
      </w:r>
      <w:r>
        <w:rPr>
          <w:color w:val="auto"/>
          <w:kern w:val="0"/>
          <w:highlight w:val="none"/>
        </w:rPr>
        <w:t>监测点的地下水化学类均以HCO</w:t>
      </w:r>
      <w:r>
        <w:rPr>
          <w:color w:val="auto"/>
          <w:kern w:val="0"/>
          <w:highlight w:val="none"/>
          <w:vertAlign w:val="subscript"/>
        </w:rPr>
        <w:t>3</w:t>
      </w:r>
      <w:r>
        <w:rPr>
          <w:color w:val="auto"/>
          <w:kern w:val="0"/>
          <w:highlight w:val="none"/>
        </w:rPr>
        <w:t>·SO</w:t>
      </w:r>
      <w:r>
        <w:rPr>
          <w:color w:val="auto"/>
          <w:kern w:val="0"/>
          <w:highlight w:val="none"/>
          <w:vertAlign w:val="subscript"/>
        </w:rPr>
        <w:t>4</w:t>
      </w:r>
      <w:r>
        <w:rPr>
          <w:color w:val="auto"/>
          <w:kern w:val="0"/>
          <w:highlight w:val="none"/>
        </w:rPr>
        <w:t>•Cl-Na·Ca和SO</w:t>
      </w:r>
      <w:r>
        <w:rPr>
          <w:color w:val="auto"/>
          <w:kern w:val="0"/>
          <w:highlight w:val="none"/>
          <w:vertAlign w:val="subscript"/>
        </w:rPr>
        <w:t>4</w:t>
      </w:r>
      <w:r>
        <w:rPr>
          <w:color w:val="auto"/>
          <w:kern w:val="0"/>
          <w:highlight w:val="none"/>
        </w:rPr>
        <w:t>•Cl-Na·Ca、HCO</w:t>
      </w:r>
      <w:r>
        <w:rPr>
          <w:color w:val="auto"/>
          <w:kern w:val="0"/>
          <w:highlight w:val="none"/>
          <w:vertAlign w:val="subscript"/>
        </w:rPr>
        <w:t>3</w:t>
      </w:r>
      <w:r>
        <w:rPr>
          <w:color w:val="auto"/>
          <w:kern w:val="0"/>
          <w:highlight w:val="none"/>
        </w:rPr>
        <w:t>-Na·Ca型淡水为主；地下水矿化度＜1g/L，矿化度较低，水质状况较好；区域水质总阳离子（钠、钾、钙、镁）与阴离子（硫酸盐、氯化物、碳酸盐、重碳酸盐）毫克当量浓度相对误差不大于10%，阴阳离子平衡。</w:t>
      </w:r>
    </w:p>
    <w:p w14:paraId="68C80B33">
      <w:pPr>
        <w:pageBreakBefore w:val="0"/>
        <w:kinsoku/>
        <w:wordWrap/>
        <w:overflowPunct/>
        <w:bidi w:val="0"/>
        <w:ind w:firstLine="480" w:firstLineChars="200"/>
        <w:rPr>
          <w:rFonts w:hint="eastAsia"/>
          <w:color w:val="auto"/>
          <w:highlight w:val="none"/>
          <w:lang w:eastAsia="zh-CN"/>
        </w:rPr>
        <w:sectPr>
          <w:pgSz w:w="11904" w:h="16838"/>
          <w:pgMar w:top="1474" w:right="1474" w:bottom="1474" w:left="1814" w:header="850" w:footer="850" w:gutter="113"/>
          <w:pgNumType w:fmt="decimal"/>
          <w:cols w:space="0" w:num="1"/>
          <w:docGrid w:linePitch="326" w:charSpace="0"/>
        </w:sectPr>
      </w:pPr>
    </w:p>
    <w:p w14:paraId="7807DB4A">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62" w:name="_Toc23376"/>
      <w:r>
        <w:rPr>
          <w:rFonts w:hint="eastAsia" w:ascii="Times New Roman" w:hAnsi="Times New Roman" w:eastAsia="黑体" w:cs="Times New Roman"/>
          <w:bCs/>
          <w:color w:val="auto"/>
          <w:spacing w:val="0"/>
          <w:w w:val="100"/>
          <w:kern w:val="28"/>
          <w:sz w:val="30"/>
          <w:szCs w:val="30"/>
          <w:highlight w:val="none"/>
          <w:lang w:val="en-US" w:eastAsia="zh-CN" w:bidi="ar-SA"/>
        </w:rPr>
        <w:t>固体废物现状调查与评价</w:t>
      </w:r>
      <w:bookmarkEnd w:id="262"/>
    </w:p>
    <w:p w14:paraId="176E2FFB">
      <w:pPr>
        <w:pageBreakBefore w:val="0"/>
        <w:kinsoku/>
        <w:wordWrap/>
        <w:overflowPunct/>
        <w:bidi w:val="0"/>
        <w:ind w:firstLine="480" w:firstLineChars="200"/>
        <w:rPr>
          <w:rFonts w:hint="eastAsia"/>
          <w:color w:val="auto"/>
          <w:highlight w:val="none"/>
          <w:lang w:eastAsia="zh-CN"/>
        </w:rPr>
      </w:pPr>
      <w:r>
        <w:rPr>
          <w:rFonts w:hint="eastAsia" w:cs="Times New Roman"/>
          <w:color w:val="auto"/>
          <w:szCs w:val="21"/>
          <w:highlight w:val="none"/>
          <w:lang w:val="en-US" w:eastAsia="zh-CN"/>
        </w:rPr>
        <w:t>本项目建设性质为新建。本期机场航空垃圾、生活垃圾等依托精河县城镇垃圾场进行处置。精河县城镇垃圾场位于精河县城西南约10公里，G30连霍高速八家户收费站南侧约850m的砂石料场采料坑处，距离本项目约8.2km。垃圾场总占地25.64×10</w:t>
      </w:r>
      <w:r>
        <w:rPr>
          <w:rFonts w:hint="eastAsia" w:cs="Times New Roman"/>
          <w:color w:val="auto"/>
          <w:szCs w:val="21"/>
          <w:highlight w:val="none"/>
          <w:vertAlign w:val="superscript"/>
          <w:lang w:val="en-US" w:eastAsia="zh-CN"/>
        </w:rPr>
        <w:t>4</w:t>
      </w:r>
      <w:r>
        <w:rPr>
          <w:rFonts w:hint="eastAsia" w:cs="Times New Roman"/>
          <w:color w:val="auto"/>
          <w:szCs w:val="21"/>
          <w:highlight w:val="none"/>
          <w:lang w:val="en-US" w:eastAsia="zh-CN"/>
        </w:rPr>
        <w:t>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，有效库容200×10</w:t>
      </w:r>
      <w:r>
        <w:rPr>
          <w:rFonts w:hint="eastAsia" w:cs="Times New Roman"/>
          <w:color w:val="auto"/>
          <w:szCs w:val="21"/>
          <w:highlight w:val="none"/>
          <w:vertAlign w:val="superscript"/>
          <w:lang w:val="en-US" w:eastAsia="zh-CN"/>
        </w:rPr>
        <w:t>4</w:t>
      </w:r>
      <w:r>
        <w:rPr>
          <w:rFonts w:hint="eastAsia" w:cs="Times New Roman"/>
          <w:color w:val="auto"/>
          <w:szCs w:val="21"/>
          <w:highlight w:val="none"/>
          <w:lang w:val="en-US" w:eastAsia="zh-CN"/>
        </w:rPr>
        <w:t>m</w:t>
      </w:r>
      <w:r>
        <w:rPr>
          <w:rFonts w:hint="eastAsia" w:cs="Times New Roman"/>
          <w:color w:val="auto"/>
          <w:szCs w:val="21"/>
          <w:highlight w:val="none"/>
          <w:vertAlign w:val="superscript"/>
          <w:lang w:val="en-US" w:eastAsia="zh-CN"/>
        </w:rPr>
        <w:t>3</w:t>
      </w:r>
      <w:r>
        <w:rPr>
          <w:rFonts w:hint="eastAsia" w:cs="Times New Roman"/>
          <w:color w:val="auto"/>
          <w:szCs w:val="21"/>
          <w:highlight w:val="none"/>
          <w:lang w:val="en-US" w:eastAsia="zh-CN"/>
        </w:rPr>
        <w:t>，目前日处理垃圾200t/d，2030年预计日处理垃圾量290t/d，设计使用年限为15年。项目本期航空垃圾、生活垃圾产生量为6.7374t/a（约合0.018t/d），精河县城镇垃圾场余量充足，可以满足本期固废处理需求。</w:t>
      </w:r>
    </w:p>
    <w:p w14:paraId="1B387853">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63" w:name="_Toc22651"/>
      <w:r>
        <w:rPr>
          <w:rFonts w:hint="eastAsia" w:ascii="Times New Roman" w:hAnsi="Times New Roman" w:eastAsia="黑体" w:cs="Times New Roman"/>
          <w:bCs/>
          <w:color w:val="auto"/>
          <w:spacing w:val="0"/>
          <w:w w:val="100"/>
          <w:kern w:val="28"/>
          <w:sz w:val="30"/>
          <w:szCs w:val="30"/>
          <w:highlight w:val="none"/>
          <w:lang w:val="en-US" w:eastAsia="zh-CN" w:bidi="ar-SA"/>
        </w:rPr>
        <w:t>土壤环境现状调查与评价</w:t>
      </w:r>
      <w:bookmarkEnd w:id="263"/>
    </w:p>
    <w:p w14:paraId="6908ECFB">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土壤类型</w:t>
      </w:r>
    </w:p>
    <w:p w14:paraId="07FF8D7B">
      <w:pPr>
        <w:pStyle w:val="133"/>
        <w:rPr>
          <w:color w:val="auto"/>
          <w:highlight w:val="none"/>
        </w:rPr>
      </w:pPr>
      <w:r>
        <w:rPr>
          <w:color w:val="auto"/>
          <w:highlight w:val="none"/>
        </w:rPr>
        <w:t>根据遥感影像图、土壤类型图、《新疆土壤》及现场踏勘结果，项目区土壤类型为</w:t>
      </w:r>
      <w:r>
        <w:rPr>
          <w:rFonts w:hint="eastAsia"/>
          <w:color w:val="auto"/>
          <w:highlight w:val="none"/>
        </w:rPr>
        <w:t>沼泽土</w:t>
      </w:r>
      <w:r>
        <w:rPr>
          <w:color w:val="auto"/>
          <w:highlight w:val="none"/>
        </w:rPr>
        <w:t>。拟建场址土壤类型见图4</w:t>
      </w:r>
      <w:r>
        <w:rPr>
          <w:rFonts w:hint="eastAsia"/>
          <w:color w:val="auto"/>
          <w:highlight w:val="none"/>
          <w:lang w:val="en-US" w:eastAsia="zh-CN"/>
        </w:rPr>
        <w:t>.7</w:t>
      </w:r>
      <w:r>
        <w:rPr>
          <w:color w:val="auto"/>
          <w:highlight w:val="none"/>
        </w:rPr>
        <w:t>-1。</w:t>
      </w:r>
    </w:p>
    <w:p w14:paraId="6A555D5F">
      <w:pPr>
        <w:pStyle w:val="133"/>
        <w:rPr>
          <w:rFonts w:hint="eastAsia"/>
          <w:color w:val="auto"/>
          <w:highlight w:val="none"/>
        </w:rPr>
      </w:pPr>
      <w:r>
        <w:rPr>
          <w:rFonts w:hint="eastAsia"/>
          <w:color w:val="auto"/>
          <w:highlight w:val="none"/>
        </w:rPr>
        <w:t>沼泽土是在地表长期积水、生长喜湿性植被条件下形成的土壤。土体上部含大量有机质或泥炭，下部为潜育层，中间有的具锈色过渡层，是有机质积累及还原作用强烈的土壤。母质主要为河湖沉积物，质地较黏，温暖季节植被生长繁茂，冬季寒冷，有机质分解程度低，表层为黑色的腐泥层或泥炭，有机质含量高达10%-25%，C/N比14-20；潜育层呈青灰色或蓝色，还原性物质总量为10 cmol/kg，Eh在250 mV以下。土壤多呈微酸性至中性反应</w:t>
      </w:r>
      <w:r>
        <w:rPr>
          <w:rFonts w:hint="eastAsia"/>
          <w:color w:val="auto"/>
          <w:highlight w:val="none"/>
          <w:lang w:eastAsia="zh-CN"/>
        </w:rPr>
        <w:t>，</w:t>
      </w:r>
      <w:r>
        <w:rPr>
          <w:rFonts w:hint="eastAsia"/>
          <w:color w:val="auto"/>
          <w:highlight w:val="none"/>
        </w:rPr>
        <w:t>干旱区为碱性。</w:t>
      </w:r>
    </w:p>
    <w:p w14:paraId="68816C54">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土壤环境质量现状监测与评价</w:t>
      </w:r>
    </w:p>
    <w:p w14:paraId="4F581CB5">
      <w:pPr>
        <w:pStyle w:val="729"/>
        <w:rPr>
          <w:color w:val="auto"/>
          <w:highlight w:val="none"/>
        </w:rPr>
      </w:pPr>
      <w:r>
        <w:rPr>
          <w:color w:val="auto"/>
          <w:highlight w:val="none"/>
        </w:rPr>
        <w:t>根据</w:t>
      </w:r>
      <w:r>
        <w:rPr>
          <w:rFonts w:hint="eastAsia"/>
          <w:color w:val="auto"/>
          <w:highlight w:val="none"/>
        </w:rPr>
        <w:t>项目</w:t>
      </w:r>
      <w:r>
        <w:rPr>
          <w:color w:val="auto"/>
          <w:highlight w:val="none"/>
        </w:rPr>
        <w:t>所在区域土壤类型的特点，以及土地利用方式，分为建设用地和农用地进行评价，其中本项目占地范围内按建设用地评价、占地范围外按农用地评价。本次评价土壤检测委托</w:t>
      </w:r>
      <w:r>
        <w:rPr>
          <w:rFonts w:hint="eastAsia"/>
          <w:color w:val="auto"/>
          <w:highlight w:val="none"/>
        </w:rPr>
        <w:t>克拉玛依钧仪衡环境检测有限公司</w:t>
      </w:r>
      <w:r>
        <w:rPr>
          <w:color w:val="auto"/>
          <w:highlight w:val="none"/>
        </w:rPr>
        <w:t>对土壤环境质量现状进行了监测，</w:t>
      </w:r>
      <w:r>
        <w:rPr>
          <w:rFonts w:hint="eastAsia"/>
          <w:color w:val="auto"/>
          <w:highlight w:val="none"/>
        </w:rPr>
        <w:t>采样日期</w:t>
      </w:r>
      <w:r>
        <w:rPr>
          <w:color w:val="auto"/>
          <w:highlight w:val="none"/>
        </w:rPr>
        <w:t>为2022年</w:t>
      </w:r>
      <w:r>
        <w:rPr>
          <w:rFonts w:hint="eastAsia"/>
          <w:color w:val="auto"/>
          <w:highlight w:val="none"/>
        </w:rPr>
        <w:t>1</w:t>
      </w:r>
      <w:r>
        <w:rPr>
          <w:color w:val="auto"/>
          <w:highlight w:val="none"/>
        </w:rPr>
        <w:t>2月</w:t>
      </w:r>
      <w:r>
        <w:rPr>
          <w:rFonts w:hint="eastAsia"/>
          <w:color w:val="auto"/>
          <w:highlight w:val="none"/>
        </w:rPr>
        <w:t>1</w:t>
      </w:r>
      <w:r>
        <w:rPr>
          <w:color w:val="auto"/>
          <w:highlight w:val="none"/>
        </w:rPr>
        <w:t>2</w:t>
      </w:r>
      <w:r>
        <w:rPr>
          <w:rFonts w:hint="eastAsia"/>
          <w:color w:val="auto"/>
          <w:highlight w:val="none"/>
        </w:rPr>
        <w:t>日</w:t>
      </w:r>
      <w:r>
        <w:rPr>
          <w:color w:val="auto"/>
          <w:highlight w:val="none"/>
        </w:rPr>
        <w:t>。</w:t>
      </w:r>
    </w:p>
    <w:p w14:paraId="005AFF5B">
      <w:pPr>
        <w:pStyle w:val="683"/>
        <w:spacing w:before="0" w:after="0" w:line="360" w:lineRule="auto"/>
        <w:ind w:firstLine="480" w:firstLineChars="200"/>
        <w:jc w:val="both"/>
        <w:rPr>
          <w:b w:val="0"/>
          <w:color w:val="auto"/>
          <w:szCs w:val="24"/>
          <w:highlight w:val="none"/>
        </w:rPr>
      </w:pPr>
      <w:r>
        <w:rPr>
          <w:rFonts w:hint="eastAsia"/>
          <w:b w:val="0"/>
          <w:color w:val="auto"/>
          <w:szCs w:val="24"/>
          <w:highlight w:val="none"/>
        </w:rPr>
        <w:t>结果显示</w:t>
      </w:r>
      <w:r>
        <w:rPr>
          <w:b w:val="0"/>
          <w:color w:val="auto"/>
          <w:szCs w:val="24"/>
          <w:highlight w:val="none"/>
        </w:rPr>
        <w:t>，项目占地范围内土壤的挥发性有机物和半挥发性有机物均未检出；土壤中石油烃含量较低，满足《土壤环境质量 建设用地土壤污染风险管控标准（试行）》（GB36600-2018）第二类用地风险筛选值要求；重金属元素含量相对较低，项目区内土壤满足《土壤环境质量 建设用地土壤污染风险管控标准（试行）》（GB36600-2018）中表1 第二类用地筛选值标准要求。</w:t>
      </w:r>
    </w:p>
    <w:p w14:paraId="7AA08C60">
      <w:pPr>
        <w:pageBreakBefore w:val="0"/>
        <w:kinsoku/>
        <w:wordWrap/>
        <w:overflowPunct/>
        <w:bidi w:val="0"/>
        <w:ind w:firstLine="480" w:firstLineChars="200"/>
        <w:rPr>
          <w:rFonts w:hint="eastAsia"/>
          <w:color w:val="auto"/>
          <w:highlight w:val="none"/>
          <w:lang w:eastAsia="zh-CN"/>
        </w:rPr>
      </w:pPr>
      <w:r>
        <w:rPr>
          <w:rFonts w:hint="eastAsia"/>
          <w:color w:val="auto"/>
          <w:highlight w:val="none"/>
        </w:rPr>
        <w:t>结果显示，项目</w:t>
      </w:r>
      <w:r>
        <w:rPr>
          <w:color w:val="auto"/>
          <w:highlight w:val="none"/>
        </w:rPr>
        <w:t>占地范围外土壤中重金属元素含量相对较低，小于《土壤环境质量 农用地土壤污染风险管控标准（试行）》（GB15618-2018）中“表.1农用地土壤污染风险筛选值（基本项目）”的pH&gt;7.5所列标准；土壤中石油烃含量较低，满足《土壤环境质量 建设用地土壤污染风险管控标准（试行）》（GB36600-2018）第二类用地风险筛选值要求</w:t>
      </w:r>
      <w:r>
        <w:rPr>
          <w:rFonts w:hint="eastAsia"/>
          <w:color w:val="auto"/>
          <w:highlight w:val="none"/>
        </w:rPr>
        <w:t>。</w:t>
      </w:r>
    </w:p>
    <w:p w14:paraId="23C0C285">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64" w:name="_Toc152"/>
      <w:r>
        <w:rPr>
          <w:rFonts w:hint="eastAsia" w:ascii="Times New Roman" w:hAnsi="Times New Roman" w:eastAsia="黑体" w:cs="Times New Roman"/>
          <w:bCs/>
          <w:color w:val="auto"/>
          <w:spacing w:val="0"/>
          <w:w w:val="100"/>
          <w:kern w:val="28"/>
          <w:sz w:val="30"/>
          <w:szCs w:val="30"/>
          <w:highlight w:val="none"/>
          <w:lang w:val="en-US" w:eastAsia="zh-CN" w:bidi="ar-SA"/>
        </w:rPr>
        <w:t>地表水、电磁辐射环境现状调查与评价</w:t>
      </w:r>
      <w:bookmarkEnd w:id="264"/>
    </w:p>
    <w:p w14:paraId="27AC0C87">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地表水环境现状调查与评价</w:t>
      </w:r>
    </w:p>
    <w:p w14:paraId="72A73BF6">
      <w:pPr>
        <w:pageBreakBefore w:val="0"/>
        <w:kinsoku/>
        <w:wordWrap/>
        <w:overflowPunct/>
        <w:bidi w:val="0"/>
        <w:ind w:firstLine="480" w:firstLineChars="200"/>
        <w:rPr>
          <w:rFonts w:hint="eastAsia"/>
          <w:color w:val="auto"/>
          <w:highlight w:val="none"/>
          <w:lang w:val="en-US" w:eastAsia="zh-CN"/>
        </w:rPr>
      </w:pPr>
      <w:r>
        <w:rPr>
          <w:rFonts w:hint="eastAsia"/>
          <w:color w:val="auto"/>
          <w:highlight w:val="none"/>
          <w:lang w:val="en-US" w:eastAsia="zh-CN"/>
        </w:rPr>
        <w:t>根据《环境影响评价技术导则 民用机场建设工程》（HJ87-2023）及《环境影响评价技术导则 地表水环境》（HJ2.3-2018），水污染影响型三级B评价，可不开展区域污染源调查，主要调查依托污水处理设施的日处理能力、处理工艺、设计进水水质、处理后的废水稳定达标排放情况，同时应调查依托污水处理设施执行的排放标准是否涵盖建设项目排放的有毒有害的特征水污染物。</w:t>
      </w:r>
    </w:p>
    <w:p w14:paraId="379B77E9">
      <w:pPr>
        <w:pageBreakBefore w:val="0"/>
        <w:kinsoku/>
        <w:wordWrap/>
        <w:overflowPunct/>
        <w:bidi w:val="0"/>
        <w:ind w:firstLine="480" w:firstLineChars="200"/>
        <w:rPr>
          <w:rFonts w:hint="default"/>
          <w:color w:val="auto"/>
          <w:highlight w:val="none"/>
          <w:lang w:val="en-US" w:eastAsia="zh-CN"/>
        </w:rPr>
      </w:pPr>
      <w:r>
        <w:rPr>
          <w:rFonts w:hint="eastAsia"/>
          <w:color w:val="auto"/>
          <w:highlight w:val="none"/>
          <w:lang w:val="en-US" w:eastAsia="zh-CN"/>
        </w:rPr>
        <w:t>本项目地表水环境影响评价等级为三级B。项目新建一座污水处理站，配套建设一体化MBR污水处理设施，处理能力为5m</w:t>
      </w:r>
      <w:r>
        <w:rPr>
          <w:rFonts w:hint="eastAsia"/>
          <w:color w:val="auto"/>
          <w:highlight w:val="none"/>
          <w:vertAlign w:val="superscript"/>
          <w:lang w:val="en-US" w:eastAsia="zh-CN"/>
        </w:rPr>
        <w:t>3</w:t>
      </w:r>
      <w:r>
        <w:rPr>
          <w:rFonts w:hint="eastAsia"/>
          <w:color w:val="auto"/>
          <w:highlight w:val="none"/>
          <w:lang w:val="en-US" w:eastAsia="zh-CN"/>
        </w:rPr>
        <w:t>/h（约合120m</w:t>
      </w:r>
      <w:r>
        <w:rPr>
          <w:rFonts w:hint="eastAsia"/>
          <w:color w:val="auto"/>
          <w:highlight w:val="none"/>
          <w:vertAlign w:val="superscript"/>
          <w:lang w:val="en-US" w:eastAsia="zh-CN"/>
        </w:rPr>
        <w:t>3</w:t>
      </w:r>
      <w:r>
        <w:rPr>
          <w:rFonts w:hint="eastAsia"/>
          <w:color w:val="auto"/>
          <w:highlight w:val="none"/>
          <w:lang w:val="en-US" w:eastAsia="zh-CN"/>
        </w:rPr>
        <w:t>/d），包括格栅井、调节池、缺氧池、MBR池、设备药剂间等。新建机场本期污水处理需求量约</w:t>
      </w:r>
      <w:r>
        <w:rPr>
          <w:rFonts w:hint="eastAsia" w:cs="Times New Roman"/>
          <w:color w:val="auto"/>
          <w:szCs w:val="21"/>
          <w:highlight w:val="none"/>
          <w:lang w:val="en-US" w:eastAsia="zh-CN"/>
        </w:rPr>
        <w:t>11.484m</w:t>
      </w:r>
      <w:r>
        <w:rPr>
          <w:rFonts w:hint="eastAsia" w:cs="Times New Roman"/>
          <w:color w:val="auto"/>
          <w:szCs w:val="21"/>
          <w:highlight w:val="none"/>
          <w:vertAlign w:val="superscript"/>
          <w:lang w:val="en-US" w:eastAsia="zh-CN"/>
        </w:rPr>
        <w:t>3</w:t>
      </w:r>
      <w:r>
        <w:rPr>
          <w:rFonts w:hint="eastAsia" w:cs="Times New Roman"/>
          <w:color w:val="auto"/>
          <w:szCs w:val="21"/>
          <w:highlight w:val="none"/>
          <w:lang w:val="en-US" w:eastAsia="zh-CN"/>
        </w:rPr>
        <w:t>/d。处理后的出水水质可以达到《城市污水再生利用城市杂用水水质》（GB/T18920-2020）中相应回用水水质标准。此外，本项目均不涉及有毒有害水污染物排放。</w:t>
      </w:r>
    </w:p>
    <w:p w14:paraId="3A423615">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电磁辐射环境现状调查与评价</w:t>
      </w:r>
    </w:p>
    <w:p w14:paraId="3DA79E81">
      <w:pPr>
        <w:pageBreakBefore w:val="0"/>
        <w:kinsoku/>
        <w:wordWrap/>
        <w:overflowPunct/>
        <w:bidi w:val="0"/>
        <w:ind w:firstLine="480" w:firstLineChars="200"/>
        <w:rPr>
          <w:rFonts w:hint="eastAsia"/>
          <w:color w:val="auto"/>
          <w:highlight w:val="none"/>
          <w:lang w:eastAsia="zh-CN"/>
        </w:rPr>
      </w:pPr>
      <w:r>
        <w:rPr>
          <w:rFonts w:hint="eastAsia" w:ascii="Times New Roman" w:eastAsia="宋体"/>
          <w:color w:val="auto"/>
          <w:highlight w:val="none"/>
          <w:lang w:val="en-US" w:eastAsia="zh-CN"/>
        </w:rPr>
        <w:t>拟建精河通用机场本期为非仪表跑道，不设导航设备</w:t>
      </w:r>
      <w:r>
        <w:rPr>
          <w:rFonts w:hint="eastAsia"/>
          <w:color w:val="auto"/>
          <w:highlight w:val="none"/>
          <w:lang w:val="en-US" w:eastAsia="zh-CN"/>
        </w:rPr>
        <w:t>，配套设施</w:t>
      </w:r>
      <w:r>
        <w:rPr>
          <w:rFonts w:hint="eastAsia" w:ascii="Times New Roman" w:eastAsia="宋体"/>
          <w:color w:val="auto"/>
          <w:highlight w:val="none"/>
          <w:lang w:val="en-US" w:eastAsia="zh-CN"/>
        </w:rPr>
        <w:t>发射功率</w:t>
      </w:r>
      <w:r>
        <w:rPr>
          <w:rFonts w:hint="eastAsia"/>
          <w:color w:val="auto"/>
          <w:highlight w:val="none"/>
          <w:lang w:val="en-US" w:eastAsia="zh-CN"/>
        </w:rPr>
        <w:t>均在</w:t>
      </w:r>
      <w:r>
        <w:rPr>
          <w:rFonts w:hint="eastAsia" w:ascii="Times New Roman" w:eastAsia="宋体"/>
          <w:color w:val="auto"/>
          <w:highlight w:val="none"/>
          <w:lang w:val="en-US" w:eastAsia="zh-CN"/>
        </w:rPr>
        <w:t>300W以下</w:t>
      </w:r>
      <w:r>
        <w:rPr>
          <w:rFonts w:hint="eastAsia"/>
          <w:color w:val="auto"/>
          <w:highlight w:val="none"/>
          <w:lang w:val="en-US" w:eastAsia="zh-CN"/>
        </w:rPr>
        <w:t>，属于</w:t>
      </w:r>
      <w:r>
        <w:rPr>
          <w:rFonts w:hint="eastAsia" w:ascii="Times New Roman" w:eastAsia="宋体"/>
          <w:color w:val="auto"/>
          <w:highlight w:val="none"/>
          <w:lang w:val="en-US" w:eastAsia="zh-CN"/>
        </w:rPr>
        <w:t>《辐射环境保护管理导则 电磁辐射环境影响评价方法与标准》（HJ/T10.3-1996）</w:t>
      </w:r>
      <w:r>
        <w:rPr>
          <w:rFonts w:hint="eastAsia"/>
          <w:color w:val="auto"/>
          <w:highlight w:val="none"/>
          <w:lang w:val="en-US" w:eastAsia="zh-CN"/>
        </w:rPr>
        <w:t>中的</w:t>
      </w:r>
      <w:r>
        <w:rPr>
          <w:rFonts w:hint="eastAsia" w:ascii="Times New Roman" w:eastAsia="宋体"/>
          <w:color w:val="auto"/>
          <w:highlight w:val="none"/>
          <w:lang w:val="en-US" w:eastAsia="zh-CN"/>
        </w:rPr>
        <w:t>豁免设备。因此，本项目不设电磁辐射环境影响评价范围。</w:t>
      </w:r>
    </w:p>
    <w:p w14:paraId="591C9097">
      <w:pPr>
        <w:pageBreakBefore w:val="0"/>
        <w:kinsoku/>
        <w:wordWrap/>
        <w:overflowPunct/>
        <w:bidi w:val="0"/>
        <w:ind w:firstLine="480" w:firstLineChars="200"/>
        <w:rPr>
          <w:rFonts w:hint="eastAsia"/>
          <w:color w:val="auto"/>
          <w:highlight w:val="none"/>
          <w:lang w:eastAsia="zh-CN"/>
        </w:rPr>
        <w:sectPr>
          <w:pgSz w:w="11904" w:h="16838"/>
          <w:pgMar w:top="1474" w:right="1474" w:bottom="1474" w:left="1814" w:header="850" w:footer="850" w:gutter="113"/>
          <w:pgNumType w:fmt="decimal"/>
          <w:cols w:space="0" w:num="1"/>
          <w:docGrid w:linePitch="326" w:charSpace="0"/>
        </w:sectPr>
      </w:pPr>
    </w:p>
    <w:bookmarkEnd w:id="258"/>
    <w:bookmarkEnd w:id="259"/>
    <w:p w14:paraId="61A82E3E">
      <w:pPr>
        <w:keepNext/>
        <w:keepLines/>
        <w:pageBreakBefore w:val="0"/>
        <w:widowControl w:val="0"/>
        <w:numPr>
          <w:ilvl w:val="0"/>
          <w:numId w:val="10"/>
        </w:numPr>
        <w:kinsoku/>
        <w:overflowPunct/>
        <w:bidi w:val="0"/>
        <w:spacing w:before="0" w:after="0" w:line="360" w:lineRule="auto"/>
        <w:ind w:left="425" w:leftChars="0" w:hanging="425" w:firstLineChars="0"/>
        <w:jc w:val="both"/>
        <w:outlineLvl w:val="0"/>
        <w:rPr>
          <w:rFonts w:ascii="Times New Roman" w:hAnsi="Times New Roman" w:eastAsia="黑体" w:cs="Times New Roman"/>
          <w:b w:val="0"/>
          <w:bCs w:val="0"/>
          <w:color w:val="auto"/>
          <w:kern w:val="44"/>
          <w:sz w:val="44"/>
          <w:szCs w:val="44"/>
          <w:highlight w:val="none"/>
          <w:lang w:val="en-US" w:eastAsia="zh-CN" w:bidi="ar-SA"/>
        </w:rPr>
      </w:pPr>
      <w:bookmarkStart w:id="265" w:name="_Toc27287"/>
      <w:bookmarkStart w:id="266" w:name="_Toc135735450"/>
      <w:r>
        <w:rPr>
          <w:rFonts w:hint="eastAsia" w:ascii="Times New Roman" w:hAnsi="Times New Roman" w:eastAsia="黑体" w:cs="Times New Roman"/>
          <w:b w:val="0"/>
          <w:bCs w:val="0"/>
          <w:color w:val="auto"/>
          <w:kern w:val="44"/>
          <w:sz w:val="44"/>
          <w:szCs w:val="44"/>
          <w:highlight w:val="none"/>
          <w:lang w:val="en-US" w:eastAsia="zh-CN" w:bidi="ar-SA"/>
        </w:rPr>
        <w:t>环境影响预测与评价</w:t>
      </w:r>
      <w:bookmarkEnd w:id="265"/>
    </w:p>
    <w:bookmarkEnd w:id="266"/>
    <w:p w14:paraId="4E6F7738">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67" w:name="_Toc524"/>
      <w:bookmarkStart w:id="268" w:name="_Toc135735451"/>
      <w:r>
        <w:rPr>
          <w:rFonts w:hint="eastAsia" w:ascii="Times New Roman" w:hAnsi="Times New Roman" w:eastAsia="黑体" w:cs="Times New Roman"/>
          <w:bCs/>
          <w:color w:val="auto"/>
          <w:spacing w:val="0"/>
          <w:w w:val="100"/>
          <w:kern w:val="28"/>
          <w:sz w:val="30"/>
          <w:szCs w:val="30"/>
          <w:highlight w:val="none"/>
          <w:lang w:val="en-US" w:eastAsia="zh-CN" w:bidi="ar-SA"/>
        </w:rPr>
        <w:t>声环境影响预测与评价</w:t>
      </w:r>
      <w:bookmarkEnd w:id="267"/>
    </w:p>
    <w:bookmarkEnd w:id="268"/>
    <w:p w14:paraId="6D7E87C7">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施工期噪声影响分析</w:t>
      </w:r>
    </w:p>
    <w:p w14:paraId="615DDA06">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施工机械设备噪声源强</w:t>
      </w:r>
    </w:p>
    <w:p w14:paraId="552F0C52">
      <w:pPr>
        <w:ind w:firstLine="480" w:firstLineChars="200"/>
        <w:rPr>
          <w:color w:val="auto"/>
          <w:highlight w:val="none"/>
        </w:rPr>
      </w:pPr>
      <w:r>
        <w:rPr>
          <w:color w:val="auto"/>
          <w:highlight w:val="none"/>
        </w:rPr>
        <w:t>根据机场工程性质，场内施工主要涉及的施工机械噪声源强见表5</w:t>
      </w:r>
      <w:r>
        <w:rPr>
          <w:rFonts w:hint="eastAsia" w:eastAsia="宋体"/>
          <w:color w:val="auto"/>
          <w:highlight w:val="none"/>
          <w:lang w:val="en-US" w:eastAsia="zh-CN"/>
        </w:rPr>
        <w:t>.1</w:t>
      </w:r>
      <w:r>
        <w:rPr>
          <w:rFonts w:eastAsia="Times New Roman"/>
          <w:color w:val="auto"/>
          <w:highlight w:val="none"/>
        </w:rPr>
        <w:t>-1</w:t>
      </w:r>
      <w:r>
        <w:rPr>
          <w:color w:val="auto"/>
          <w:highlight w:val="none"/>
        </w:rPr>
        <w:t>。</w:t>
      </w:r>
    </w:p>
    <w:p w14:paraId="7AECABAE">
      <w:pPr>
        <w:ind w:firstLine="480" w:firstLineChars="200"/>
        <w:rPr>
          <w:rFonts w:hint="eastAsia" w:eastAsia="宋体"/>
          <w:color w:val="auto"/>
          <w:szCs w:val="22"/>
          <w:highlight w:val="none"/>
          <w:lang w:eastAsia="zh-CN"/>
        </w:rPr>
      </w:pPr>
      <w:r>
        <w:rPr>
          <w:rFonts w:hint="eastAsia"/>
          <w:color w:val="auto"/>
          <w:szCs w:val="22"/>
          <w:highlight w:val="none"/>
        </w:rPr>
        <w:t>根据表5</w:t>
      </w:r>
      <w:r>
        <w:rPr>
          <w:rFonts w:hint="eastAsia"/>
          <w:color w:val="auto"/>
          <w:szCs w:val="22"/>
          <w:highlight w:val="none"/>
          <w:lang w:val="en-US" w:eastAsia="zh-CN"/>
        </w:rPr>
        <w:t>.</w:t>
      </w:r>
      <w:r>
        <w:rPr>
          <w:rFonts w:hint="eastAsia"/>
          <w:color w:val="auto"/>
          <w:szCs w:val="22"/>
          <w:highlight w:val="none"/>
        </w:rPr>
        <w:t>1-2预测结果，打桩阶段距离桩机70m远处，可达到对应标准限值要求；土石方阶段距离施工机械昼间35m远处，夜间140m远可达对应标准限值要求；结构阶段距离施工机械昼间60m远处，夜间140m远可达对应标准限值要求。施工期间对噪声影响最大的属打桩阶段，100m处的等效声级可达79dB（A），昼间距离打桩点70m处方可满足标准限值要求，夜间禁止施工；而结构阶段昼间达标距离为25～65m，夜间为100～140m；土石方阶段昼间达标距离为6～35m，夜间为80～140m。</w:t>
      </w:r>
    </w:p>
    <w:p w14:paraId="4C87671F">
      <w:pPr>
        <w:ind w:firstLine="480" w:firstLineChars="200"/>
        <w:rPr>
          <w:color w:val="auto"/>
          <w:szCs w:val="22"/>
          <w:highlight w:val="none"/>
        </w:rPr>
      </w:pPr>
      <w:r>
        <w:rPr>
          <w:rFonts w:hint="eastAsia"/>
          <w:color w:val="auto"/>
          <w:szCs w:val="22"/>
          <w:highlight w:val="none"/>
        </w:rPr>
        <w:t>本次机场工程主要包括飞行区场道工程、航站区工程、辅助设施工程等。除了冲击式打桩机外，其他施工机械昼夜间影响范围主要在施工场界300m范围内，在禁止冲击式打桩机夜间施工的条件下，夜间主要影响在446m范围内。主体施工场地位于机场征地范围内，场内施工对区域声环境质量影响不大</w:t>
      </w:r>
      <w:r>
        <w:rPr>
          <w:color w:val="auto"/>
          <w:szCs w:val="22"/>
          <w:highlight w:val="none"/>
        </w:rPr>
        <w:t>。</w:t>
      </w:r>
    </w:p>
    <w:p w14:paraId="2464BCD3">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bookmarkStart w:id="269" w:name="_Toc458153872"/>
      <w:r>
        <w:rPr>
          <w:rFonts w:hint="eastAsia" w:eastAsia="黑体" w:cs="Times New Roman"/>
          <w:color w:val="auto"/>
          <w:spacing w:val="0"/>
          <w:kern w:val="2"/>
          <w:sz w:val="28"/>
          <w:szCs w:val="28"/>
          <w:highlight w:val="none"/>
          <w:lang w:val="en-US" w:eastAsia="zh-CN" w:bidi="ar-SA"/>
        </w:rPr>
        <w:t>运营期声环境影响预测评价</w:t>
      </w:r>
    </w:p>
    <w:bookmarkEnd w:id="269"/>
    <w:p w14:paraId="4679D8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Cs w:val="22"/>
          <w:highlight w:val="none"/>
        </w:rPr>
      </w:pPr>
      <w:r>
        <w:rPr>
          <w:rFonts w:hint="eastAsia"/>
          <w:color w:val="auto"/>
          <w:szCs w:val="22"/>
          <w:highlight w:val="none"/>
        </w:rPr>
        <w:t>精河机场2030年和2050年预测得到的飞机噪声影响覆盖面积见表5</w:t>
      </w:r>
      <w:r>
        <w:rPr>
          <w:rFonts w:hint="eastAsia"/>
          <w:color w:val="auto"/>
          <w:szCs w:val="22"/>
          <w:highlight w:val="none"/>
          <w:lang w:val="en-US" w:eastAsia="zh-CN"/>
        </w:rPr>
        <w:t>.</w:t>
      </w:r>
      <w:r>
        <w:rPr>
          <w:rFonts w:hint="eastAsia"/>
          <w:color w:val="auto"/>
          <w:szCs w:val="22"/>
          <w:highlight w:val="none"/>
        </w:rPr>
        <w:t>1-</w:t>
      </w:r>
      <w:r>
        <w:rPr>
          <w:rFonts w:hint="eastAsia"/>
          <w:color w:val="auto"/>
          <w:szCs w:val="22"/>
          <w:highlight w:val="none"/>
          <w:lang w:val="en-US" w:eastAsia="zh-CN"/>
        </w:rPr>
        <w:t>10</w:t>
      </w:r>
      <w:r>
        <w:rPr>
          <w:rFonts w:hint="eastAsia"/>
          <w:color w:val="auto"/>
          <w:szCs w:val="22"/>
          <w:highlight w:val="none"/>
        </w:rPr>
        <w:t>，计权等效连续感觉噪声级飞机噪声影响预测等值线图见图5</w:t>
      </w:r>
      <w:r>
        <w:rPr>
          <w:rFonts w:hint="eastAsia"/>
          <w:color w:val="auto"/>
          <w:szCs w:val="22"/>
          <w:highlight w:val="none"/>
          <w:lang w:val="en-US" w:eastAsia="zh-CN"/>
        </w:rPr>
        <w:t>.</w:t>
      </w:r>
      <w:r>
        <w:rPr>
          <w:rFonts w:hint="eastAsia"/>
          <w:color w:val="auto"/>
          <w:szCs w:val="22"/>
          <w:highlight w:val="none"/>
        </w:rPr>
        <w:t>1-</w:t>
      </w:r>
      <w:r>
        <w:rPr>
          <w:rFonts w:hint="eastAsia"/>
          <w:color w:val="auto"/>
          <w:szCs w:val="22"/>
          <w:highlight w:val="none"/>
          <w:lang w:val="en-US" w:eastAsia="zh-CN"/>
        </w:rPr>
        <w:t>4</w:t>
      </w:r>
      <w:r>
        <w:rPr>
          <w:rFonts w:hint="eastAsia"/>
          <w:color w:val="auto"/>
          <w:szCs w:val="22"/>
          <w:highlight w:val="none"/>
        </w:rPr>
        <w:t>、</w:t>
      </w:r>
      <w:r>
        <w:rPr>
          <w:rFonts w:hint="eastAsia"/>
          <w:color w:val="auto"/>
          <w:szCs w:val="22"/>
          <w:highlight w:val="none"/>
          <w:lang w:val="en-US" w:eastAsia="zh-CN"/>
        </w:rPr>
        <w:t>图</w:t>
      </w:r>
      <w:r>
        <w:rPr>
          <w:rFonts w:hint="eastAsia"/>
          <w:color w:val="auto"/>
          <w:szCs w:val="22"/>
          <w:highlight w:val="none"/>
        </w:rPr>
        <w:t>5</w:t>
      </w:r>
      <w:r>
        <w:rPr>
          <w:rFonts w:hint="eastAsia"/>
          <w:color w:val="auto"/>
          <w:szCs w:val="22"/>
          <w:highlight w:val="none"/>
          <w:lang w:val="en-US" w:eastAsia="zh-CN"/>
        </w:rPr>
        <w:t>.</w:t>
      </w:r>
      <w:r>
        <w:rPr>
          <w:rFonts w:hint="eastAsia"/>
          <w:color w:val="auto"/>
          <w:szCs w:val="22"/>
          <w:highlight w:val="none"/>
        </w:rPr>
        <w:t>1-</w:t>
      </w:r>
      <w:r>
        <w:rPr>
          <w:rFonts w:hint="eastAsia"/>
          <w:color w:val="auto"/>
          <w:szCs w:val="22"/>
          <w:highlight w:val="none"/>
          <w:lang w:val="en-US" w:eastAsia="zh-CN"/>
        </w:rPr>
        <w:t>5</w:t>
      </w:r>
      <w:r>
        <w:rPr>
          <w:rFonts w:hint="eastAsia"/>
          <w:color w:val="auto"/>
          <w:szCs w:val="22"/>
          <w:highlight w:val="none"/>
        </w:rPr>
        <w:t>，最大A声级飞机噪声影响预测等值线图见图5</w:t>
      </w:r>
      <w:r>
        <w:rPr>
          <w:rFonts w:hint="eastAsia"/>
          <w:color w:val="auto"/>
          <w:szCs w:val="22"/>
          <w:highlight w:val="none"/>
          <w:lang w:val="en-US" w:eastAsia="zh-CN"/>
        </w:rPr>
        <w:t>.</w:t>
      </w:r>
      <w:r>
        <w:rPr>
          <w:rFonts w:hint="eastAsia"/>
          <w:color w:val="auto"/>
          <w:szCs w:val="22"/>
          <w:highlight w:val="none"/>
        </w:rPr>
        <w:t>1-</w:t>
      </w:r>
      <w:r>
        <w:rPr>
          <w:rFonts w:hint="eastAsia"/>
          <w:color w:val="auto"/>
          <w:szCs w:val="22"/>
          <w:highlight w:val="none"/>
          <w:lang w:val="en-US" w:eastAsia="zh-CN"/>
        </w:rPr>
        <w:t>6</w:t>
      </w:r>
      <w:r>
        <w:rPr>
          <w:rFonts w:hint="eastAsia"/>
          <w:color w:val="auto"/>
          <w:szCs w:val="22"/>
          <w:highlight w:val="none"/>
        </w:rPr>
        <w:t>。敏感点预测结果见表5</w:t>
      </w:r>
      <w:r>
        <w:rPr>
          <w:rFonts w:hint="eastAsia"/>
          <w:color w:val="auto"/>
          <w:szCs w:val="22"/>
          <w:highlight w:val="none"/>
          <w:lang w:val="en-US" w:eastAsia="zh-CN"/>
        </w:rPr>
        <w:t>.</w:t>
      </w:r>
      <w:r>
        <w:rPr>
          <w:rFonts w:hint="eastAsia"/>
          <w:color w:val="auto"/>
          <w:szCs w:val="22"/>
          <w:highlight w:val="none"/>
        </w:rPr>
        <w:t>1-9。</w:t>
      </w:r>
    </w:p>
    <w:p w14:paraId="64293694">
      <w:pPr>
        <w:pageBreakBefore w:val="0"/>
        <w:tabs>
          <w:tab w:val="left" w:pos="2432"/>
        </w:tabs>
        <w:kinsoku/>
        <w:wordWrap/>
        <w:overflowPunct/>
        <w:bidi w:val="0"/>
        <w:spacing w:line="360" w:lineRule="auto"/>
        <w:ind w:firstLine="482"/>
        <w:rPr>
          <w:rFonts w:hint="eastAsia" w:cs="Times New Roman"/>
          <w:color w:val="auto"/>
          <w:sz w:val="24"/>
          <w:szCs w:val="21"/>
          <w:highlight w:val="none"/>
          <w:lang w:eastAsia="zh-CN"/>
        </w:rPr>
      </w:pPr>
      <w:r>
        <w:rPr>
          <w:rFonts w:hint="eastAsia"/>
          <w:color w:val="auto"/>
          <w:sz w:val="24"/>
          <w:szCs w:val="24"/>
          <w:highlight w:val="none"/>
        </w:rPr>
        <w:t>精河通用</w:t>
      </w:r>
      <w:r>
        <w:rPr>
          <w:color w:val="auto"/>
          <w:sz w:val="24"/>
          <w:szCs w:val="24"/>
          <w:highlight w:val="none"/>
        </w:rPr>
        <w:t>机场</w:t>
      </w:r>
      <w:r>
        <w:rPr>
          <w:rFonts w:hint="eastAsia"/>
          <w:color w:val="auto"/>
          <w:sz w:val="24"/>
          <w:szCs w:val="24"/>
          <w:highlight w:val="none"/>
        </w:rPr>
        <w:t>飞机噪声影响评价范围内居民区</w:t>
      </w:r>
      <w:r>
        <w:rPr>
          <w:rFonts w:hint="eastAsia"/>
          <w:color w:val="auto"/>
          <w:sz w:val="24"/>
          <w:szCs w:val="24"/>
          <w:highlight w:val="none"/>
          <w:lang w:val="en-US" w:eastAsia="zh-CN"/>
        </w:rPr>
        <w:t>本期</w:t>
      </w:r>
      <w:r>
        <w:rPr>
          <w:rFonts w:hint="eastAsia"/>
          <w:color w:val="auto"/>
          <w:sz w:val="24"/>
          <w:szCs w:val="24"/>
          <w:highlight w:val="none"/>
        </w:rPr>
        <w:t>、远期均未超标。因此，机场运营期</w:t>
      </w:r>
      <w:r>
        <w:rPr>
          <w:rFonts w:hint="eastAsia"/>
          <w:color w:val="auto"/>
          <w:sz w:val="24"/>
          <w:szCs w:val="24"/>
          <w:highlight w:val="none"/>
          <w:lang w:val="en-US" w:eastAsia="zh-CN"/>
        </w:rPr>
        <w:t>本期</w:t>
      </w:r>
      <w:r>
        <w:rPr>
          <w:rFonts w:hint="eastAsia"/>
          <w:color w:val="auto"/>
          <w:sz w:val="24"/>
          <w:szCs w:val="24"/>
          <w:highlight w:val="none"/>
        </w:rPr>
        <w:t>、远期目标年飞机噪声均不会对周边声环境产生明显</w:t>
      </w:r>
      <w:r>
        <w:rPr>
          <w:rFonts w:hint="eastAsia"/>
          <w:color w:val="auto"/>
          <w:sz w:val="24"/>
          <w:szCs w:val="24"/>
          <w:highlight w:val="none"/>
          <w:lang w:val="en-US" w:eastAsia="zh-CN"/>
        </w:rPr>
        <w:t>不利</w:t>
      </w:r>
      <w:r>
        <w:rPr>
          <w:rFonts w:hint="eastAsia"/>
          <w:color w:val="auto"/>
          <w:sz w:val="24"/>
          <w:szCs w:val="24"/>
          <w:highlight w:val="none"/>
        </w:rPr>
        <w:t>影响</w:t>
      </w:r>
      <w:r>
        <w:rPr>
          <w:rFonts w:hint="eastAsia" w:cs="Times New Roman"/>
          <w:color w:val="auto"/>
          <w:sz w:val="24"/>
          <w:szCs w:val="21"/>
          <w:highlight w:val="none"/>
          <w:lang w:eastAsia="zh-CN"/>
        </w:rPr>
        <w:t>。</w:t>
      </w:r>
    </w:p>
    <w:p w14:paraId="65C3A433">
      <w:pPr>
        <w:pageBreakBefore w:val="0"/>
        <w:kinsoku/>
        <w:wordWrap/>
        <w:overflowPunct/>
        <w:bidi w:val="0"/>
        <w:ind w:left="0" w:leftChars="0" w:right="0" w:rightChars="0" w:firstLine="0" w:firstLineChars="0"/>
        <w:jc w:val="center"/>
        <w:rPr>
          <w:rFonts w:hint="eastAsia" w:ascii="黑体" w:hAnsi="黑体" w:eastAsia="黑体" w:cs="黑体"/>
          <w:color w:val="auto"/>
          <w:sz w:val="21"/>
          <w:szCs w:val="21"/>
          <w:highlight w:val="none"/>
          <w:lang w:val="en-US" w:eastAsia="zh-CN"/>
        </w:rPr>
        <w:sectPr>
          <w:pgSz w:w="11904" w:h="16838"/>
          <w:pgMar w:top="1474" w:right="1474" w:bottom="1474" w:left="1814" w:header="850" w:footer="850" w:gutter="113"/>
          <w:pgNumType w:fmt="decimal"/>
          <w:cols w:space="0" w:num="1"/>
          <w:docGrid w:linePitch="326" w:charSpace="0"/>
        </w:sectPr>
      </w:pPr>
      <w:bookmarkStart w:id="270" w:name="_Toc135735452"/>
    </w:p>
    <w:p w14:paraId="35449C26">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71" w:name="_Toc1538"/>
      <w:r>
        <w:rPr>
          <w:rFonts w:hint="eastAsia" w:ascii="Times New Roman" w:hAnsi="Times New Roman" w:eastAsia="黑体" w:cs="Times New Roman"/>
          <w:bCs/>
          <w:color w:val="auto"/>
          <w:spacing w:val="0"/>
          <w:w w:val="100"/>
          <w:kern w:val="28"/>
          <w:sz w:val="30"/>
          <w:szCs w:val="30"/>
          <w:highlight w:val="none"/>
          <w:lang w:val="en-US" w:eastAsia="zh-CN" w:bidi="ar-SA"/>
        </w:rPr>
        <w:t>生态影响分析与评价</w:t>
      </w:r>
      <w:bookmarkEnd w:id="271"/>
    </w:p>
    <w:bookmarkEnd w:id="270"/>
    <w:p w14:paraId="002B9AD5">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施工期生态影响分析</w:t>
      </w:r>
    </w:p>
    <w:p w14:paraId="162879AA">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施工期</w:t>
      </w:r>
      <w:r>
        <w:rPr>
          <w:rFonts w:hint="eastAsia" w:cs="Times New Roman"/>
          <w:b w:val="0"/>
          <w:bCs w:val="0"/>
          <w:color w:val="auto"/>
          <w:kern w:val="2"/>
          <w:sz w:val="24"/>
          <w:szCs w:val="24"/>
          <w:highlight w:val="none"/>
          <w:lang w:val="en-US" w:eastAsia="zh-CN" w:bidi="ar-SA"/>
        </w:rPr>
        <w:t>鸟类</w:t>
      </w:r>
      <w:r>
        <w:rPr>
          <w:rFonts w:hint="eastAsia" w:ascii="Times New Roman" w:hAnsi="Times New Roman" w:eastAsia="宋体" w:cs="Times New Roman"/>
          <w:b w:val="0"/>
          <w:bCs w:val="0"/>
          <w:color w:val="auto"/>
          <w:kern w:val="2"/>
          <w:sz w:val="24"/>
          <w:szCs w:val="24"/>
          <w:highlight w:val="none"/>
          <w:lang w:val="en-US" w:eastAsia="zh-CN" w:bidi="ar-SA"/>
        </w:rPr>
        <w:t>影响分析</w:t>
      </w:r>
    </w:p>
    <w:p w14:paraId="3D9BCEF0">
      <w:pPr>
        <w:ind w:firstLine="480" w:firstLineChars="200"/>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lang w:val="en-US" w:eastAsia="zh-CN"/>
        </w:rPr>
        <w:t>对鸟类生境的影响分析</w:t>
      </w:r>
    </w:p>
    <w:p w14:paraId="4D7C66E1">
      <w:pPr>
        <w:ind w:firstLine="480" w:firstLineChars="200"/>
        <w:rPr>
          <w:rFonts w:hint="eastAsia"/>
          <w:color w:val="auto"/>
          <w:highlight w:val="none"/>
        </w:rPr>
      </w:pPr>
      <w:r>
        <w:rPr>
          <w:rFonts w:hint="eastAsia"/>
          <w:color w:val="auto"/>
          <w:highlight w:val="none"/>
        </w:rPr>
        <w:t>本项目建设施工时，将对机场建设区域内土地进行平整作业，平整过程将造成鸟类</w:t>
      </w:r>
      <w:r>
        <w:rPr>
          <w:rFonts w:hint="eastAsia"/>
          <w:color w:val="auto"/>
          <w:highlight w:val="none"/>
          <w:lang w:val="en-US" w:eastAsia="zh-CN"/>
        </w:rPr>
        <w:t>生态</w:t>
      </w:r>
      <w:r>
        <w:rPr>
          <w:rFonts w:hint="eastAsia"/>
          <w:color w:val="auto"/>
          <w:highlight w:val="none"/>
        </w:rPr>
        <w:t>环境不可避免地遭到破坏。其中，由人为活动所导致的生境破坏被认为是最具破坏性的驱动因素之一。生境破坏主要包括生境损失及其空间格局破碎化两方面。前者指适宜物种生存的栖息生境面积减少，后者指剩余适宜生境在空间格局上被分割，逐渐形成相互隔离的斑块，从而改变生境的空间布局。</w:t>
      </w:r>
    </w:p>
    <w:p w14:paraId="1BC90502">
      <w:pPr>
        <w:ind w:firstLine="480" w:firstLineChars="200"/>
        <w:rPr>
          <w:color w:val="auto"/>
          <w:highlight w:val="none"/>
        </w:rPr>
      </w:pPr>
      <w:r>
        <w:rPr>
          <w:rFonts w:hint="eastAsia"/>
          <w:color w:val="auto"/>
          <w:highlight w:val="none"/>
        </w:rPr>
        <w:t>据现场调查情况，征地范围为常见麻雀、乌鸦等留鸟</w:t>
      </w:r>
      <w:r>
        <w:rPr>
          <w:rFonts w:hint="eastAsia"/>
          <w:color w:val="auto"/>
          <w:highlight w:val="none"/>
          <w:lang w:val="en-US" w:eastAsia="zh-CN"/>
        </w:rPr>
        <w:t>活动区域，在</w:t>
      </w:r>
      <w:r>
        <w:rPr>
          <w:rFonts w:hint="eastAsia"/>
          <w:color w:val="auto"/>
          <w:highlight w:val="none"/>
        </w:rPr>
        <w:t>土地平整过程中，会破坏其原有生境，从而改变其生境空间分布。但由于拟建项目占地范围内几乎为农田生境，相较于林地、湿地沼泽生境，对其生境内鸟类影响占比较小。同时，考虑到机场周边广大区域的环境与机场直接占地地区基本同质，鸟类分布范围较广，易于寻找到类似适宜的生存环境。因此，机场占地的不利影响是可以接受的。在施工中应严格控制作业范围，避免扩大</w:t>
      </w:r>
      <w:r>
        <w:rPr>
          <w:rFonts w:hint="eastAsia"/>
          <w:color w:val="auto"/>
          <w:highlight w:val="none"/>
          <w:lang w:val="en-US" w:eastAsia="zh-CN"/>
        </w:rPr>
        <w:t>对</w:t>
      </w:r>
      <w:r>
        <w:rPr>
          <w:rFonts w:hint="eastAsia"/>
          <w:color w:val="auto"/>
          <w:highlight w:val="none"/>
        </w:rPr>
        <w:t>鸟类</w:t>
      </w:r>
      <w:r>
        <w:rPr>
          <w:rFonts w:hint="eastAsia"/>
          <w:color w:val="auto"/>
          <w:highlight w:val="none"/>
          <w:lang w:val="en-US" w:eastAsia="zh-CN"/>
        </w:rPr>
        <w:t>活动区域的影响</w:t>
      </w:r>
      <w:r>
        <w:rPr>
          <w:rFonts w:hint="eastAsia"/>
          <w:color w:val="auto"/>
          <w:highlight w:val="none"/>
        </w:rPr>
        <w:t>。</w:t>
      </w:r>
    </w:p>
    <w:p w14:paraId="5093B7F5">
      <w:pPr>
        <w:ind w:firstLine="480" w:firstLineChars="200"/>
        <w:rPr>
          <w:rFonts w:hint="default"/>
          <w:color w:val="auto"/>
          <w:highlight w:val="none"/>
          <w:lang w:val="en-US"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lang w:val="en-US" w:eastAsia="zh-CN"/>
        </w:rPr>
        <w:t>对</w:t>
      </w:r>
      <w:r>
        <w:rPr>
          <w:rFonts w:hint="eastAsia"/>
          <w:color w:val="auto"/>
          <w:highlight w:val="none"/>
          <w:lang w:eastAsia="zh-CN"/>
        </w:rPr>
        <w:t>鸟类的食源和水源</w:t>
      </w:r>
      <w:r>
        <w:rPr>
          <w:rFonts w:hint="eastAsia"/>
          <w:color w:val="auto"/>
          <w:highlight w:val="none"/>
          <w:lang w:val="en-US" w:eastAsia="zh-CN"/>
        </w:rPr>
        <w:t>影响分析</w:t>
      </w:r>
    </w:p>
    <w:p w14:paraId="21F9D8F1">
      <w:pPr>
        <w:ind w:firstLine="480" w:firstLineChars="200"/>
        <w:rPr>
          <w:rFonts w:hint="eastAsia" w:eastAsia="宋体"/>
          <w:color w:val="auto"/>
          <w:highlight w:val="none"/>
          <w:lang w:eastAsia="zh-CN"/>
        </w:rPr>
      </w:pPr>
      <w:r>
        <w:rPr>
          <w:rFonts w:hint="eastAsia"/>
          <w:color w:val="auto"/>
          <w:highlight w:val="none"/>
          <w:lang w:eastAsia="zh-CN"/>
        </w:rPr>
        <w:t>本项目建设占地将改变机场所占区域原有的生态环境，</w:t>
      </w:r>
      <w:r>
        <w:rPr>
          <w:rFonts w:hint="eastAsia"/>
          <w:color w:val="auto"/>
          <w:highlight w:val="none"/>
          <w:lang w:val="en-US" w:eastAsia="zh-CN"/>
        </w:rPr>
        <w:t>减少</w:t>
      </w:r>
      <w:r>
        <w:rPr>
          <w:rFonts w:hint="eastAsia"/>
          <w:color w:val="auto"/>
          <w:highlight w:val="none"/>
          <w:lang w:eastAsia="zh-CN"/>
        </w:rPr>
        <w:t>耕地、林地及草地</w:t>
      </w:r>
      <w:r>
        <w:rPr>
          <w:rFonts w:hint="eastAsia"/>
          <w:color w:val="auto"/>
          <w:highlight w:val="none"/>
          <w:lang w:val="en-US" w:eastAsia="zh-CN"/>
        </w:rPr>
        <w:t>面积</w:t>
      </w:r>
      <w:r>
        <w:rPr>
          <w:rFonts w:hint="eastAsia"/>
          <w:color w:val="auto"/>
          <w:highlight w:val="none"/>
          <w:lang w:eastAsia="zh-CN"/>
        </w:rPr>
        <w:t>，导致鸟类生活所需要的食物和水源锐减，鸟类被迫到原生境区域之外的其它区域寻找食源、</w:t>
      </w:r>
      <w:r>
        <w:rPr>
          <w:rFonts w:hint="eastAsia"/>
          <w:color w:val="auto"/>
          <w:highlight w:val="none"/>
          <w:lang w:val="en-US" w:eastAsia="zh-CN"/>
        </w:rPr>
        <w:t>水源</w:t>
      </w:r>
      <w:r>
        <w:rPr>
          <w:rFonts w:hint="eastAsia"/>
          <w:color w:val="auto"/>
          <w:highlight w:val="none"/>
          <w:lang w:eastAsia="zh-CN"/>
        </w:rPr>
        <w:t>，间接导致该区域的鸟类种群的下降，机场占地区域将不再适宜鸟类栖息。</w:t>
      </w:r>
      <w:r>
        <w:rPr>
          <w:rFonts w:hint="eastAsia"/>
          <w:color w:val="auto"/>
          <w:highlight w:val="none"/>
          <w:lang w:val="en-US" w:eastAsia="zh-CN"/>
        </w:rPr>
        <w:t>由于</w:t>
      </w:r>
      <w:r>
        <w:rPr>
          <w:rFonts w:hint="eastAsia"/>
          <w:color w:val="auto"/>
          <w:highlight w:val="none"/>
          <w:lang w:eastAsia="zh-CN"/>
        </w:rPr>
        <w:t>本</w:t>
      </w:r>
      <w:r>
        <w:rPr>
          <w:rFonts w:hint="eastAsia"/>
          <w:color w:val="auto"/>
          <w:highlight w:val="none"/>
          <w:lang w:val="en-US" w:eastAsia="zh-CN"/>
        </w:rPr>
        <w:t>项目</w:t>
      </w:r>
      <w:r>
        <w:rPr>
          <w:rFonts w:hint="eastAsia"/>
          <w:color w:val="auto"/>
          <w:highlight w:val="none"/>
          <w:lang w:eastAsia="zh-CN"/>
        </w:rPr>
        <w:t>所占地类型主要为农田和少量的林地和其他草地，</w:t>
      </w:r>
      <w:r>
        <w:rPr>
          <w:rFonts w:hint="eastAsia"/>
          <w:color w:val="auto"/>
          <w:highlight w:val="none"/>
          <w:lang w:val="en-US" w:eastAsia="zh-CN"/>
        </w:rPr>
        <w:t>除灌溉沟渠外无其他地表水源，</w:t>
      </w:r>
      <w:r>
        <w:rPr>
          <w:rFonts w:hint="eastAsia"/>
          <w:color w:val="auto"/>
          <w:highlight w:val="none"/>
          <w:lang w:eastAsia="zh-CN"/>
        </w:rPr>
        <w:t>其与机场周边生境相似度极高，鸟类完全可以在周边区域找到替代性食源和水源。因此，机场</w:t>
      </w:r>
      <w:r>
        <w:rPr>
          <w:rFonts w:hint="eastAsia"/>
          <w:color w:val="auto"/>
          <w:highlight w:val="none"/>
          <w:lang w:val="en-US" w:eastAsia="zh-CN"/>
        </w:rPr>
        <w:t>施工期对</w:t>
      </w:r>
      <w:r>
        <w:rPr>
          <w:rFonts w:hint="eastAsia"/>
          <w:color w:val="auto"/>
          <w:highlight w:val="none"/>
          <w:lang w:eastAsia="zh-CN"/>
        </w:rPr>
        <w:t>鸟类的食源和水源</w:t>
      </w:r>
      <w:r>
        <w:rPr>
          <w:rFonts w:hint="eastAsia"/>
          <w:color w:val="auto"/>
          <w:highlight w:val="none"/>
          <w:lang w:val="en-US" w:eastAsia="zh-CN"/>
        </w:rPr>
        <w:t>影响较小</w:t>
      </w:r>
      <w:r>
        <w:rPr>
          <w:rFonts w:hint="eastAsia"/>
          <w:color w:val="auto"/>
          <w:highlight w:val="none"/>
          <w:lang w:eastAsia="zh-CN"/>
        </w:rPr>
        <w:t>。</w:t>
      </w:r>
    </w:p>
    <w:p w14:paraId="32B33C65">
      <w:pPr>
        <w:ind w:firstLine="480" w:firstLineChars="200"/>
        <w:rPr>
          <w:rFonts w:hint="default"/>
          <w:color w:val="auto"/>
          <w:highlight w:val="none"/>
          <w:lang w:val="en-US"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对</w:t>
      </w:r>
      <w:r>
        <w:rPr>
          <w:rFonts w:hint="eastAsia"/>
          <w:color w:val="auto"/>
          <w:highlight w:val="none"/>
          <w:lang w:eastAsia="zh-CN"/>
        </w:rPr>
        <w:t>鸟类活动的</w:t>
      </w:r>
      <w:r>
        <w:rPr>
          <w:rFonts w:hint="eastAsia"/>
          <w:color w:val="auto"/>
          <w:highlight w:val="none"/>
          <w:lang w:val="en-US" w:eastAsia="zh-CN"/>
        </w:rPr>
        <w:t>影响</w:t>
      </w:r>
    </w:p>
    <w:p w14:paraId="3862ACEA">
      <w:pPr>
        <w:ind w:firstLine="480" w:firstLineChars="200"/>
        <w:rPr>
          <w:rFonts w:hint="eastAsia" w:eastAsia="宋体"/>
          <w:color w:val="auto"/>
          <w:highlight w:val="none"/>
          <w:lang w:eastAsia="zh-CN"/>
        </w:rPr>
      </w:pPr>
      <w:r>
        <w:rPr>
          <w:rFonts w:hint="eastAsia"/>
          <w:color w:val="auto"/>
          <w:highlight w:val="none"/>
          <w:lang w:eastAsia="zh-CN"/>
        </w:rPr>
        <w:t>施工期间频繁的人员活动、工程机械作业、</w:t>
      </w:r>
      <w:r>
        <w:rPr>
          <w:rFonts w:hint="eastAsia"/>
          <w:color w:val="auto"/>
          <w:highlight w:val="none"/>
          <w:lang w:val="en-US" w:eastAsia="zh-CN"/>
        </w:rPr>
        <w:t>物料运输等</w:t>
      </w:r>
      <w:r>
        <w:rPr>
          <w:rFonts w:hint="eastAsia"/>
          <w:color w:val="auto"/>
          <w:highlight w:val="none"/>
          <w:lang w:eastAsia="zh-CN"/>
        </w:rPr>
        <w:t>产生的噪声以及空气、水环境污染会在短期内对机场周边的鸟类活动造成一定影响，使鸟类产生趋避反应、远离当地。还有</w:t>
      </w:r>
      <w:r>
        <w:rPr>
          <w:rFonts w:hint="eastAsia"/>
          <w:color w:val="auto"/>
          <w:highlight w:val="none"/>
          <w:lang w:val="en-US" w:eastAsia="zh-CN"/>
        </w:rPr>
        <w:t>施工噪声</w:t>
      </w:r>
      <w:r>
        <w:rPr>
          <w:rFonts w:hint="eastAsia"/>
          <w:color w:val="auto"/>
          <w:highlight w:val="none"/>
          <w:lang w:eastAsia="zh-CN"/>
        </w:rPr>
        <w:t>、人造光源、运动障碍等间接影响。这些间接效应与直接效应可能相互作用，共同导致种群密度和物种丰富度的减少。相较于施工机械噪声和</w:t>
      </w:r>
      <w:r>
        <w:rPr>
          <w:rFonts w:hint="eastAsia"/>
          <w:color w:val="auto"/>
          <w:highlight w:val="none"/>
          <w:lang w:val="en-US" w:eastAsia="zh-CN"/>
        </w:rPr>
        <w:t>大气的</w:t>
      </w:r>
      <w:r>
        <w:rPr>
          <w:rFonts w:hint="eastAsia"/>
          <w:color w:val="auto"/>
          <w:highlight w:val="none"/>
          <w:lang w:eastAsia="zh-CN"/>
        </w:rPr>
        <w:t>影响，施工人员活动对鸟类的影响具有不确定性，如果管理不严格，可能会发生施工人员猎杀鸟类的现象，需加强对施工人员的管理和教育。</w:t>
      </w:r>
    </w:p>
    <w:p w14:paraId="5DC83C50">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生态系统稳定性影响分析</w:t>
      </w:r>
    </w:p>
    <w:p w14:paraId="4452336E">
      <w:pPr>
        <w:ind w:firstLine="480" w:firstLineChars="200"/>
        <w:rPr>
          <w:color w:val="auto"/>
          <w:highlight w:val="none"/>
        </w:rPr>
      </w:pPr>
      <w:r>
        <w:rPr>
          <w:color w:val="auto"/>
          <w:highlight w:val="none"/>
        </w:rPr>
        <w:t>生态系统稳定性是指系统受到外部扰动后保持和恢复其初始状态的能力。</w:t>
      </w:r>
    </w:p>
    <w:p w14:paraId="0C0F0AAA">
      <w:pPr>
        <w:ind w:firstLine="480" w:firstLineChars="200"/>
        <w:rPr>
          <w:color w:val="auto"/>
          <w:highlight w:val="none"/>
        </w:rPr>
      </w:pPr>
      <w:r>
        <w:rPr>
          <w:color w:val="auto"/>
          <w:highlight w:val="none"/>
        </w:rPr>
        <w:t>本项目的建设将对占地范围内原有的地表景观格局和生态体系完整性产生一定影响。该项目对生态环境的影响主要表现在机场及附属设施建设时占地使土地利用格局发生变化，一定数量的植被受到损耗以及导致短时期的水土流失影响。同时，由于土地利用格局的改变，使区域自然体系的生产能力受到一定程度影响，导致自然体系的生产能力降低，其恢复能力也受到一定影响。</w:t>
      </w:r>
    </w:p>
    <w:p w14:paraId="7D3024B8">
      <w:pPr>
        <w:ind w:firstLine="480" w:firstLineChars="200"/>
        <w:rPr>
          <w:color w:val="auto"/>
          <w:highlight w:val="none"/>
        </w:rPr>
      </w:pPr>
      <w:r>
        <w:rPr>
          <w:color w:val="auto"/>
          <w:highlight w:val="none"/>
        </w:rPr>
        <w:t>本项目建设将对植物生境产生干扰，其中包括两个方面的影响：一是项目永久性占地，使得项目占地区域内的植物被迫消失，消耗了一部分植物量；二是临时用地，其严重破坏了土层的稳定性，使地表裸露面积增加，土壤理化性质变化，抗风力、水力侵蚀的能力大大降低，对外界干扰作用的敏感性增加，生态环境随之恶化，稳定性降低。</w:t>
      </w:r>
    </w:p>
    <w:p w14:paraId="79B703A4">
      <w:pPr>
        <w:ind w:firstLine="480" w:firstLineChars="200"/>
        <w:rPr>
          <w:color w:val="auto"/>
          <w:highlight w:val="none"/>
        </w:rPr>
      </w:pPr>
      <w:r>
        <w:rPr>
          <w:color w:val="auto"/>
          <w:highlight w:val="none"/>
        </w:rPr>
        <w:t>因此，整个评价区域，由于人为的活动影响和改造，生态系统的稳定性和完整性将发生一定的变化。但就整个区域来说，对生态系统的稳定性和完整性产生影响不明显。且随着机场的建设，种植绿化带将进一步改善机场周边的自然环境。</w:t>
      </w:r>
    </w:p>
    <w:p w14:paraId="72EB0D91">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土地利用影响分析</w:t>
      </w:r>
    </w:p>
    <w:p w14:paraId="636A9819">
      <w:pPr>
        <w:ind w:firstLine="480" w:firstLineChars="200"/>
        <w:rPr>
          <w:color w:val="auto"/>
          <w:highlight w:val="none"/>
        </w:rPr>
      </w:pPr>
      <w:r>
        <w:rPr>
          <w:color w:val="auto"/>
          <w:highlight w:val="none"/>
        </w:rPr>
        <w:t>本项目占地类型</w:t>
      </w:r>
      <w:r>
        <w:rPr>
          <w:rFonts w:hint="eastAsia"/>
          <w:color w:val="auto"/>
          <w:highlight w:val="none"/>
        </w:rPr>
        <w:t>以一般耕地为主，约占项目区总面积的84.84%，此外还涉及乔木林地、农村道路、沟渠、其他草地等</w:t>
      </w:r>
      <w:r>
        <w:rPr>
          <w:color w:val="auto"/>
          <w:highlight w:val="none"/>
        </w:rPr>
        <w:t>，项目建设将改变原有</w:t>
      </w:r>
      <w:r>
        <w:rPr>
          <w:rFonts w:hint="eastAsia"/>
          <w:color w:val="auto"/>
          <w:highlight w:val="none"/>
        </w:rPr>
        <w:t>一般耕地</w:t>
      </w:r>
      <w:r>
        <w:rPr>
          <w:color w:val="auto"/>
          <w:highlight w:val="none"/>
        </w:rPr>
        <w:t>为主的土地利用类型。本项目本期占地面积</w:t>
      </w:r>
      <w:r>
        <w:rPr>
          <w:rFonts w:hint="eastAsia"/>
          <w:color w:val="auto"/>
          <w:highlight w:val="none"/>
        </w:rPr>
        <w:t>65.2804</w:t>
      </w:r>
      <w:r>
        <w:rPr>
          <w:color w:val="auto"/>
          <w:highlight w:val="none"/>
        </w:rPr>
        <w:t>hm</w:t>
      </w:r>
      <w:r>
        <w:rPr>
          <w:color w:val="auto"/>
          <w:highlight w:val="none"/>
          <w:vertAlign w:val="superscript"/>
        </w:rPr>
        <w:t>2</w:t>
      </w:r>
      <w:r>
        <w:rPr>
          <w:color w:val="auto"/>
          <w:highlight w:val="none"/>
        </w:rPr>
        <w:t>，占精河县</w:t>
      </w:r>
      <w:r>
        <w:rPr>
          <w:rFonts w:hint="eastAsia"/>
          <w:color w:val="auto"/>
          <w:highlight w:val="none"/>
        </w:rPr>
        <w:t>耕地</w:t>
      </w:r>
      <w:r>
        <w:rPr>
          <w:color w:val="auto"/>
          <w:highlight w:val="none"/>
        </w:rPr>
        <w:t>面积80240.14</w:t>
      </w:r>
      <w:r>
        <w:rPr>
          <w:rFonts w:hint="eastAsia"/>
          <w:color w:val="auto"/>
          <w:highlight w:val="none"/>
        </w:rPr>
        <w:t>hm</w:t>
      </w:r>
      <w:r>
        <w:rPr>
          <w:color w:val="auto"/>
          <w:highlight w:val="none"/>
          <w:vertAlign w:val="superscript"/>
        </w:rPr>
        <w:t>2</w:t>
      </w:r>
      <w:r>
        <w:rPr>
          <w:color w:val="auto"/>
          <w:highlight w:val="none"/>
        </w:rPr>
        <w:t>的0.08%，占比</w:t>
      </w:r>
      <w:r>
        <w:rPr>
          <w:rFonts w:hint="eastAsia"/>
          <w:color w:val="auto"/>
          <w:highlight w:val="none"/>
        </w:rPr>
        <w:t>极</w:t>
      </w:r>
      <w:r>
        <w:rPr>
          <w:color w:val="auto"/>
          <w:highlight w:val="none"/>
        </w:rPr>
        <w:t>小，项目建成后将进行相应的</w:t>
      </w:r>
      <w:r>
        <w:rPr>
          <w:rFonts w:hint="eastAsia"/>
          <w:color w:val="auto"/>
          <w:highlight w:val="none"/>
        </w:rPr>
        <w:t>补偿</w:t>
      </w:r>
      <w:r>
        <w:rPr>
          <w:color w:val="auto"/>
          <w:highlight w:val="none"/>
        </w:rPr>
        <w:t>措施</w:t>
      </w:r>
      <w:r>
        <w:rPr>
          <w:rFonts w:hint="eastAsia"/>
          <w:color w:val="auto"/>
          <w:highlight w:val="none"/>
        </w:rPr>
        <w:t>及绿化措施</w:t>
      </w:r>
      <w:r>
        <w:rPr>
          <w:color w:val="auto"/>
          <w:highlight w:val="none"/>
        </w:rPr>
        <w:t>，因此土地利用类型的变化并不会导致生态环境质量的降低。</w:t>
      </w:r>
    </w:p>
    <w:p w14:paraId="299CBA5D">
      <w:pPr>
        <w:ind w:firstLine="480" w:firstLineChars="200"/>
        <w:rPr>
          <w:color w:val="auto"/>
          <w:highlight w:val="none"/>
        </w:rPr>
      </w:pPr>
      <w:r>
        <w:rPr>
          <w:color w:val="auto"/>
          <w:highlight w:val="none"/>
        </w:rPr>
        <w:t>本项目建成后，永久占地的地表土壤将被彻底清除或被覆盖，使土地利用结构发生变化，由现有的</w:t>
      </w:r>
      <w:r>
        <w:rPr>
          <w:rFonts w:hint="eastAsia"/>
          <w:color w:val="auto"/>
          <w:highlight w:val="none"/>
        </w:rPr>
        <w:t>耕地</w:t>
      </w:r>
      <w:r>
        <w:rPr>
          <w:color w:val="auto"/>
          <w:highlight w:val="none"/>
        </w:rPr>
        <w:t>转变为</w:t>
      </w:r>
      <w:r>
        <w:rPr>
          <w:rFonts w:hint="eastAsia"/>
          <w:color w:val="auto"/>
          <w:highlight w:val="none"/>
        </w:rPr>
        <w:t>机场</w:t>
      </w:r>
      <w:r>
        <w:rPr>
          <w:color w:val="auto"/>
          <w:highlight w:val="none"/>
        </w:rPr>
        <w:t>用地。临时占地主要为施工便道等，其影响主要表现在两个方面：一是植被未恢复之前地表失去保护层；二是留下的临时设施既不利用又不拆除，影响景观的恢复。临时占地的影响性质是暂时性的，在施工过程结束后采取一定的措施和随着时间的推移，破坏的土地能够得以恢复，属可逆影响。</w:t>
      </w:r>
    </w:p>
    <w:p w14:paraId="1250DA5C">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对植被及农田的影响分析</w:t>
      </w:r>
    </w:p>
    <w:p w14:paraId="5062E2DF">
      <w:pPr>
        <w:ind w:firstLine="480" w:firstLineChars="200"/>
        <w:rPr>
          <w:color w:val="auto"/>
          <w:highlight w:val="none"/>
        </w:rPr>
      </w:pPr>
      <w:r>
        <w:rPr>
          <w:color w:val="auto"/>
          <w:highlight w:val="none"/>
        </w:rPr>
        <w:t>拟建项目所在区域</w:t>
      </w:r>
      <w:r>
        <w:rPr>
          <w:rFonts w:hint="eastAsia"/>
          <w:color w:val="auto"/>
          <w:highlight w:val="none"/>
        </w:rPr>
        <w:t>植被主要为人工作物棉花、玉米、小麦，农田四周分布有芦苇、白杨、榆树等</w:t>
      </w:r>
      <w:r>
        <w:rPr>
          <w:color w:val="auto"/>
          <w:highlight w:val="none"/>
        </w:rPr>
        <w:t>，属</w:t>
      </w:r>
      <w:r>
        <w:rPr>
          <w:rFonts w:hint="eastAsia"/>
          <w:color w:val="auto"/>
          <w:highlight w:val="none"/>
        </w:rPr>
        <w:t>精河县西北部八家户牧业四队</w:t>
      </w:r>
      <w:r>
        <w:rPr>
          <w:color w:val="auto"/>
          <w:highlight w:val="none"/>
        </w:rPr>
        <w:t>，占地范围内有</w:t>
      </w:r>
      <w:r>
        <w:rPr>
          <w:rFonts w:hint="eastAsia"/>
          <w:color w:val="auto"/>
          <w:highlight w:val="none"/>
        </w:rPr>
        <w:t>棉花、玉米、小麦等作物</w:t>
      </w:r>
      <w:r>
        <w:rPr>
          <w:color w:val="auto"/>
          <w:highlight w:val="none"/>
        </w:rPr>
        <w:t>分布。</w:t>
      </w:r>
    </w:p>
    <w:p w14:paraId="093C1C78">
      <w:pPr>
        <w:ind w:firstLine="480" w:firstLineChars="200"/>
        <w:rPr>
          <w:color w:val="auto"/>
          <w:highlight w:val="none"/>
        </w:rPr>
      </w:pPr>
      <w:r>
        <w:rPr>
          <w:color w:val="auto"/>
          <w:highlight w:val="none"/>
        </w:rPr>
        <w:t>项目施工期将使占地范围内的原有植被完全破坏，并引起植被生物量的损失与植被生产力的降低。基建施工运输、临时占地等也将会使施工区及周围植被受到不同程度的影响</w:t>
      </w:r>
      <w:r>
        <w:rPr>
          <w:rFonts w:hint="eastAsia"/>
          <w:color w:val="auto"/>
          <w:highlight w:val="none"/>
        </w:rPr>
        <w:t>。根据生态环境现状的调查，结合植被的生长情况、耕地亩产情况等，对照有关资料（主要参考新疆当地有关部门、所做的生态损失调查研究成果，结合所在区域实际进行测算）和经验公</w:t>
      </w:r>
      <w:r>
        <w:rPr>
          <w:rFonts w:hint="eastAsia" w:ascii="Times New Roman" w:hAnsi="Times New Roman" w:eastAsia="宋体" w:cs="Times New Roman"/>
          <w:color w:val="auto"/>
          <w:highlight w:val="none"/>
        </w:rPr>
        <w:t>式计算，乔木林地生物量损失为4.00t；一般耕地生物量损失为332.34t；其他草地生物量损</w:t>
      </w:r>
      <w:r>
        <w:rPr>
          <w:rFonts w:hint="eastAsia"/>
          <w:color w:val="auto"/>
          <w:highlight w:val="none"/>
        </w:rPr>
        <w:t>失为</w:t>
      </w:r>
      <w:r>
        <w:rPr>
          <w:color w:val="auto"/>
          <w:highlight w:val="none"/>
        </w:rPr>
        <w:t>0.12</w:t>
      </w:r>
      <w:r>
        <w:rPr>
          <w:rFonts w:hint="eastAsia"/>
          <w:color w:val="auto"/>
          <w:highlight w:val="none"/>
        </w:rPr>
        <w:t>t，合计生物量损失为</w:t>
      </w:r>
      <w:r>
        <w:rPr>
          <w:color w:val="auto"/>
          <w:highlight w:val="none"/>
        </w:rPr>
        <w:t>336.46</w:t>
      </w:r>
      <w:r>
        <w:rPr>
          <w:rFonts w:hint="eastAsia"/>
          <w:color w:val="auto"/>
          <w:highlight w:val="none"/>
        </w:rPr>
        <w:t>t。项目占地造成的生物量损失见表5</w:t>
      </w:r>
      <w:r>
        <w:rPr>
          <w:rFonts w:hint="eastAsia"/>
          <w:color w:val="auto"/>
          <w:highlight w:val="none"/>
          <w:lang w:val="en-US" w:eastAsia="zh-CN"/>
        </w:rPr>
        <w:t>.</w:t>
      </w:r>
      <w:r>
        <w:rPr>
          <w:rFonts w:hint="eastAsia"/>
          <w:color w:val="auto"/>
          <w:highlight w:val="none"/>
        </w:rPr>
        <w:t>2-1。</w:t>
      </w:r>
    </w:p>
    <w:p w14:paraId="29006C04">
      <w:pPr>
        <w:ind w:firstLine="480" w:firstLineChars="200"/>
        <w:rPr>
          <w:color w:val="auto"/>
          <w:highlight w:val="none"/>
        </w:rPr>
      </w:pPr>
      <w:r>
        <w:rPr>
          <w:color w:val="auto"/>
          <w:highlight w:val="none"/>
        </w:rPr>
        <w:t>施工期应严格控制施工作业范围，减少对植被的破坏，加强对施工人员生态保护宣传教育，避免对施工作业范围外的</w:t>
      </w:r>
      <w:r>
        <w:rPr>
          <w:rFonts w:hint="eastAsia"/>
          <w:color w:val="auto"/>
          <w:highlight w:val="none"/>
        </w:rPr>
        <w:t>农作物</w:t>
      </w:r>
      <w:r>
        <w:rPr>
          <w:color w:val="auto"/>
          <w:highlight w:val="none"/>
        </w:rPr>
        <w:t>的破坏和影响。</w:t>
      </w:r>
    </w:p>
    <w:p w14:paraId="311917C3">
      <w:pPr>
        <w:ind w:firstLine="480" w:firstLineChars="200"/>
        <w:rPr>
          <w:color w:val="auto"/>
          <w:highlight w:val="none"/>
        </w:rPr>
      </w:pPr>
      <w:r>
        <w:rPr>
          <w:color w:val="auto"/>
          <w:highlight w:val="none"/>
        </w:rPr>
        <w:t>项目</w:t>
      </w:r>
      <w:r>
        <w:rPr>
          <w:rFonts w:hint="eastAsia"/>
          <w:color w:val="auto"/>
          <w:highlight w:val="none"/>
        </w:rPr>
        <w:t>占地</w:t>
      </w:r>
      <w:r>
        <w:rPr>
          <w:color w:val="auto"/>
          <w:highlight w:val="none"/>
        </w:rPr>
        <w:t>区域</w:t>
      </w:r>
      <w:r>
        <w:rPr>
          <w:rFonts w:hint="eastAsia"/>
          <w:color w:val="auto"/>
          <w:highlight w:val="none"/>
        </w:rPr>
        <w:t>土壤肥力较好</w:t>
      </w:r>
      <w:r>
        <w:rPr>
          <w:color w:val="auto"/>
          <w:highlight w:val="none"/>
        </w:rPr>
        <w:t>，地表植被具有一定的固土、水土保持、调节气候、维护区域生态景观等功能，项目建设征占土地则使其生态功能受到影响。因而在施工过程中要注意保护植被，减少植被破坏面积，并尽快恢复植被。</w:t>
      </w:r>
    </w:p>
    <w:p w14:paraId="58BAFA1B">
      <w:pPr>
        <w:ind w:firstLine="480" w:firstLineChars="200"/>
        <w:rPr>
          <w:color w:val="auto"/>
          <w:highlight w:val="none"/>
        </w:rPr>
      </w:pPr>
      <w:r>
        <w:rPr>
          <w:color w:val="auto"/>
          <w:highlight w:val="none"/>
        </w:rPr>
        <w:t>因此，尽管项目建设会使原有植被遭到局部损失，但不会使评价区植物群落的种类组成发生变化，也不会造成某种植物的消失。</w:t>
      </w:r>
    </w:p>
    <w:p w14:paraId="1BDB6F6D">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对动物的影响分析</w:t>
      </w:r>
    </w:p>
    <w:p w14:paraId="52733D76">
      <w:pPr>
        <w:ind w:firstLine="480" w:firstLineChars="200"/>
        <w:rPr>
          <w:color w:val="auto"/>
          <w:highlight w:val="none"/>
        </w:rPr>
      </w:pPr>
      <w:r>
        <w:rPr>
          <w:color w:val="auto"/>
          <w:highlight w:val="none"/>
        </w:rPr>
        <w:t>机场区域位于</w:t>
      </w:r>
      <w:r>
        <w:rPr>
          <w:rFonts w:hint="eastAsia"/>
          <w:color w:val="auto"/>
          <w:highlight w:val="none"/>
        </w:rPr>
        <w:t>农田绿洲区</w:t>
      </w:r>
      <w:r>
        <w:rPr>
          <w:color w:val="auto"/>
          <w:highlight w:val="none"/>
        </w:rPr>
        <w:t>，植被</w:t>
      </w:r>
      <w:r>
        <w:rPr>
          <w:rFonts w:hint="eastAsia"/>
          <w:color w:val="auto"/>
          <w:highlight w:val="none"/>
        </w:rPr>
        <w:t>以人工植被为主</w:t>
      </w:r>
      <w:r>
        <w:rPr>
          <w:color w:val="auto"/>
          <w:highlight w:val="none"/>
        </w:rPr>
        <w:t>，项目建设区域未发现珍稀野生动物，主要为常见物种，以小型的啮齿类、爬行类和鸟类为主，且无固定迁徙路线。施工期随着施工人员以及施工机械的干扰等，使</w:t>
      </w:r>
      <w:r>
        <w:rPr>
          <w:rFonts w:hint="eastAsia"/>
          <w:color w:val="auto"/>
          <w:highlight w:val="none"/>
        </w:rPr>
        <w:t>区域</w:t>
      </w:r>
      <w:r>
        <w:rPr>
          <w:color w:val="auto"/>
          <w:highlight w:val="none"/>
        </w:rPr>
        <w:t>周边</w:t>
      </w:r>
      <w:r>
        <w:rPr>
          <w:rFonts w:hint="eastAsia"/>
          <w:color w:val="auto"/>
          <w:highlight w:val="none"/>
        </w:rPr>
        <w:t>生态</w:t>
      </w:r>
      <w:r>
        <w:rPr>
          <w:color w:val="auto"/>
          <w:highlight w:val="none"/>
        </w:rPr>
        <w:t>环境发生改变，一些迁徙和活动能力较强的</w:t>
      </w:r>
      <w:r>
        <w:rPr>
          <w:rFonts w:hint="eastAsia"/>
          <w:color w:val="auto"/>
          <w:highlight w:val="none"/>
        </w:rPr>
        <w:t>动物</w:t>
      </w:r>
      <w:r>
        <w:rPr>
          <w:color w:val="auto"/>
          <w:highlight w:val="none"/>
        </w:rPr>
        <w:t>将离开施工建设区。项目建成后，随着植被的逐渐恢复，生态环境的好转，人为干扰逐渐减少，许多外迁的兽类会陆续回到原来的觅食地觅食。因而，施工对哺乳动物影响不大。</w:t>
      </w:r>
    </w:p>
    <w:p w14:paraId="4BD28CA3">
      <w:pPr>
        <w:ind w:firstLine="480" w:firstLineChars="200"/>
        <w:rPr>
          <w:rFonts w:hint="eastAsia"/>
          <w:color w:val="auto"/>
          <w:highlight w:val="none"/>
          <w:lang w:eastAsia="zh-CN"/>
        </w:rPr>
      </w:pPr>
      <w:r>
        <w:rPr>
          <w:color w:val="auto"/>
          <w:highlight w:val="none"/>
        </w:rPr>
        <w:t>对于大多数野生动物来说，最大的威胁来自其生境被分割、缩小、破坏和退化。评价区内动物资源的典型代表为鸟类。该区生态系统较为脆弱，在施工期间，项目建设将破坏原有生境，进而引起鸟类</w:t>
      </w:r>
      <w:r>
        <w:rPr>
          <w:rFonts w:hint="eastAsia"/>
          <w:color w:val="auto"/>
          <w:highlight w:val="none"/>
        </w:rPr>
        <w:t>栖息生境</w:t>
      </w:r>
      <w:r>
        <w:rPr>
          <w:color w:val="auto"/>
          <w:highlight w:val="none"/>
        </w:rPr>
        <w:t>及食物来源损失，对鸟类的栖息、活动与觅食会产生影响。同时，在施工过程中，频繁的人员活动、工程机械作业与车辆往来都会对在该区域活动的鸟类产生干扰</w:t>
      </w:r>
      <w:r>
        <w:rPr>
          <w:rFonts w:hint="eastAsia" w:eastAsia="宋体"/>
          <w:color w:val="auto"/>
          <w:highlight w:val="none"/>
          <w:lang w:eastAsia="zh-CN"/>
        </w:rPr>
        <w:t>。</w:t>
      </w:r>
    </w:p>
    <w:p w14:paraId="4CFB7726">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对自然景观的影响</w:t>
      </w:r>
    </w:p>
    <w:p w14:paraId="2C1EE03E">
      <w:pPr>
        <w:ind w:firstLine="480" w:firstLineChars="200"/>
        <w:rPr>
          <w:color w:val="auto"/>
          <w:highlight w:val="none"/>
        </w:rPr>
      </w:pPr>
      <w:r>
        <w:rPr>
          <w:color w:val="auto"/>
          <w:highlight w:val="none"/>
        </w:rPr>
        <w:t>拟建项目建设会对区域内</w:t>
      </w:r>
      <w:r>
        <w:rPr>
          <w:rFonts w:hint="eastAsia"/>
          <w:color w:val="auto"/>
          <w:highlight w:val="none"/>
        </w:rPr>
        <w:t>农田</w:t>
      </w:r>
      <w:r>
        <w:rPr>
          <w:color w:val="auto"/>
          <w:highlight w:val="none"/>
        </w:rPr>
        <w:t>景观产生一定的影响。建设期的土地平整等一系列施工活动，</w:t>
      </w:r>
      <w:r>
        <w:rPr>
          <w:rFonts w:hint="eastAsia"/>
          <w:color w:val="auto"/>
          <w:highlight w:val="none"/>
        </w:rPr>
        <w:t>改变</w:t>
      </w:r>
      <w:r>
        <w:rPr>
          <w:color w:val="auto"/>
          <w:highlight w:val="none"/>
        </w:rPr>
        <w:t>了原有的</w:t>
      </w:r>
      <w:r>
        <w:rPr>
          <w:rFonts w:hint="eastAsia"/>
          <w:color w:val="auto"/>
          <w:highlight w:val="none"/>
        </w:rPr>
        <w:t>农业农村</w:t>
      </w:r>
      <w:r>
        <w:rPr>
          <w:color w:val="auto"/>
          <w:highlight w:val="none"/>
        </w:rPr>
        <w:t>景观。随着与项目建设同步实施的一系列生态保护与恢复措施，进而改善了机场所在地及周边地区的生态环境，产生新的景观类型，使项目所在区域生态景观多样化，促进该地区景观生态系统向良性方向发展。</w:t>
      </w:r>
    </w:p>
    <w:p w14:paraId="088A7D50">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水土流失影响分析</w:t>
      </w:r>
    </w:p>
    <w:p w14:paraId="7002BE73">
      <w:pPr>
        <w:ind w:firstLine="480" w:firstLineChars="200"/>
        <w:rPr>
          <w:color w:val="auto"/>
          <w:highlight w:val="none"/>
        </w:rPr>
      </w:pPr>
      <w:r>
        <w:rPr>
          <w:color w:val="auto"/>
          <w:highlight w:val="none"/>
        </w:rPr>
        <w:t>项目建设对水土流失的影响主要是施工期由于场地处理、机械作业、土石方调运等，将对土壤结构造成破坏，导致土壤层或土方疏松，破坏了原生地表植被，在降雨和风力作业下容易发生水土流失。</w:t>
      </w:r>
    </w:p>
    <w:p w14:paraId="21F73C8D">
      <w:pPr>
        <w:ind w:firstLine="480" w:firstLineChars="200"/>
        <w:rPr>
          <w:rFonts w:hint="eastAsia"/>
          <w:color w:val="auto"/>
          <w:highlight w:val="none"/>
          <w:lang w:eastAsia="zh-CN"/>
        </w:rPr>
      </w:pPr>
      <w:r>
        <w:rPr>
          <w:color w:val="auto"/>
          <w:highlight w:val="none"/>
        </w:rPr>
        <w:t>施工中造成的水土流失，主要表现在：有风天气条件下，扬尘对环境的影响；雨天降水对施工地面、物料等冲刷造成的流失</w:t>
      </w:r>
      <w:r>
        <w:rPr>
          <w:rFonts w:hint="eastAsia"/>
          <w:color w:val="auto"/>
          <w:highlight w:val="none"/>
          <w:lang w:eastAsia="zh-CN"/>
        </w:rPr>
        <w:t>。</w:t>
      </w:r>
    </w:p>
    <w:p w14:paraId="52FFFA05">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对农田生态系统的影响</w:t>
      </w:r>
    </w:p>
    <w:p w14:paraId="0E343E99">
      <w:pPr>
        <w:ind w:firstLine="480" w:firstLineChars="200"/>
        <w:rPr>
          <w:rFonts w:hint="eastAsia"/>
          <w:color w:val="auto"/>
          <w:highlight w:val="none"/>
          <w:lang w:val="en-US" w:eastAsia="zh-CN"/>
        </w:rPr>
      </w:pPr>
      <w:r>
        <w:rPr>
          <w:rFonts w:hint="eastAsia"/>
          <w:color w:val="auto"/>
          <w:highlight w:val="none"/>
        </w:rPr>
        <w:t>机场建设是一个大型</w:t>
      </w:r>
      <w:r>
        <w:rPr>
          <w:rFonts w:hint="eastAsia"/>
          <w:color w:val="auto"/>
          <w:highlight w:val="none"/>
          <w:lang w:val="en-US" w:eastAsia="zh-CN"/>
        </w:rPr>
        <w:t>点、面</w:t>
      </w:r>
      <w:r>
        <w:rPr>
          <w:rFonts w:hint="eastAsia"/>
          <w:color w:val="auto"/>
          <w:highlight w:val="none"/>
        </w:rPr>
        <w:t>状综合工程，其建设和运营会对周边的农田生态系统产生多方面的、复合性的影响</w:t>
      </w:r>
      <w:r>
        <w:rPr>
          <w:rFonts w:hint="eastAsia"/>
          <w:color w:val="auto"/>
          <w:highlight w:val="none"/>
          <w:lang w:eastAsia="zh-CN"/>
        </w:rPr>
        <w:t>。机场的跑道、航站楼、停机坪、联络道等核心设施将直接永久占用大量</w:t>
      </w:r>
      <w:r>
        <w:rPr>
          <w:rFonts w:hint="eastAsia"/>
          <w:color w:val="auto"/>
          <w:highlight w:val="none"/>
          <w:lang w:val="en-US" w:eastAsia="zh-CN"/>
        </w:rPr>
        <w:t>农业用</w:t>
      </w:r>
      <w:r>
        <w:rPr>
          <w:rFonts w:hint="eastAsia"/>
          <w:color w:val="auto"/>
          <w:highlight w:val="none"/>
          <w:lang w:eastAsia="zh-CN"/>
        </w:rPr>
        <w:t>地，导致农田资源的永久丧失，高生产力的良田被水泥、沥青所覆盖，失去其农业生产功能。大面积连续的农田被切割成不连续的斑块，破坏了生态系统的完整性和连通性，影响区域内物种的</w:t>
      </w:r>
      <w:r>
        <w:rPr>
          <w:rFonts w:hint="eastAsia"/>
          <w:color w:val="auto"/>
          <w:highlight w:val="none"/>
          <w:lang w:val="en-US" w:eastAsia="zh-CN"/>
        </w:rPr>
        <w:t>活动</w:t>
      </w:r>
      <w:r>
        <w:rPr>
          <w:rFonts w:hint="eastAsia"/>
          <w:color w:val="auto"/>
          <w:highlight w:val="none"/>
          <w:lang w:eastAsia="zh-CN"/>
        </w:rPr>
        <w:t>和交流。经过长期耕作形成的耕作层被彻底压埋或剥离，这种资源是不可逆的</w:t>
      </w:r>
      <w:r>
        <w:rPr>
          <w:rFonts w:hint="eastAsia"/>
          <w:color w:val="auto"/>
          <w:highlight w:val="none"/>
          <w:lang w:val="en-US" w:eastAsia="zh-CN"/>
        </w:rPr>
        <w:t>。</w:t>
      </w:r>
    </w:p>
    <w:p w14:paraId="4B76AA12">
      <w:pPr>
        <w:ind w:firstLine="480" w:firstLineChars="200"/>
        <w:rPr>
          <w:color w:val="auto"/>
          <w:highlight w:val="none"/>
        </w:rPr>
      </w:pPr>
      <w:r>
        <w:rPr>
          <w:rFonts w:hint="eastAsia"/>
          <w:color w:val="auto"/>
          <w:highlight w:val="none"/>
          <w:lang w:val="en-US" w:eastAsia="zh-CN"/>
        </w:rPr>
        <w:t>此外，土方工程、场地平整会破坏地表植被和土壤结构，在降雨条件下极易引发严重的水土流失，导致土壤肥力流失，并可能淤塞附近的农田灌溉沟渠。施工产生的粉尘会大面积沉降在周边的农田上，覆盖作物叶片，影响其光合作用，导致作物减产和品质下降。施工机械的噪声和振动会干扰周边农业区域的野生动物（如鸟类、传粉昆虫等），也可能对家畜的生长产生影响。施工废水若管理不当，可能含有油污、化学试剂等，流入农田灌溉系统会污染土壤和农作物。</w:t>
      </w:r>
    </w:p>
    <w:p w14:paraId="228D715C">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运营期生态环境影响分析</w:t>
      </w:r>
    </w:p>
    <w:p w14:paraId="3D49EE69">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鸟类影响分析</w:t>
      </w:r>
    </w:p>
    <w:p w14:paraId="08503868">
      <w:pPr>
        <w:ind w:firstLine="480" w:firstLineChars="200"/>
        <w:rPr>
          <w:color w:val="auto"/>
          <w:highlight w:val="none"/>
        </w:rPr>
      </w:pPr>
      <w:r>
        <w:rPr>
          <w:color w:val="auto"/>
          <w:highlight w:val="none"/>
        </w:rPr>
        <w:t>机场运营期间，飞机噪声会对小型鸟类产生一定的不良影响，会因鸟类经过一定时间的适应而减弱。</w:t>
      </w:r>
    </w:p>
    <w:p w14:paraId="45FC28D7">
      <w:pPr>
        <w:ind w:firstLine="480" w:firstLineChars="200"/>
        <w:rPr>
          <w:color w:val="auto"/>
          <w:highlight w:val="none"/>
        </w:rPr>
      </w:pPr>
      <w:r>
        <w:rPr>
          <w:color w:val="auto"/>
          <w:highlight w:val="none"/>
        </w:rPr>
        <w:t>此外，封闭的飞行区和人工驱逐会对鸟类的移动产生阻隔，但大部分动物移动能力较强，飞行区的阻隔对其影响也较小。</w:t>
      </w:r>
    </w:p>
    <w:p w14:paraId="49102876">
      <w:pPr>
        <w:keepNext w:val="0"/>
        <w:keepLines w:val="0"/>
        <w:pageBreakBefore w:val="0"/>
        <w:widowControl w:val="0"/>
        <w:kinsoku/>
        <w:wordWrap/>
        <w:overflowPunct/>
        <w:topLinePunct w:val="0"/>
        <w:autoSpaceDE/>
        <w:autoSpaceDN/>
        <w:bidi w:val="0"/>
        <w:adjustRightInd/>
        <w:snapToGrid/>
        <w:ind w:right="6" w:firstLine="482"/>
        <w:textAlignment w:val="auto"/>
        <w:outlineLvl w:val="4"/>
        <w:rPr>
          <w:rFonts w:hint="eastAsia" w:eastAsia="宋体"/>
          <w:b/>
          <w:bCs/>
          <w:color w:val="auto"/>
          <w:highlight w:val="none"/>
          <w:lang w:val="en-US" w:eastAsia="zh-CN"/>
        </w:rPr>
      </w:pPr>
      <w:r>
        <w:rPr>
          <w:b/>
          <w:bCs/>
          <w:color w:val="auto"/>
          <w:highlight w:val="none"/>
        </w:rPr>
        <w:t>（</w:t>
      </w:r>
      <w:r>
        <w:rPr>
          <w:rFonts w:eastAsia="Times New Roman"/>
          <w:b/>
          <w:bCs/>
          <w:color w:val="auto"/>
          <w:highlight w:val="none"/>
        </w:rPr>
        <w:t>1</w:t>
      </w:r>
      <w:r>
        <w:rPr>
          <w:b/>
          <w:bCs/>
          <w:color w:val="auto"/>
          <w:highlight w:val="none"/>
        </w:rPr>
        <w:t>）</w:t>
      </w:r>
      <w:r>
        <w:rPr>
          <w:rFonts w:hint="eastAsia"/>
          <w:b/>
          <w:bCs/>
          <w:color w:val="auto"/>
          <w:highlight w:val="none"/>
        </w:rPr>
        <w:t>对鸟类栖息生境的影响</w:t>
      </w:r>
      <w:r>
        <w:rPr>
          <w:rFonts w:hint="eastAsia" w:ascii="Times New Roman" w:eastAsia="宋体"/>
          <w:b/>
          <w:bCs/>
          <w:color w:val="auto"/>
          <w:highlight w:val="none"/>
          <w:lang w:val="en-US" w:eastAsia="zh-CN"/>
        </w:rPr>
        <w:t>分析</w:t>
      </w:r>
    </w:p>
    <w:p w14:paraId="5DE0D938">
      <w:pPr>
        <w:ind w:firstLine="480" w:firstLineChars="200"/>
        <w:rPr>
          <w:rFonts w:hint="eastAsia" w:eastAsia="宋体"/>
          <w:color w:val="auto"/>
          <w:highlight w:val="none"/>
          <w:lang w:eastAsia="zh-CN"/>
        </w:rPr>
      </w:pPr>
      <w:r>
        <w:rPr>
          <w:rFonts w:hint="eastAsia"/>
          <w:color w:val="auto"/>
          <w:highlight w:val="none"/>
        </w:rPr>
        <w:t>机场建成后，项目区及周边鸟类适栖地环境势必会发生显著的变化，即从原有耕地、林地、草地等生境变为人工建筑等。这一环境变化势必使得鸟类群落结构的相应变化，如原先分布在该区域的鸟类（如麻雀等）种群数量可能会有所减少</w:t>
      </w:r>
      <w:r>
        <w:rPr>
          <w:rFonts w:hint="eastAsia" w:eastAsia="宋体"/>
          <w:color w:val="auto"/>
          <w:highlight w:val="none"/>
          <w:lang w:eastAsia="zh-CN"/>
        </w:rPr>
        <w:t>。</w:t>
      </w:r>
    </w:p>
    <w:p w14:paraId="214B2397">
      <w:pPr>
        <w:ind w:firstLine="480" w:firstLineChars="200"/>
        <w:rPr>
          <w:rFonts w:hint="eastAsia" w:eastAsia="宋体"/>
          <w:color w:val="auto"/>
          <w:highlight w:val="none"/>
          <w:lang w:eastAsia="zh-CN"/>
        </w:rPr>
      </w:pPr>
      <w:r>
        <w:rPr>
          <w:rFonts w:hint="eastAsia" w:eastAsia="宋体"/>
          <w:color w:val="auto"/>
          <w:highlight w:val="none"/>
          <w:lang w:eastAsia="zh-CN"/>
        </w:rPr>
        <w:t>尽管项目建设会使原有植被遭到局部损失，但不会使评价区植物群落的种类组成发生变化，也不会造成某种植物的消失。对于动物，尤其是鸟类，项目建设将破坏原有生境，进而引起鸟类</w:t>
      </w:r>
      <w:r>
        <w:rPr>
          <w:rFonts w:hint="eastAsia"/>
          <w:color w:val="auto"/>
          <w:highlight w:val="none"/>
          <w:lang w:val="en-US" w:eastAsia="zh-CN"/>
        </w:rPr>
        <w:t>生境</w:t>
      </w:r>
      <w:r>
        <w:rPr>
          <w:rFonts w:hint="eastAsia" w:eastAsia="宋体"/>
          <w:color w:val="auto"/>
          <w:highlight w:val="none"/>
          <w:lang w:eastAsia="zh-CN"/>
        </w:rPr>
        <w:t>及食物来源损失，对鸟类的栖息、活动与觅食会产生影响。科学选择开工建设时间，实施环境监理，签订保护鸟类协议，做好鸟情观测，加强施工人员环保教育等。运营期措施包括减少营巢、切断食物源、水源、干扰鸟类活动等方法，达到减少机场鸟类种类、数量和防范鸟撞的目的。所以通过采取适当的保护措施和环境管理，可以减轻对鸟类种群和生态环境的影响，实现环境保护与机场建设的协调发展。</w:t>
      </w:r>
    </w:p>
    <w:p w14:paraId="10E43763">
      <w:pPr>
        <w:keepNext w:val="0"/>
        <w:keepLines w:val="0"/>
        <w:pageBreakBefore w:val="0"/>
        <w:widowControl w:val="0"/>
        <w:kinsoku/>
        <w:wordWrap/>
        <w:overflowPunct/>
        <w:topLinePunct w:val="0"/>
        <w:autoSpaceDE/>
        <w:autoSpaceDN/>
        <w:bidi w:val="0"/>
        <w:adjustRightInd/>
        <w:snapToGrid/>
        <w:ind w:right="6" w:firstLine="482"/>
        <w:textAlignment w:val="auto"/>
        <w:outlineLvl w:val="4"/>
        <w:rPr>
          <w:b/>
          <w:bCs/>
          <w:color w:val="auto"/>
          <w:highlight w:val="none"/>
        </w:rPr>
      </w:pPr>
      <w:r>
        <w:rPr>
          <w:b/>
          <w:bCs/>
          <w:color w:val="auto"/>
          <w:highlight w:val="none"/>
        </w:rPr>
        <w:t>（</w:t>
      </w:r>
      <w:r>
        <w:rPr>
          <w:rFonts w:hint="eastAsia"/>
          <w:b/>
          <w:bCs/>
          <w:color w:val="auto"/>
          <w:highlight w:val="none"/>
          <w:lang w:val="en-US" w:eastAsia="zh-CN"/>
        </w:rPr>
        <w:t>2</w:t>
      </w:r>
      <w:r>
        <w:rPr>
          <w:b/>
          <w:bCs/>
          <w:color w:val="auto"/>
          <w:highlight w:val="none"/>
        </w:rPr>
        <w:t>）</w:t>
      </w:r>
      <w:r>
        <w:rPr>
          <w:rFonts w:hint="eastAsia"/>
          <w:b/>
          <w:bCs/>
          <w:color w:val="auto"/>
          <w:highlight w:val="none"/>
          <w:lang w:val="en-US" w:eastAsia="zh-CN"/>
        </w:rPr>
        <w:t>航空器</w:t>
      </w:r>
      <w:r>
        <w:rPr>
          <w:b/>
          <w:bCs/>
          <w:color w:val="auto"/>
          <w:highlight w:val="none"/>
        </w:rPr>
        <w:t>噪声对鸟类的影响分析</w:t>
      </w:r>
    </w:p>
    <w:p w14:paraId="0664E37A">
      <w:pPr>
        <w:ind w:firstLine="480" w:firstLineChars="200"/>
        <w:rPr>
          <w:color w:val="auto"/>
          <w:highlight w:val="none"/>
        </w:rPr>
      </w:pPr>
      <w:r>
        <w:rPr>
          <w:rFonts w:hint="eastAsia" w:ascii="Times New Roman" w:hAnsi="Times New Roman" w:eastAsia="宋体" w:cs="Times New Roman"/>
          <w:color w:val="auto"/>
          <w:highlight w:val="none"/>
        </w:rPr>
        <w:t>航空器噪声会对鸟类的生活产生一定的影响。环境中高强度噪声会与鸟类鸣声在频率、振幅和时间上产生冲突，会掩盖鸟类的声音信号并夹杂进一些冗余信号，使信息交流困难并随声音传播距离延长，</w:t>
      </w:r>
      <w:r>
        <w:rPr>
          <w:rFonts w:hint="eastAsia" w:cs="Times New Roman"/>
          <w:color w:val="auto"/>
          <w:highlight w:val="none"/>
          <w:lang w:eastAsia="zh-CN"/>
        </w:rPr>
        <w:t>噪声</w:t>
      </w:r>
      <w:r>
        <w:rPr>
          <w:rFonts w:hint="eastAsia" w:ascii="Times New Roman" w:hAnsi="Times New Roman" w:eastAsia="宋体" w:cs="Times New Roman"/>
          <w:color w:val="auto"/>
          <w:highlight w:val="none"/>
        </w:rPr>
        <w:t>干扰逐渐明显，造成鸟类彼此之间的识别能力下降进而影响繁殖力及适合度、种群数量、群落组成。机场在运营期初期，周围的鸟类受到飞机强噪声的惊吓而飞离机场区域，影响鸟类的正常活动。但这种影响是暂时的，随着运营时间的延长，鸟类逐渐对噪声产生适应性，从而恢复其正常的生活习性（Foppen</w:t>
      </w:r>
      <w:r>
        <w:rPr>
          <w:rFonts w:hint="eastAsia" w:cs="Times New Roman"/>
          <w:color w:val="auto"/>
          <w:highlight w:val="none"/>
          <w:lang w:val="en-US" w:eastAsia="zh-CN"/>
        </w:rPr>
        <w:t xml:space="preserve"> </w:t>
      </w:r>
      <w:r>
        <w:rPr>
          <w:rFonts w:hint="eastAsia" w:ascii="Times New Roman" w:hAnsi="Times New Roman" w:eastAsia="宋体" w:cs="Times New Roman"/>
          <w:color w:val="auto"/>
          <w:highlight w:val="none"/>
        </w:rPr>
        <w:t>&amp;Reijn1994;Peris&amp;Pescedor2004;Slabbekoorn</w:t>
      </w:r>
      <w:r>
        <w:rPr>
          <w:rFonts w:hint="eastAsia" w:cs="Times New Roman"/>
          <w:color w:val="auto"/>
          <w:highlight w:val="none"/>
          <w:lang w:val="en-US" w:eastAsia="zh-CN"/>
        </w:rPr>
        <w:t xml:space="preserve"> </w:t>
      </w:r>
      <w:r>
        <w:rPr>
          <w:rFonts w:hint="eastAsia" w:ascii="Times New Roman" w:hAnsi="Times New Roman" w:eastAsia="宋体" w:cs="Times New Roman"/>
          <w:color w:val="auto"/>
          <w:highlight w:val="none"/>
        </w:rPr>
        <w:t>&amp;Halfwerk2009</w:t>
      </w:r>
      <w:r>
        <w:rPr>
          <w:rFonts w:hint="eastAsia" w:cs="Times New Roman"/>
          <w:color w:val="auto"/>
          <w:highlight w:val="none"/>
          <w:lang w:eastAsia="zh-CN"/>
        </w:rPr>
        <w:t>）</w:t>
      </w:r>
      <w:r>
        <w:rPr>
          <w:rFonts w:hint="eastAsia" w:ascii="Times New Roman" w:hAnsi="Times New Roman" w:eastAsia="宋体" w:cs="Times New Roman"/>
          <w:color w:val="auto"/>
          <w:highlight w:val="none"/>
        </w:rPr>
        <w:t>。国内外机场普遍采用的声音驱鸟措施，正是基于鸟类对重复噪声刺激可能产生适应性这一原理。但是，机场的</w:t>
      </w:r>
      <w:r>
        <w:rPr>
          <w:rFonts w:hint="eastAsia" w:cs="Times New Roman"/>
          <w:color w:val="auto"/>
          <w:highlight w:val="none"/>
          <w:lang w:val="en-US" w:eastAsia="zh-CN"/>
        </w:rPr>
        <w:t>航空器噪声</w:t>
      </w:r>
      <w:r>
        <w:rPr>
          <w:rFonts w:hint="eastAsia" w:ascii="Times New Roman" w:hAnsi="Times New Roman" w:eastAsia="宋体" w:cs="Times New Roman"/>
          <w:color w:val="auto"/>
          <w:highlight w:val="none"/>
        </w:rPr>
        <w:t>并不足以影响到周边鸟类的栖息生活。原因如下</w:t>
      </w:r>
      <w:r>
        <w:rPr>
          <w:color w:val="auto"/>
          <w:highlight w:val="none"/>
        </w:rPr>
        <w:t>：</w:t>
      </w:r>
    </w:p>
    <w:p w14:paraId="49CA2F0C">
      <w:pPr>
        <w:ind w:firstLine="480" w:firstLineChars="200"/>
        <w:rPr>
          <w:color w:val="auto"/>
          <w:highlight w:val="none"/>
        </w:rPr>
      </w:pPr>
      <w:r>
        <w:rPr>
          <w:rFonts w:hint="eastAsia" w:ascii="宋体" w:hAnsi="宋体" w:cs="宋体"/>
          <w:color w:val="auto"/>
          <w:highlight w:val="none"/>
        </w:rPr>
        <w:t>①</w:t>
      </w:r>
      <w:r>
        <w:rPr>
          <w:color w:val="auto"/>
          <w:highlight w:val="none"/>
        </w:rPr>
        <w:t>鸟类对经常发生的声音刺激会有习惯化行为。根据在乌鲁木齐地窝堡国际机场的观察表明，漠䳭</w:t>
      </w:r>
      <w:r>
        <w:rPr>
          <w:rFonts w:hint="eastAsia"/>
          <w:color w:val="auto"/>
          <w:highlight w:val="none"/>
          <w:lang w:eastAsia="zh-CN"/>
        </w:rPr>
        <w:t>（jí）</w:t>
      </w:r>
      <w:r>
        <w:rPr>
          <w:color w:val="auto"/>
          <w:highlight w:val="none"/>
        </w:rPr>
        <w:t>经常在跑道旁</w:t>
      </w:r>
      <w:r>
        <w:rPr>
          <w:rFonts w:eastAsia="Times New Roman"/>
          <w:color w:val="auto"/>
          <w:highlight w:val="none"/>
        </w:rPr>
        <w:t>10m</w:t>
      </w:r>
      <w:r>
        <w:rPr>
          <w:color w:val="auto"/>
          <w:highlight w:val="none"/>
        </w:rPr>
        <w:t>处的信号彩带上停留，对近在咫尺、频繁起降、发出巨大噪声的庞然大物飞机视若无睹。研究人员曾在其他机场观察到有云雀在距离机场跑道不足</w:t>
      </w:r>
      <w:r>
        <w:rPr>
          <w:rFonts w:eastAsia="Times New Roman"/>
          <w:color w:val="auto"/>
          <w:highlight w:val="none"/>
        </w:rPr>
        <w:t>5m</w:t>
      </w:r>
      <w:r>
        <w:rPr>
          <w:color w:val="auto"/>
          <w:highlight w:val="none"/>
        </w:rPr>
        <w:t>的绿地上筑巢，幼鸟都能成功孵化并</w:t>
      </w:r>
      <w:r>
        <w:rPr>
          <w:rFonts w:hint="eastAsia"/>
          <w:color w:val="auto"/>
          <w:highlight w:val="none"/>
          <w:lang w:eastAsia="zh-CN"/>
        </w:rPr>
        <w:t>飞出</w:t>
      </w:r>
      <w:r>
        <w:rPr>
          <w:color w:val="auto"/>
          <w:highlight w:val="none"/>
        </w:rPr>
        <w:t>；距离跑道</w:t>
      </w:r>
      <w:r>
        <w:rPr>
          <w:rFonts w:eastAsia="Times New Roman"/>
          <w:color w:val="auto"/>
          <w:highlight w:val="none"/>
        </w:rPr>
        <w:t>100m</w:t>
      </w:r>
      <w:r>
        <w:rPr>
          <w:color w:val="auto"/>
          <w:highlight w:val="none"/>
        </w:rPr>
        <w:t>左右的水塘中游泳的绿头鸭、水边取食的黑翅长脚鹬等鸟类对飞机起降几乎毫不在乎；距离铁路</w:t>
      </w:r>
      <w:r>
        <w:rPr>
          <w:rFonts w:eastAsia="Times New Roman"/>
          <w:color w:val="auto"/>
          <w:highlight w:val="none"/>
        </w:rPr>
        <w:t>20m</w:t>
      </w:r>
      <w:r>
        <w:rPr>
          <w:color w:val="auto"/>
          <w:highlight w:val="none"/>
        </w:rPr>
        <w:t>以内的红尾伯劳巢中雏鸟发育和距离铁路较远（</w:t>
      </w:r>
      <w:r>
        <w:rPr>
          <w:rFonts w:eastAsia="Times New Roman"/>
          <w:color w:val="auto"/>
          <w:highlight w:val="none"/>
        </w:rPr>
        <w:t>200m</w:t>
      </w:r>
      <w:r>
        <w:rPr>
          <w:color w:val="auto"/>
          <w:highlight w:val="none"/>
        </w:rPr>
        <w:t>以上）的巢中雏鸟发育没有显著的差异。但很多正在飞翔的鸟类对飞机以及其他</w:t>
      </w:r>
      <w:r>
        <w:rPr>
          <w:rFonts w:hint="eastAsia"/>
          <w:color w:val="auto"/>
          <w:highlight w:val="none"/>
          <w:lang w:eastAsia="zh-CN"/>
        </w:rPr>
        <w:t>噪声</w:t>
      </w:r>
      <w:r>
        <w:rPr>
          <w:color w:val="auto"/>
          <w:highlight w:val="none"/>
        </w:rPr>
        <w:t>会做出躲避行为，这也是目前大多数机场采用声音驱鸟的原因。</w:t>
      </w:r>
    </w:p>
    <w:p w14:paraId="55E84571">
      <w:pPr>
        <w:ind w:firstLine="480" w:firstLineChars="200"/>
        <w:rPr>
          <w:color w:val="auto"/>
          <w:highlight w:val="none"/>
        </w:rPr>
      </w:pPr>
      <w:r>
        <w:rPr>
          <w:rFonts w:hint="eastAsia" w:ascii="宋体" w:hAnsi="宋体" w:cs="宋体"/>
          <w:color w:val="auto"/>
          <w:highlight w:val="none"/>
        </w:rPr>
        <w:t>②</w:t>
      </w:r>
      <w:r>
        <w:rPr>
          <w:color w:val="auto"/>
          <w:highlight w:val="none"/>
        </w:rPr>
        <w:t>持续等量的</w:t>
      </w:r>
      <w:r>
        <w:rPr>
          <w:rFonts w:hint="eastAsia"/>
          <w:color w:val="auto"/>
          <w:highlight w:val="none"/>
          <w:lang w:eastAsia="zh-CN"/>
        </w:rPr>
        <w:t>噪声</w:t>
      </w:r>
      <w:r>
        <w:rPr>
          <w:color w:val="auto"/>
          <w:highlight w:val="none"/>
        </w:rPr>
        <w:t>会对鸟类产生较大的影响</w:t>
      </w:r>
      <w:r>
        <w:rPr>
          <w:rFonts w:hint="eastAsia"/>
          <w:color w:val="auto"/>
          <w:highlight w:val="none"/>
          <w:lang w:eastAsia="zh-CN"/>
        </w:rPr>
        <w:t>（</w:t>
      </w:r>
      <w:r>
        <w:rPr>
          <w:color w:val="auto"/>
          <w:highlight w:val="none"/>
        </w:rPr>
        <w:t>荷兰学者经过近</w:t>
      </w:r>
      <w:r>
        <w:rPr>
          <w:rFonts w:eastAsia="Times New Roman"/>
          <w:color w:val="auto"/>
          <w:highlight w:val="none"/>
        </w:rPr>
        <w:t>10</w:t>
      </w:r>
      <w:r>
        <w:rPr>
          <w:color w:val="auto"/>
          <w:highlight w:val="none"/>
        </w:rPr>
        <w:t>年对</w:t>
      </w:r>
      <w:r>
        <w:rPr>
          <w:rFonts w:eastAsia="Times New Roman"/>
          <w:color w:val="auto"/>
          <w:highlight w:val="none"/>
        </w:rPr>
        <w:t>43</w:t>
      </w:r>
      <w:r>
        <w:rPr>
          <w:color w:val="auto"/>
          <w:highlight w:val="none"/>
        </w:rPr>
        <w:t>种鸟类的观察得出交通噪声可能影响鸟类繁殖率，当等效连续</w:t>
      </w:r>
      <w:r>
        <w:rPr>
          <w:rFonts w:eastAsia="Times New Roman"/>
          <w:color w:val="auto"/>
          <w:highlight w:val="none"/>
        </w:rPr>
        <w:t>A</w:t>
      </w:r>
      <w:r>
        <w:rPr>
          <w:color w:val="auto"/>
          <w:highlight w:val="none"/>
        </w:rPr>
        <w:t>声级</w:t>
      </w:r>
      <w:r>
        <w:rPr>
          <w:rFonts w:eastAsia="Times New Roman"/>
          <w:color w:val="auto"/>
          <w:highlight w:val="none"/>
        </w:rPr>
        <w:t>L</w:t>
      </w:r>
      <w:r>
        <w:rPr>
          <w:rFonts w:eastAsia="Times New Roman"/>
          <w:color w:val="auto"/>
          <w:highlight w:val="none"/>
          <w:vertAlign w:val="subscript"/>
        </w:rPr>
        <w:t>Aeq</w:t>
      </w:r>
      <w:r>
        <w:rPr>
          <w:color w:val="auto"/>
          <w:highlight w:val="none"/>
        </w:rPr>
        <w:t>，</w:t>
      </w:r>
      <w:r>
        <w:rPr>
          <w:rFonts w:eastAsia="Times New Roman"/>
          <w:color w:val="auto"/>
          <w:highlight w:val="none"/>
        </w:rPr>
        <w:t>24h</w:t>
      </w:r>
      <w:r>
        <w:rPr>
          <w:color w:val="auto"/>
          <w:highlight w:val="none"/>
        </w:rPr>
        <w:t>超过</w:t>
      </w:r>
      <w:r>
        <w:rPr>
          <w:rFonts w:eastAsia="Times New Roman"/>
          <w:color w:val="auto"/>
          <w:highlight w:val="none"/>
        </w:rPr>
        <w:t>50dB</w:t>
      </w:r>
      <w:r>
        <w:rPr>
          <w:color w:val="auto"/>
          <w:highlight w:val="none"/>
        </w:rPr>
        <w:t>时，</w:t>
      </w:r>
      <w:r>
        <w:rPr>
          <w:rFonts w:hint="eastAsia"/>
          <w:color w:val="auto"/>
          <w:highlight w:val="none"/>
        </w:rPr>
        <w:t>栖息生境</w:t>
      </w:r>
      <w:r>
        <w:rPr>
          <w:color w:val="auto"/>
          <w:highlight w:val="none"/>
        </w:rPr>
        <w:t>的鸟类繁殖密度下降，下降率为</w:t>
      </w:r>
      <w:r>
        <w:rPr>
          <w:rFonts w:eastAsia="Times New Roman"/>
          <w:color w:val="auto"/>
          <w:highlight w:val="none"/>
        </w:rPr>
        <w:t>20%~98%</w:t>
      </w:r>
      <w:r>
        <w:rPr>
          <w:rFonts w:hint="eastAsia" w:eastAsia="宋体"/>
          <w:color w:val="auto"/>
          <w:highlight w:val="none"/>
          <w:lang w:eastAsia="zh-CN"/>
        </w:rPr>
        <w:t>）</w:t>
      </w:r>
      <w:r>
        <w:rPr>
          <w:color w:val="auto"/>
          <w:highlight w:val="none"/>
        </w:rPr>
        <w:t>。但是，这种持续等量的</w:t>
      </w:r>
      <w:r>
        <w:rPr>
          <w:rFonts w:hint="eastAsia"/>
          <w:color w:val="auto"/>
          <w:highlight w:val="none"/>
          <w:lang w:eastAsia="zh-CN"/>
        </w:rPr>
        <w:t>噪声</w:t>
      </w:r>
      <w:r>
        <w:rPr>
          <w:color w:val="auto"/>
          <w:highlight w:val="none"/>
        </w:rPr>
        <w:t>机场很少会出现。机场停机坪上的飞机以及机场的声音驱鸟设备也不会有这样的</w:t>
      </w:r>
      <w:r>
        <w:rPr>
          <w:rFonts w:hint="eastAsia"/>
          <w:color w:val="auto"/>
          <w:highlight w:val="none"/>
          <w:lang w:eastAsia="zh-CN"/>
        </w:rPr>
        <w:t>噪声</w:t>
      </w:r>
      <w:r>
        <w:rPr>
          <w:color w:val="auto"/>
          <w:highlight w:val="none"/>
        </w:rPr>
        <w:t>效果。目前机场的声音驱鸟设备也很少会影响到机场</w:t>
      </w:r>
      <w:r>
        <w:rPr>
          <w:rFonts w:eastAsia="Times New Roman"/>
          <w:color w:val="auto"/>
          <w:highlight w:val="none"/>
        </w:rPr>
        <w:t>1km</w:t>
      </w:r>
      <w:r>
        <w:rPr>
          <w:color w:val="auto"/>
          <w:highlight w:val="none"/>
        </w:rPr>
        <w:t>以外的鸟。</w:t>
      </w:r>
    </w:p>
    <w:p w14:paraId="2B3CD747">
      <w:pPr>
        <w:ind w:firstLine="480" w:firstLineChars="200"/>
        <w:rPr>
          <w:color w:val="auto"/>
          <w:highlight w:val="none"/>
        </w:rPr>
      </w:pPr>
      <w:r>
        <w:rPr>
          <w:color w:val="auto"/>
          <w:highlight w:val="none"/>
        </w:rPr>
        <w:t>综上所述，机场以及飞机噪音对鸟类的影响极为有限。</w:t>
      </w:r>
    </w:p>
    <w:p w14:paraId="2B05E585">
      <w:pPr>
        <w:keepNext w:val="0"/>
        <w:keepLines w:val="0"/>
        <w:pageBreakBefore w:val="0"/>
        <w:widowControl w:val="0"/>
        <w:kinsoku/>
        <w:wordWrap/>
        <w:overflowPunct/>
        <w:topLinePunct w:val="0"/>
        <w:autoSpaceDE/>
        <w:autoSpaceDN/>
        <w:bidi w:val="0"/>
        <w:adjustRightInd/>
        <w:snapToGrid/>
        <w:ind w:right="6" w:firstLine="482"/>
        <w:textAlignment w:val="auto"/>
        <w:outlineLvl w:val="4"/>
        <w:rPr>
          <w:rFonts w:hint="eastAsia"/>
          <w:b/>
          <w:bCs/>
          <w:color w:val="auto"/>
          <w:highlight w:val="none"/>
          <w:lang w:val="en-US" w:eastAsia="zh-CN"/>
        </w:rPr>
      </w:pPr>
      <w:r>
        <w:rPr>
          <w:b/>
          <w:bCs/>
          <w:color w:val="auto"/>
          <w:highlight w:val="none"/>
        </w:rPr>
        <w:t>（</w:t>
      </w:r>
      <w:r>
        <w:rPr>
          <w:rFonts w:hint="eastAsia"/>
          <w:b/>
          <w:bCs/>
          <w:color w:val="auto"/>
          <w:highlight w:val="none"/>
          <w:lang w:val="en-US" w:eastAsia="zh-CN"/>
        </w:rPr>
        <w:t>3</w:t>
      </w:r>
      <w:r>
        <w:rPr>
          <w:b/>
          <w:bCs/>
          <w:color w:val="auto"/>
          <w:highlight w:val="none"/>
        </w:rPr>
        <w:t>）</w:t>
      </w:r>
      <w:r>
        <w:rPr>
          <w:rFonts w:hint="eastAsia"/>
          <w:b/>
          <w:bCs/>
          <w:color w:val="auto"/>
          <w:highlight w:val="none"/>
        </w:rPr>
        <w:t>飞机起降对鸟类的影响</w:t>
      </w:r>
      <w:r>
        <w:rPr>
          <w:rFonts w:hint="eastAsia"/>
          <w:b/>
          <w:bCs/>
          <w:color w:val="auto"/>
          <w:highlight w:val="none"/>
          <w:lang w:val="en-US" w:eastAsia="zh-CN"/>
        </w:rPr>
        <w:t>分析</w:t>
      </w:r>
    </w:p>
    <w:p w14:paraId="62895A22">
      <w:pPr>
        <w:ind w:firstLine="480" w:firstLineChars="200"/>
        <w:rPr>
          <w:rFonts w:hint="eastAsia"/>
          <w:color w:val="auto"/>
          <w:highlight w:val="none"/>
          <w:lang w:eastAsia="zh-CN"/>
        </w:rPr>
      </w:pPr>
      <w:r>
        <w:rPr>
          <w:rFonts w:hint="eastAsia" w:eastAsia="宋体"/>
          <w:color w:val="auto"/>
          <w:highlight w:val="none"/>
          <w:lang w:eastAsia="zh-CN"/>
        </w:rPr>
        <w:t>根据历年来《中国民航鸟击航空器信息分析报告》，鸟击与历史数据的季节规律基本相同，即鸟击于春、夏、秋三季高发，尤其以秋季最为突出。这与我国常见鸟类的繁殖、迁徙等鸟类行为活动规律相符，季节规律明显。在不同季节，鸟类行为会表现出相当大的差异，如繁殖期的鸟类与迁徙、越冬期的鸟类行为差异较大，而繁殖期的鸟类在筑巢、孵卵、育雏等各个繁殖阶段表现出的行为差异也非常大。在鸟类繁殖或越冬前期开展驱赶措施效果较好，应作为驱赶的关键时期；鸟类集群越冬或繁殖、繁殖后期雏鸟活动多等情况需重点防范。因此应当针对各时期鸟类的行为特点采取针对性防范措施。其次，夜间鸟击在春、秋季节高发，尤其在春季（3、4、5月）、秋季（8、9、10月）最为突出。除鸮</w:t>
      </w:r>
      <w:r>
        <w:rPr>
          <w:rFonts w:hint="eastAsia"/>
          <w:color w:val="auto"/>
          <w:highlight w:val="none"/>
          <w:lang w:eastAsia="zh-CN"/>
        </w:rPr>
        <w:t>（</w:t>
      </w:r>
      <w:r>
        <w:rPr>
          <w:rFonts w:hint="default" w:ascii="Times New Roman" w:hAnsi="Times New Roman" w:cs="Times New Roman"/>
          <w:color w:val="auto"/>
          <w:highlight w:val="none"/>
          <w:lang w:eastAsia="zh-CN"/>
        </w:rPr>
        <w:t>xiāo</w:t>
      </w:r>
      <w:r>
        <w:rPr>
          <w:rFonts w:hint="eastAsia"/>
          <w:color w:val="auto"/>
          <w:highlight w:val="none"/>
          <w:lang w:eastAsia="zh-CN"/>
        </w:rPr>
        <w:t>）</w:t>
      </w:r>
      <w:r>
        <w:rPr>
          <w:rFonts w:hint="eastAsia" w:eastAsia="宋体"/>
          <w:color w:val="auto"/>
          <w:highlight w:val="none"/>
          <w:lang w:eastAsia="zh-CN"/>
        </w:rPr>
        <w:t>类等夜行鸟类在夜间活动外，多种通常为昼行的候鸟在春、秋季节也会在夜间集群迁徙飞行，尤其繁殖期后，秋季迁徙的鸟群数量较春季迁徙有较大增加。数据显示，机场鸟击和鸟击事故的事故征候在夜间发生的比例分别占到40%和50%左右。</w:t>
      </w:r>
    </w:p>
    <w:p w14:paraId="256EEA11">
      <w:pPr>
        <w:ind w:firstLine="480" w:firstLineChars="200"/>
        <w:rPr>
          <w:rFonts w:hint="eastAsia" w:eastAsia="宋体"/>
          <w:color w:val="auto"/>
          <w:highlight w:val="none"/>
          <w:lang w:eastAsia="zh-CN"/>
        </w:rPr>
      </w:pPr>
      <w:r>
        <w:rPr>
          <w:rFonts w:hint="eastAsia" w:eastAsia="宋体"/>
          <w:color w:val="auto"/>
          <w:highlight w:val="none"/>
          <w:lang w:eastAsia="zh-CN"/>
        </w:rPr>
        <w:t>就鸟击的高度特点来说，机场营运期对鸟类的影响主要集中在飞机起降阶段（垂直高度1000m内）。从飞行程序分折，滑跑、起飞、爬升、着陆和进近阶段飞机与地面高差为1000m以下时，该区域为飞机起降与鸟类活动重叠造成鸟击事件的多发区。</w:t>
      </w:r>
    </w:p>
    <w:p w14:paraId="3AA12C8F">
      <w:pPr>
        <w:ind w:firstLine="480" w:firstLineChars="200"/>
        <w:rPr>
          <w:rFonts w:hint="eastAsia" w:eastAsia="宋体"/>
          <w:color w:val="auto"/>
          <w:highlight w:val="none"/>
          <w:lang w:eastAsia="zh-CN"/>
        </w:rPr>
      </w:pPr>
      <w:r>
        <w:rPr>
          <w:rFonts w:hint="eastAsia" w:eastAsia="宋体"/>
          <w:color w:val="auto"/>
          <w:highlight w:val="none"/>
          <w:lang w:eastAsia="zh-CN"/>
        </w:rPr>
        <w:t>鸟击多发生在起飞、爬升和着陆过程中。据统计，31%的鸟击发生在起飞滑行阶段，39%发生在进近和着陆阶段，75%的鸟击发生在高度150m以下。据国际民航组织1998年的数据显示，59.2%的鸟击发生在机场及其附近的39.4m以下的高度。所以，把40m作为一个风险区域的中值，鸟击在40m以下风险随着活动高度的增加而变大，在40m以上风险随鸟类飞行高度增加而降低。</w:t>
      </w:r>
    </w:p>
    <w:p w14:paraId="1C4A8A0D">
      <w:pPr>
        <w:ind w:firstLine="480" w:firstLineChars="200"/>
        <w:rPr>
          <w:rFonts w:hint="eastAsia"/>
          <w:color w:val="auto"/>
          <w:highlight w:val="none"/>
          <w:lang w:eastAsia="zh-CN"/>
        </w:rPr>
      </w:pPr>
      <w:r>
        <w:rPr>
          <w:rFonts w:hint="eastAsia" w:eastAsia="宋体"/>
          <w:color w:val="auto"/>
          <w:highlight w:val="none"/>
          <w:lang w:eastAsia="zh-CN"/>
        </w:rPr>
        <w:t>根据《中国民航鸟击航空器信息分析报告》，0~100m高度鸟击高发但鸟击造成的事故征候率不高，而在2500m以上高度鸟击发生较少，但鸟击造成的事故征候率</w:t>
      </w:r>
      <w:r>
        <w:rPr>
          <w:rFonts w:hint="eastAsia"/>
          <w:color w:val="auto"/>
          <w:highlight w:val="none"/>
          <w:lang w:eastAsia="zh-CN"/>
        </w:rPr>
        <w:t>（征候</w:t>
      </w:r>
      <w:r>
        <w:rPr>
          <w:rFonts w:hint="eastAsia"/>
          <w:color w:val="auto"/>
          <w:highlight w:val="none"/>
          <w:lang w:val="en-US" w:eastAsia="zh-CN"/>
        </w:rPr>
        <w:t>-</w:t>
      </w:r>
      <w:r>
        <w:rPr>
          <w:rFonts w:hint="eastAsia"/>
          <w:color w:val="auto"/>
          <w:highlight w:val="none"/>
          <w:lang w:eastAsia="zh-CN"/>
        </w:rPr>
        <w:t>特定状况发生前显露的迹象；征候率</w:t>
      </w:r>
      <w:r>
        <w:rPr>
          <w:rFonts w:hint="eastAsia"/>
          <w:color w:val="auto"/>
          <w:highlight w:val="none"/>
          <w:lang w:val="en-US" w:eastAsia="zh-CN"/>
        </w:rPr>
        <w:t>-</w:t>
      </w:r>
      <w:r>
        <w:rPr>
          <w:rFonts w:hint="eastAsia"/>
          <w:color w:val="auto"/>
          <w:highlight w:val="none"/>
          <w:lang w:eastAsia="zh-CN"/>
        </w:rPr>
        <w:t>每万小时飞行发生的事故征候次数）</w:t>
      </w:r>
      <w:r>
        <w:rPr>
          <w:rFonts w:hint="eastAsia" w:eastAsia="宋体"/>
          <w:color w:val="auto"/>
          <w:highlight w:val="none"/>
          <w:lang w:eastAsia="zh-CN"/>
        </w:rPr>
        <w:t>最高。</w:t>
      </w:r>
    </w:p>
    <w:p w14:paraId="6FEC0346">
      <w:pPr>
        <w:keepNext w:val="0"/>
        <w:keepLines w:val="0"/>
        <w:pageBreakBefore w:val="0"/>
        <w:widowControl w:val="0"/>
        <w:kinsoku/>
        <w:wordWrap/>
        <w:overflowPunct/>
        <w:topLinePunct w:val="0"/>
        <w:autoSpaceDE/>
        <w:autoSpaceDN/>
        <w:bidi w:val="0"/>
        <w:adjustRightInd/>
        <w:snapToGrid/>
        <w:ind w:right="6" w:firstLine="482"/>
        <w:textAlignment w:val="auto"/>
        <w:outlineLvl w:val="4"/>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4</w:t>
      </w:r>
      <w:r>
        <w:rPr>
          <w:rFonts w:hint="eastAsia"/>
          <w:b/>
          <w:bCs/>
          <w:color w:val="auto"/>
          <w:highlight w:val="none"/>
          <w:lang w:eastAsia="zh-CN"/>
        </w:rPr>
        <w:t>）机场飞机鸟击事故评估</w:t>
      </w:r>
    </w:p>
    <w:p w14:paraId="15BB4464">
      <w:pPr>
        <w:ind w:firstLine="480" w:firstLineChars="200"/>
        <w:rPr>
          <w:rFonts w:hint="eastAsia"/>
          <w:color w:val="auto"/>
          <w:highlight w:val="none"/>
          <w:lang w:eastAsia="zh-CN"/>
        </w:rPr>
      </w:pPr>
      <w:r>
        <w:rPr>
          <w:rFonts w:hint="eastAsia" w:eastAsia="宋体"/>
          <w:color w:val="auto"/>
          <w:highlight w:val="none"/>
          <w:lang w:eastAsia="zh-CN"/>
        </w:rPr>
        <w:t>项目区及周边农田生态系统中植物果实、昆虫等是食物网的基础，为鸟类提供了空间和食物相对充分的栖息生境。拟建机场与鸟类的冲突，将以进近场的低空空域与留鸟的冲突为主，但</w:t>
      </w:r>
      <w:r>
        <w:rPr>
          <w:rFonts w:hint="eastAsia"/>
          <w:color w:val="auto"/>
          <w:highlight w:val="none"/>
          <w:lang w:eastAsia="zh-CN"/>
        </w:rPr>
        <w:t>概率</w:t>
      </w:r>
      <w:r>
        <w:rPr>
          <w:rFonts w:hint="eastAsia" w:eastAsia="宋体"/>
          <w:color w:val="auto"/>
          <w:highlight w:val="none"/>
          <w:lang w:eastAsia="zh-CN"/>
        </w:rPr>
        <w:t>极小。在春秋候鸟迁飞季节也需要重点避免附近的进近场起降航线的机鸟冲突，从空间和时间上看，机场和高空航线对鸟类迁飞干扰的程度很轻，高空鸟机相撞概率极小，几乎不会对鸟类的迁飞路线产生整体影响。</w:t>
      </w:r>
    </w:p>
    <w:p w14:paraId="12D3FCE7">
      <w:pPr>
        <w:ind w:firstLine="480" w:firstLineChars="200"/>
        <w:rPr>
          <w:rFonts w:hint="eastAsia"/>
          <w:color w:val="auto"/>
          <w:highlight w:val="none"/>
          <w:lang w:eastAsia="zh-CN"/>
        </w:rPr>
      </w:pPr>
      <w:r>
        <w:rPr>
          <w:rFonts w:hint="eastAsia" w:eastAsia="宋体"/>
          <w:color w:val="auto"/>
          <w:highlight w:val="none"/>
          <w:lang w:eastAsia="zh-CN"/>
        </w:rPr>
        <w:t>尽管新建机场及周边与附近其他区域鸟类少，但飞机鸟击问题仍应</w:t>
      </w:r>
      <w:r>
        <w:rPr>
          <w:rFonts w:hint="eastAsia" w:ascii="Times New Roman" w:eastAsia="宋体"/>
          <w:color w:val="auto"/>
          <w:highlight w:val="none"/>
          <w:lang w:val="en-US" w:eastAsia="zh-CN"/>
        </w:rPr>
        <w:t>得到</w:t>
      </w:r>
      <w:r>
        <w:rPr>
          <w:rFonts w:hint="eastAsia" w:eastAsia="宋体"/>
          <w:color w:val="auto"/>
          <w:highlight w:val="none"/>
          <w:lang w:eastAsia="zh-CN"/>
        </w:rPr>
        <w:t>重视。这种影响对于飞机和鸟类来说，是相互的，而且是可以预测并防范的。这里对于机场飞行安全来说，鸟击预防形势仍不容乐观，尤其是在春秋两季鸟类迁徙季节，尤其要特别关注。根据目前的情况，在春、秋季节，本区需要防止发生鸟击事故的重点是迁徙鸟类，特别是水鸟，迁徙</w:t>
      </w:r>
      <w:r>
        <w:rPr>
          <w:rFonts w:hint="eastAsia" w:ascii="Times New Roman" w:eastAsia="宋体"/>
          <w:color w:val="auto"/>
          <w:highlight w:val="none"/>
          <w:lang w:val="en-US" w:eastAsia="zh-CN"/>
        </w:rPr>
        <w:t>时</w:t>
      </w:r>
      <w:r>
        <w:rPr>
          <w:rFonts w:hint="eastAsia" w:eastAsia="宋体"/>
          <w:color w:val="auto"/>
          <w:highlight w:val="none"/>
          <w:lang w:eastAsia="zh-CN"/>
        </w:rPr>
        <w:t>这些鸟类种群数量大，需驱离从而预防鸟击事故的发生。</w:t>
      </w:r>
    </w:p>
    <w:p w14:paraId="54C04E26">
      <w:pPr>
        <w:ind w:firstLine="482" w:firstLineChars="200"/>
        <w:rPr>
          <w:rFonts w:hint="eastAsia" w:ascii="楷体" w:hAnsi="楷体" w:eastAsia="楷体" w:cs="楷体"/>
          <w:b/>
          <w:bCs/>
          <w:color w:val="auto"/>
          <w:highlight w:val="none"/>
          <w:lang w:eastAsia="zh-CN"/>
        </w:rPr>
      </w:pPr>
      <w:r>
        <w:rPr>
          <w:rFonts w:hint="eastAsia" w:eastAsia="宋体"/>
          <w:b/>
          <w:bCs/>
          <w:color w:val="auto"/>
          <w:highlight w:val="none"/>
          <w:lang w:eastAsia="zh-CN"/>
        </w:rPr>
        <w:t>1</w:t>
      </w:r>
      <w:r>
        <w:rPr>
          <w:rFonts w:hint="eastAsia" w:ascii="楷体" w:hAnsi="楷体" w:eastAsia="楷体" w:cs="楷体"/>
          <w:b/>
          <w:bCs/>
          <w:color w:val="auto"/>
          <w:highlight w:val="none"/>
          <w:lang w:eastAsia="zh-CN"/>
        </w:rPr>
        <w:t>）常见鸟类危险等级评估</w:t>
      </w:r>
    </w:p>
    <w:p w14:paraId="67215128">
      <w:pPr>
        <w:ind w:firstLine="480" w:firstLineChars="200"/>
        <w:rPr>
          <w:rFonts w:hint="eastAsia"/>
          <w:color w:val="auto"/>
          <w:highlight w:val="none"/>
          <w:lang w:eastAsia="zh-CN"/>
        </w:rPr>
      </w:pPr>
      <w:r>
        <w:rPr>
          <w:rFonts w:hint="eastAsia" w:eastAsia="宋体"/>
          <w:color w:val="auto"/>
          <w:highlight w:val="none"/>
          <w:lang w:eastAsia="zh-CN"/>
        </w:rPr>
        <w:t>根据拟建精河机场的特殊地理位置及周围环境进行评估，区域常见鸟类的危害等级评估如下。其中，风险等级最危险的鸟类有普通雨燕、家燕、麻雀和家鸽，很危险的鸟类有乌鸦、黑喉鸦和苍头燕雀，大多数常见鸟类为较危险或一般危险的物种。以下是针对拟建精河通用机场项目区及周边（半径8km范围内）鸟类进行的风险等级评估。</w:t>
      </w:r>
    </w:p>
    <w:p w14:paraId="5E47C4BE">
      <w:pPr>
        <w:ind w:firstLine="482" w:firstLineChars="200"/>
        <w:rPr>
          <w:rFonts w:hint="eastAsia" w:ascii="楷体" w:hAnsi="楷体" w:eastAsia="楷体" w:cs="楷体"/>
          <w:b/>
          <w:bCs/>
          <w:color w:val="auto"/>
          <w:highlight w:val="none"/>
          <w:lang w:eastAsia="zh-CN"/>
        </w:rPr>
      </w:pPr>
      <w:r>
        <w:rPr>
          <w:rFonts w:hint="eastAsia" w:ascii="楷体" w:hAnsi="楷体" w:eastAsia="楷体" w:cs="楷体"/>
          <w:b/>
          <w:bCs/>
          <w:color w:val="auto"/>
          <w:highlight w:val="none"/>
          <w:lang w:eastAsia="zh-CN"/>
        </w:rPr>
        <w:t>2）鸟类飞行高度和飞机飞行的关系</w:t>
      </w:r>
    </w:p>
    <w:p w14:paraId="0D4BD13A">
      <w:pPr>
        <w:ind w:firstLine="48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根据国际民航联合会（HACO）使用雷达网络等先进手段研究候鸟迁徙规律资料调查了解，撞机率最高时为候鸟迁徙的季节，也是飞机飞行与鸟类活动之间矛盾突出的时间。</w:t>
      </w:r>
    </w:p>
    <w:p w14:paraId="0AD0E628">
      <w:pPr>
        <w:ind w:firstLine="48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受大气中的含氧量限制，大多数鸟类的飞行高度在400~1400m，鸟类的飞行高度一般低于1000m，小型鸟类不超过400m，无高飞能力的约在300~500m之间或离地面仅为100~200m，甚至掠地面而过。普通小鸟在400m以下，燕450m，雁900m。有调查发现50%的雀形目鸟类夜晚飞行时都在离地面400~700m以上。雷达记录到鸟的最大飞行高度在3000~6300m之间，一般情况雀形目鸟类在日落30~40min后进行夜间飞行。</w:t>
      </w:r>
    </w:p>
    <w:p w14:paraId="1A5B8F70">
      <w:pPr>
        <w:ind w:firstLine="48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迁徙途中，普通鸟类飞翔高度在400m以下，鹤类在300~500m，鹳</w:t>
      </w:r>
      <w:r>
        <w:rPr>
          <w:rFonts w:hint="eastAsia" w:cs="Times New Roman"/>
          <w:color w:val="auto"/>
          <w:highlight w:val="none"/>
          <w:lang w:eastAsia="zh-CN"/>
        </w:rPr>
        <w:t>（guàn）</w:t>
      </w:r>
      <w:r>
        <w:rPr>
          <w:rFonts w:hint="eastAsia" w:ascii="Times New Roman" w:hAnsi="Times New Roman" w:eastAsia="宋体" w:cs="Times New Roman"/>
          <w:color w:val="auto"/>
          <w:highlight w:val="none"/>
        </w:rPr>
        <w:t>、雁等最高飞行高度可达900m。因此，针对危险鸟种进行时间和地点管理，能更有效地实施鸟防工作减少鸟击发生频率。同飞行高度可作为判断鸟类对飞行安全是否存在潜在威胁的因子，将飞行高度可以作为分析鸟种危险等级的因子进行机场附近鸟类危险等级划分。可以得到机场周边鸟类危险等级系数，监测鸟类对机场运行的影响程度。此外，食物因素、水源条件和栖息环境也是吸引鸟类进入机场飞行区的主要原因。候鸟在迁徙停歇地活动和觅食时的飞行高度一般低于100m，飞机在空中正常飞行的高度达数千米，一般猛禽类虽然也能飞到如此高度，但它们在高空中</w:t>
      </w:r>
      <w:r>
        <w:rPr>
          <w:rFonts w:hint="eastAsia" w:cs="Times New Roman"/>
          <w:color w:val="auto"/>
          <w:highlight w:val="none"/>
          <w:lang w:eastAsia="zh-CN"/>
        </w:rPr>
        <w:t>出现的概率</w:t>
      </w:r>
      <w:r>
        <w:rPr>
          <w:rFonts w:hint="eastAsia" w:ascii="Times New Roman" w:hAnsi="Times New Roman" w:eastAsia="宋体" w:cs="Times New Roman"/>
          <w:color w:val="auto"/>
          <w:highlight w:val="none"/>
        </w:rPr>
        <w:t>并不大，而大多数鸟类是达不到飞机正常飞行高度。因此，飞机在高空中正常飞行时一般不会出现鸟击风险。鸟类对飞机飞行安全的威胁主要集中于飞机起飞和降落时，由于飞机飞行高度较低，易发生鸟类撞击，造成安全事故。</w:t>
      </w:r>
    </w:p>
    <w:p w14:paraId="0749BBF8">
      <w:pPr>
        <w:ind w:firstLine="480" w:firstLineChars="200"/>
        <w:rPr>
          <w:rFonts w:hint="eastAsia" w:cs="Times New Roman"/>
          <w:color w:val="auto"/>
          <w:highlight w:val="none"/>
          <w:lang w:eastAsia="zh-CN"/>
        </w:rPr>
      </w:pPr>
      <w:r>
        <w:rPr>
          <w:rFonts w:hint="eastAsia" w:ascii="Times New Roman" w:hAnsi="Times New Roman" w:eastAsia="宋体" w:cs="Times New Roman"/>
          <w:color w:val="auto"/>
          <w:highlight w:val="none"/>
        </w:rPr>
        <w:t>拟建机场的本场使用范围以跑道中心南北两端各11.5km、中心线两侧各6km（23km×12km）。同时考虑转场航线高度以及满足与博乐机场进离场程序垂直间隔，与航路满足安全间隔，本场使用范围垂直高度为900m（海平面基准）。拟建机场起降范围多为农田，植被单一，地势平缓，繁殖鸟类相对其他地区少，评价区域内偶尔少见、罕见到重点保护野生鸟类，但仍有部分其他鸟类在此觅食活动，需注意飞机飞行对本区域鸟类的影响。其中低空飞行、群体生活的家燕、普通雨燕、紫翅椋鸟等应引起足够的重视，特别是上述候鸟迁徙季在飞机起飞降落过程中。根据现场调查和拟建机场项目区及周边常见鸟类的飞行高度，并叠加机场净空规划。拟建机场飞机起降过程中，有可能与普通雨燕、家燕、麻雀、家鸽、乌鸫</w:t>
      </w:r>
      <w:r>
        <w:rPr>
          <w:rFonts w:hint="eastAsia" w:cs="Times New Roman"/>
          <w:color w:val="auto"/>
          <w:highlight w:val="none"/>
          <w:lang w:eastAsia="zh-CN"/>
        </w:rPr>
        <w:t>（</w:t>
      </w:r>
      <w:r>
        <w:rPr>
          <w:rFonts w:hint="default" w:ascii="Times New Roman" w:hAnsi="Times New Roman" w:cs="Times New Roman"/>
          <w:color w:val="auto"/>
          <w:highlight w:val="none"/>
          <w:lang w:eastAsia="zh-CN"/>
        </w:rPr>
        <w:t>dōng</w:t>
      </w:r>
      <w:r>
        <w:rPr>
          <w:rFonts w:hint="eastAsia" w:cs="Times New Roman"/>
          <w:color w:val="auto"/>
          <w:highlight w:val="none"/>
          <w:lang w:eastAsia="zh-CN"/>
        </w:rPr>
        <w:t>）</w:t>
      </w:r>
      <w:r>
        <w:rPr>
          <w:rFonts w:hint="eastAsia" w:ascii="Times New Roman" w:hAnsi="Times New Roman" w:eastAsia="宋体" w:cs="Times New Roman"/>
          <w:color w:val="auto"/>
          <w:highlight w:val="none"/>
        </w:rPr>
        <w:t>、黑喉鸫和苍头燕雀在拟建机场起降范围（特别是高度为100m以下空域）相遇，</w:t>
      </w:r>
      <w:r>
        <w:rPr>
          <w:rFonts w:hint="eastAsia" w:cs="Times New Roman"/>
          <w:color w:val="auto"/>
          <w:highlight w:val="none"/>
          <w:lang w:val="en-US" w:eastAsia="zh-CN"/>
        </w:rPr>
        <w:t>航空器</w:t>
      </w:r>
      <w:r>
        <w:rPr>
          <w:rFonts w:hint="eastAsia" w:ascii="Times New Roman" w:hAnsi="Times New Roman" w:eastAsia="宋体" w:cs="Times New Roman"/>
          <w:color w:val="auto"/>
          <w:highlight w:val="none"/>
        </w:rPr>
        <w:t>起降对上述鸟类影响最大，发生鸟撞事故概率较高</w:t>
      </w:r>
      <w:r>
        <w:rPr>
          <w:rFonts w:hint="eastAsia" w:cs="Times New Roman"/>
          <w:color w:val="auto"/>
          <w:highlight w:val="none"/>
          <w:lang w:eastAsia="zh-CN"/>
        </w:rPr>
        <w:t>。</w:t>
      </w:r>
    </w:p>
    <w:p w14:paraId="62822E3E">
      <w:pPr>
        <w:ind w:firstLine="480" w:firstLineChars="200"/>
        <w:rPr>
          <w:rFonts w:hint="eastAsia" w:cs="Times New Roman"/>
          <w:color w:val="auto"/>
          <w:highlight w:val="none"/>
          <w:lang w:eastAsia="zh-CN"/>
        </w:rPr>
      </w:pPr>
      <w:r>
        <w:rPr>
          <w:rFonts w:hint="eastAsia" w:ascii="Times New Roman" w:hAnsi="Times New Roman" w:eastAsia="宋体" w:cs="Times New Roman"/>
          <w:color w:val="auto"/>
          <w:highlight w:val="none"/>
        </w:rPr>
        <w:t>根据《中国民航鸟击航空器信息分析报告》，0~100m高度鸟击高发但鸟击造成的事故征候率不高，而在2500m以上高度鸟击发生较少但鸟击造成的事故征候率最高。因此，需持续开展起降区鸟情监测、做好鸟击防范工作</w:t>
      </w:r>
      <w:r>
        <w:rPr>
          <w:rFonts w:hint="eastAsia" w:cs="Times New Roman"/>
          <w:color w:val="auto"/>
          <w:highlight w:val="none"/>
          <w:lang w:eastAsia="zh-CN"/>
        </w:rPr>
        <w:t>。</w:t>
      </w:r>
    </w:p>
    <w:p w14:paraId="06A18507">
      <w:pPr>
        <w:keepNext w:val="0"/>
        <w:keepLines w:val="0"/>
        <w:pageBreakBefore w:val="0"/>
        <w:widowControl w:val="0"/>
        <w:kinsoku/>
        <w:wordWrap/>
        <w:overflowPunct/>
        <w:topLinePunct w:val="0"/>
        <w:autoSpaceDE/>
        <w:autoSpaceDN/>
        <w:bidi w:val="0"/>
        <w:adjustRightInd/>
        <w:snapToGrid/>
        <w:ind w:right="6" w:firstLine="482"/>
        <w:textAlignment w:val="auto"/>
        <w:outlineLvl w:val="4"/>
        <w:rPr>
          <w:rFonts w:hint="eastAsia"/>
          <w:b/>
          <w:bCs/>
          <w:color w:val="auto"/>
          <w:highlight w:val="none"/>
          <w:lang w:val="en-US" w:eastAsia="zh-CN"/>
        </w:rPr>
      </w:pPr>
      <w:r>
        <w:rPr>
          <w:b/>
          <w:bCs/>
          <w:color w:val="auto"/>
          <w:highlight w:val="none"/>
        </w:rPr>
        <w:t>（</w:t>
      </w:r>
      <w:r>
        <w:rPr>
          <w:rFonts w:hint="eastAsia"/>
          <w:b/>
          <w:bCs/>
          <w:color w:val="auto"/>
          <w:highlight w:val="none"/>
          <w:lang w:val="en-US" w:eastAsia="zh-CN"/>
        </w:rPr>
        <w:t>5</w:t>
      </w:r>
      <w:r>
        <w:rPr>
          <w:b/>
          <w:bCs/>
          <w:color w:val="auto"/>
          <w:highlight w:val="none"/>
        </w:rPr>
        <w:t>）</w:t>
      </w:r>
      <w:r>
        <w:rPr>
          <w:rFonts w:hint="eastAsia"/>
          <w:b/>
          <w:bCs/>
          <w:color w:val="auto"/>
          <w:highlight w:val="none"/>
        </w:rPr>
        <w:t>对艾比湖湿地鸟类重要停歇地的影响分析</w:t>
      </w:r>
    </w:p>
    <w:p w14:paraId="234AB65D">
      <w:pPr>
        <w:ind w:firstLine="480" w:firstLineChars="200"/>
        <w:rPr>
          <w:rFonts w:hint="eastAsia"/>
          <w:color w:val="auto"/>
          <w:highlight w:val="none"/>
          <w:lang w:val="en-US" w:eastAsia="zh-CN"/>
        </w:rPr>
      </w:pPr>
      <w:r>
        <w:rPr>
          <w:rFonts w:hint="eastAsia" w:eastAsia="宋体"/>
          <w:color w:val="auto"/>
          <w:highlight w:val="none"/>
          <w:lang w:eastAsia="zh-CN"/>
        </w:rPr>
        <w:t>艾比湖湿地鸟类重要停歇地</w:t>
      </w:r>
      <w:r>
        <w:rPr>
          <w:rFonts w:hint="eastAsia"/>
          <w:color w:val="auto"/>
          <w:highlight w:val="none"/>
          <w:lang w:val="en-US" w:eastAsia="zh-CN"/>
        </w:rPr>
        <w:t>不在本项目生态评价范围，作为关心点，从飞行程序角度评价项目建设对其影响。</w:t>
      </w:r>
    </w:p>
    <w:p w14:paraId="516733AB">
      <w:pPr>
        <w:ind w:firstLine="480" w:firstLineChars="200"/>
        <w:rPr>
          <w:rFonts w:hint="eastAsia"/>
          <w:color w:val="auto"/>
          <w:highlight w:val="none"/>
          <w:lang w:eastAsia="zh-CN"/>
        </w:rPr>
      </w:pPr>
      <w:r>
        <w:rPr>
          <w:rFonts w:hint="eastAsia"/>
          <w:color w:val="auto"/>
          <w:highlight w:val="none"/>
          <w:lang w:eastAsia="zh-CN"/>
        </w:rPr>
        <w:t>艾比湖湿地是众多候鸟迁徙的重要栖息地，每年有大量的候鸟在此歇息和繁衍，因此掌握飞机航路与机场周边危险鸟种之间的时间、空间关系至关重要。从时间关系上，候鸟的迁徙和繁殖季节通常在春季和秋季，这与精河通用机场的飞行程序中提到的起落航线和进离场方案的时间窗口相吻合。候鸟迁徙是为适应气候和食物等有规律波动的环境，是一个复杂的自然现象。同时考虑到艾比湖湿地与鸟类栖息、觅食地点和迁徙路线重叠，其独特的生态环境特点注定是科学防鸟的重点研究对象。因此在这些季节机场需要特别注意飞行安全，以避免与迁徙鸟类发生冲突。</w:t>
      </w:r>
    </w:p>
    <w:p w14:paraId="6B75E957">
      <w:pPr>
        <w:ind w:firstLine="480" w:firstLineChars="200"/>
        <w:rPr>
          <w:rFonts w:hint="eastAsia"/>
          <w:color w:val="auto"/>
          <w:highlight w:val="none"/>
          <w:lang w:eastAsia="zh-CN"/>
        </w:rPr>
      </w:pPr>
      <w:r>
        <w:rPr>
          <w:rFonts w:hint="eastAsia"/>
          <w:color w:val="auto"/>
          <w:highlight w:val="none"/>
          <w:lang w:eastAsia="zh-CN"/>
        </w:rPr>
        <w:t>从空间关系上，艾比湖湿地鸟类重要停歇地位于精河通用机场</w:t>
      </w:r>
      <w:r>
        <w:rPr>
          <w:rFonts w:hint="eastAsia"/>
          <w:color w:val="auto"/>
          <w:highlight w:val="none"/>
          <w:lang w:val="en-US" w:eastAsia="zh-CN"/>
        </w:rPr>
        <w:t>北部18km处</w:t>
      </w:r>
      <w:r>
        <w:rPr>
          <w:rFonts w:hint="eastAsia"/>
          <w:color w:val="auto"/>
          <w:highlight w:val="none"/>
          <w:lang w:eastAsia="zh-CN"/>
        </w:rPr>
        <w:t>，湿地的生态环境改善和保护措施的实施，使得该区域成为鸟类的重要栖息地。据统计，中国约78.34%的鸟击事件发生在海拔1000m及以下区域，且超过50%的鸟击事件都发生在机场附近100m以下的低空。机场跑道面中常含有丰富的植物根须和种子，成为植食性或杂食性鸟类觅食的热点地区，导致艾比湖湿地周边区域吸引大量野鸭等水禽作为栖息地。由于精河通用机场的飞行程序起落航线和进离场航线与艾比湖湿地中的鸟类活动区域也有一定重叠，在这一阶段飞机在起飞和降落阶段飞行高度较低，更容易与鸟类发生冲突。</w:t>
      </w:r>
    </w:p>
    <w:p w14:paraId="471EA761">
      <w:pPr>
        <w:ind w:firstLine="480" w:firstLineChars="200"/>
        <w:rPr>
          <w:rFonts w:hint="eastAsia"/>
          <w:color w:val="auto"/>
          <w:highlight w:val="none"/>
          <w:lang w:eastAsia="zh-CN"/>
        </w:rPr>
      </w:pPr>
      <w:r>
        <w:rPr>
          <w:rFonts w:hint="eastAsia"/>
          <w:color w:val="auto"/>
          <w:highlight w:val="none"/>
          <w:lang w:eastAsia="zh-CN"/>
        </w:rPr>
        <w:t>综上所述，精河通用机场的飞行程序与艾比湖湿地之间存在明显的时间、空间联系，因此机场需要通过时间维度与空间维度出发制定相应具体的安全飞行措施，确保飞行安全和生态保护双重目标得以实现。</w:t>
      </w:r>
    </w:p>
    <w:p w14:paraId="1E27ADFB">
      <w:pPr>
        <w:keepNext w:val="0"/>
        <w:keepLines w:val="0"/>
        <w:pageBreakBefore w:val="0"/>
        <w:widowControl w:val="0"/>
        <w:kinsoku/>
        <w:wordWrap/>
        <w:overflowPunct/>
        <w:topLinePunct w:val="0"/>
        <w:autoSpaceDE/>
        <w:autoSpaceDN/>
        <w:bidi w:val="0"/>
        <w:adjustRightInd/>
        <w:snapToGrid/>
        <w:ind w:right="6" w:firstLine="482"/>
        <w:textAlignment w:val="auto"/>
        <w:outlineLvl w:val="4"/>
        <w:rPr>
          <w:rFonts w:hint="eastAsia"/>
          <w:b/>
          <w:bCs/>
          <w:color w:val="auto"/>
          <w:highlight w:val="none"/>
          <w:lang w:val="en-US" w:eastAsia="zh-CN"/>
        </w:rPr>
      </w:pPr>
      <w:r>
        <w:rPr>
          <w:b/>
          <w:bCs/>
          <w:color w:val="auto"/>
          <w:highlight w:val="none"/>
        </w:rPr>
        <w:t>（</w:t>
      </w:r>
      <w:r>
        <w:rPr>
          <w:rFonts w:hint="eastAsia"/>
          <w:b/>
          <w:bCs/>
          <w:color w:val="auto"/>
          <w:highlight w:val="none"/>
          <w:lang w:val="en-US" w:eastAsia="zh-CN"/>
        </w:rPr>
        <w:t>6</w:t>
      </w:r>
      <w:r>
        <w:rPr>
          <w:b/>
          <w:bCs/>
          <w:color w:val="auto"/>
          <w:highlight w:val="none"/>
        </w:rPr>
        <w:t>）</w:t>
      </w:r>
      <w:r>
        <w:rPr>
          <w:rFonts w:hint="eastAsia"/>
          <w:b/>
          <w:bCs/>
          <w:color w:val="auto"/>
          <w:highlight w:val="none"/>
        </w:rPr>
        <w:t>飞行航线</w:t>
      </w:r>
      <w:r>
        <w:rPr>
          <w:rFonts w:hint="eastAsia" w:ascii="Times New Roman" w:eastAsia="宋体"/>
          <w:b/>
          <w:bCs/>
          <w:color w:val="auto"/>
          <w:highlight w:val="none"/>
          <w:lang w:val="en-US" w:eastAsia="zh-CN"/>
        </w:rPr>
        <w:t>与艾比湖鸟类主要迁徙、活动线路空间关系及其</w:t>
      </w:r>
      <w:r>
        <w:rPr>
          <w:rFonts w:hint="eastAsia"/>
          <w:b/>
          <w:bCs/>
          <w:color w:val="auto"/>
          <w:highlight w:val="none"/>
        </w:rPr>
        <w:t>影响</w:t>
      </w:r>
      <w:r>
        <w:rPr>
          <w:rFonts w:hint="eastAsia" w:ascii="Times New Roman" w:eastAsia="宋体"/>
          <w:b/>
          <w:bCs/>
          <w:color w:val="auto"/>
          <w:highlight w:val="none"/>
          <w:lang w:val="en-US" w:eastAsia="zh-CN"/>
        </w:rPr>
        <w:t>分析</w:t>
      </w:r>
    </w:p>
    <w:p w14:paraId="00B042E3">
      <w:pPr>
        <w:ind w:firstLine="480" w:firstLineChars="200"/>
        <w:rPr>
          <w:rFonts w:hint="default"/>
          <w:color w:val="auto"/>
          <w:highlight w:val="none"/>
          <w:lang w:val="en-US" w:eastAsia="zh-CN"/>
        </w:rPr>
      </w:pPr>
      <w:r>
        <w:rPr>
          <w:rFonts w:hint="eastAsia" w:ascii="Times New Roman" w:eastAsia="宋体"/>
          <w:color w:val="auto"/>
          <w:highlight w:val="none"/>
          <w:lang w:val="en-US" w:eastAsia="zh-CN"/>
        </w:rPr>
        <w:t>根据“3.4飞行程序”章节，本场使用范围垂直高度为900m，范围为23km×12km，跑道东北距艾比湖</w:t>
      </w:r>
      <w:r>
        <w:rPr>
          <w:rFonts w:hint="eastAsia"/>
          <w:color w:val="auto"/>
          <w:highlight w:val="none"/>
          <w:lang w:val="en-US" w:eastAsia="zh-CN"/>
        </w:rPr>
        <w:t>湖区</w:t>
      </w:r>
      <w:r>
        <w:rPr>
          <w:rFonts w:hint="eastAsia" w:ascii="Times New Roman" w:eastAsia="宋体"/>
          <w:color w:val="auto"/>
          <w:highlight w:val="none"/>
          <w:lang w:val="en-US" w:eastAsia="zh-CN"/>
        </w:rPr>
        <w:t>约23km，本场空域边界东北距艾比湖约6km。航空器离场后向东偏南飞行约11.6km至强制报告点P165（H</w:t>
      </w:r>
      <w:r>
        <w:rPr>
          <w:rFonts w:hint="eastAsia"/>
          <w:color w:val="auto"/>
          <w:highlight w:val="none"/>
          <w:lang w:val="en-US" w:eastAsia="zh-CN"/>
        </w:rPr>
        <w:t>=</w:t>
      </w:r>
      <w:r>
        <w:rPr>
          <w:rFonts w:hint="eastAsia" w:ascii="Times New Roman" w:eastAsia="宋体"/>
          <w:color w:val="auto"/>
          <w:highlight w:val="none"/>
          <w:lang w:val="en-US" w:eastAsia="zh-CN"/>
        </w:rPr>
        <w:t>2</w:t>
      </w:r>
      <w:r>
        <w:rPr>
          <w:rFonts w:hint="eastAsia"/>
          <w:color w:val="auto"/>
          <w:highlight w:val="none"/>
          <w:lang w:val="en-US" w:eastAsia="zh-CN"/>
        </w:rPr>
        <w:t>7</w:t>
      </w:r>
      <w:r>
        <w:rPr>
          <w:rFonts w:hint="eastAsia" w:ascii="Times New Roman" w:eastAsia="宋体"/>
          <w:color w:val="auto"/>
          <w:highlight w:val="none"/>
          <w:lang w:val="en-US" w:eastAsia="zh-CN"/>
        </w:rPr>
        <w:t>00m）加入航线；周边航路航线有J87（H≥2850m）、H69（H≥2600m/4719m）、H70（H≥4237m/5107m）、X56（H≥4050m）等；或飞行约46.8km至博乐机场（H≥1500m）。</w:t>
      </w:r>
    </w:p>
    <w:p w14:paraId="170347DC">
      <w:pPr>
        <w:ind w:firstLine="480" w:firstLineChars="200"/>
        <w:rPr>
          <w:rFonts w:hint="eastAsia"/>
          <w:color w:val="auto"/>
          <w:highlight w:val="none"/>
          <w:lang w:val="en-US" w:eastAsia="zh-CN"/>
        </w:rPr>
      </w:pPr>
      <w:r>
        <w:rPr>
          <w:rFonts w:hint="eastAsia" w:ascii="Times New Roman" w:eastAsia="宋体"/>
          <w:color w:val="auto"/>
          <w:highlight w:val="none"/>
          <w:lang w:val="en-US" w:eastAsia="zh-CN"/>
        </w:rPr>
        <w:t>根据鸟情报告（详见4.3.6章节），区域大多数鸟类的飞行高度在400m~1400m，小型、无高飞能力鸟类的飞行高</w:t>
      </w:r>
      <w:r>
        <w:rPr>
          <w:rFonts w:hint="eastAsia"/>
          <w:color w:val="auto"/>
          <w:highlight w:val="none"/>
          <w:lang w:val="en-US" w:eastAsia="zh-CN"/>
        </w:rPr>
        <w:t>度在</w:t>
      </w:r>
      <w:r>
        <w:rPr>
          <w:rFonts w:hint="eastAsia" w:ascii="Times New Roman" w:eastAsia="宋体"/>
          <w:color w:val="auto"/>
          <w:highlight w:val="none"/>
          <w:lang w:val="en-US" w:eastAsia="zh-CN"/>
        </w:rPr>
        <w:t>500m以下。</w:t>
      </w:r>
    </w:p>
    <w:p w14:paraId="744AC6E2">
      <w:pPr>
        <w:ind w:firstLine="480" w:firstLineChars="200"/>
        <w:rPr>
          <w:rFonts w:hint="eastAsia" w:eastAsia="宋体"/>
          <w:color w:val="auto"/>
          <w:highlight w:val="none"/>
          <w:lang w:eastAsia="zh-CN"/>
        </w:rPr>
      </w:pPr>
      <w:r>
        <w:rPr>
          <w:rFonts w:hint="eastAsia"/>
          <w:color w:val="auto"/>
          <w:highlight w:val="none"/>
          <w:lang w:val="en-US" w:eastAsia="zh-CN"/>
        </w:rPr>
        <w:t>通过</w:t>
      </w:r>
      <w:r>
        <w:rPr>
          <w:rFonts w:hint="eastAsia" w:ascii="Times New Roman" w:eastAsia="宋体"/>
          <w:color w:val="auto"/>
          <w:highlight w:val="none"/>
          <w:lang w:val="en-US" w:eastAsia="zh-CN"/>
        </w:rPr>
        <w:t>叠加分析，</w:t>
      </w:r>
      <w:r>
        <w:rPr>
          <w:rFonts w:hint="eastAsia" w:eastAsia="宋体"/>
          <w:color w:val="auto"/>
          <w:highlight w:val="none"/>
          <w:lang w:eastAsia="zh-CN"/>
        </w:rPr>
        <w:t>精河机场</w:t>
      </w:r>
      <w:r>
        <w:rPr>
          <w:rFonts w:hint="eastAsia" w:ascii="Times New Roman" w:eastAsia="宋体"/>
          <w:color w:val="auto"/>
          <w:highlight w:val="none"/>
          <w:lang w:val="en-US" w:eastAsia="zh-CN"/>
        </w:rPr>
        <w:t>西侧</w:t>
      </w:r>
      <w:r>
        <w:rPr>
          <w:rFonts w:hint="eastAsia"/>
          <w:color w:val="auto"/>
          <w:highlight w:val="none"/>
          <w:lang w:val="en-US" w:eastAsia="zh-CN"/>
        </w:rPr>
        <w:t>本场</w:t>
      </w:r>
      <w:r>
        <w:rPr>
          <w:rFonts w:hint="eastAsia" w:ascii="Times New Roman" w:eastAsia="宋体"/>
          <w:color w:val="auto"/>
          <w:highlight w:val="none"/>
          <w:lang w:val="en-US" w:eastAsia="zh-CN"/>
        </w:rPr>
        <w:t>起降</w:t>
      </w:r>
      <w:r>
        <w:rPr>
          <w:rFonts w:hint="eastAsia" w:eastAsia="宋体"/>
          <w:color w:val="auto"/>
          <w:highlight w:val="none"/>
          <w:lang w:eastAsia="zh-CN"/>
        </w:rPr>
        <w:t>航线</w:t>
      </w:r>
      <w:r>
        <w:rPr>
          <w:rFonts w:hint="eastAsia" w:ascii="Times New Roman" w:eastAsia="宋体"/>
          <w:color w:val="auto"/>
          <w:highlight w:val="none"/>
          <w:lang w:val="en-US" w:eastAsia="zh-CN"/>
        </w:rPr>
        <w:t>北端</w:t>
      </w:r>
      <w:r>
        <w:rPr>
          <w:rFonts w:hint="eastAsia" w:eastAsia="宋体"/>
          <w:color w:val="auto"/>
          <w:highlight w:val="none"/>
          <w:lang w:eastAsia="zh-CN"/>
        </w:rPr>
        <w:t>与艾比湖湿地候鸟迁徙通道存在空间重叠，</w:t>
      </w:r>
      <w:r>
        <w:rPr>
          <w:rFonts w:hint="eastAsia" w:ascii="Times New Roman" w:eastAsia="宋体"/>
          <w:color w:val="auto"/>
          <w:highlight w:val="none"/>
          <w:lang w:val="en-US" w:eastAsia="zh-CN"/>
        </w:rPr>
        <w:t>对此建设单位对飞行程序进行优化，在鸟类活动频繁时节仅使用</w:t>
      </w:r>
      <w:r>
        <w:rPr>
          <w:rFonts w:hint="eastAsia"/>
          <w:color w:val="auto"/>
          <w:highlight w:val="none"/>
          <w:lang w:val="en-US" w:eastAsia="zh-CN"/>
        </w:rPr>
        <w:t>本场</w:t>
      </w:r>
      <w:r>
        <w:rPr>
          <w:rFonts w:hint="eastAsia" w:ascii="Times New Roman" w:eastAsia="宋体"/>
          <w:color w:val="auto"/>
          <w:highlight w:val="none"/>
          <w:lang w:val="en-US" w:eastAsia="zh-CN"/>
        </w:rPr>
        <w:t>东侧起降航线</w:t>
      </w:r>
      <w:r>
        <w:rPr>
          <w:rFonts w:hint="eastAsia"/>
          <w:color w:val="auto"/>
          <w:highlight w:val="none"/>
          <w:lang w:val="en-US" w:eastAsia="zh-CN"/>
        </w:rPr>
        <w:t>五边盘旋上升</w:t>
      </w:r>
      <w:r>
        <w:rPr>
          <w:rFonts w:hint="eastAsia" w:ascii="Times New Roman" w:eastAsia="宋体"/>
          <w:color w:val="auto"/>
          <w:highlight w:val="none"/>
          <w:lang w:val="en-US" w:eastAsia="zh-CN"/>
        </w:rPr>
        <w:t>，东侧航线可与候鸟迁徙范围保持水平间隔，对候鸟</w:t>
      </w:r>
      <w:r>
        <w:rPr>
          <w:rFonts w:hint="eastAsia"/>
          <w:color w:val="auto"/>
          <w:highlight w:val="none"/>
          <w:lang w:val="en-US" w:eastAsia="zh-CN"/>
        </w:rPr>
        <w:t>迁徙</w:t>
      </w:r>
      <w:r>
        <w:rPr>
          <w:rFonts w:hint="eastAsia" w:ascii="Times New Roman" w:eastAsia="宋体"/>
          <w:color w:val="auto"/>
          <w:highlight w:val="none"/>
          <w:lang w:val="en-US" w:eastAsia="zh-CN"/>
        </w:rPr>
        <w:t>的影响较小</w:t>
      </w:r>
      <w:r>
        <w:rPr>
          <w:rFonts w:hint="eastAsia" w:eastAsia="宋体"/>
          <w:color w:val="auto"/>
          <w:highlight w:val="none"/>
          <w:lang w:eastAsia="zh-CN"/>
        </w:rPr>
        <w:t>。</w:t>
      </w:r>
    </w:p>
    <w:p w14:paraId="06C6D184">
      <w:pPr>
        <w:ind w:firstLine="480" w:firstLineChars="200"/>
        <w:rPr>
          <w:rFonts w:hint="default"/>
          <w:color w:val="auto"/>
          <w:highlight w:val="none"/>
          <w:lang w:val="en-US" w:eastAsia="zh-CN"/>
        </w:rPr>
      </w:pPr>
      <w:r>
        <w:rPr>
          <w:rFonts w:hint="eastAsia" w:eastAsia="宋体"/>
          <w:color w:val="auto"/>
          <w:highlight w:val="none"/>
          <w:lang w:eastAsia="zh-CN"/>
        </w:rPr>
        <w:t>航空器离场后向东偏南飞</w:t>
      </w:r>
      <w:r>
        <w:rPr>
          <w:rFonts w:hint="eastAsia"/>
          <w:color w:val="auto"/>
          <w:highlight w:val="none"/>
          <w:lang w:val="en-US" w:eastAsia="zh-CN"/>
        </w:rPr>
        <w:t>往</w:t>
      </w:r>
      <w:r>
        <w:rPr>
          <w:rFonts w:hint="eastAsia" w:eastAsia="宋体"/>
          <w:color w:val="auto"/>
          <w:highlight w:val="none"/>
          <w:lang w:eastAsia="zh-CN"/>
        </w:rPr>
        <w:t>强制报告点P165</w:t>
      </w:r>
      <w:r>
        <w:rPr>
          <w:rFonts w:hint="eastAsia"/>
          <w:color w:val="auto"/>
          <w:highlight w:val="none"/>
          <w:lang w:val="en-US" w:eastAsia="zh-CN"/>
        </w:rPr>
        <w:t>途中经过一处鸟类迁徙通道，该通道大致呈南北向沿精河廊道分布，鸟类在此区域迁飞高度在400m~1400m，而航空器经过迁徙通道时的高度大于2500m，航空器飞行对该区域候鸟迁徙造成的影响较小。</w:t>
      </w:r>
    </w:p>
    <w:p w14:paraId="19E7FF16">
      <w:pPr>
        <w:keepNext w:val="0"/>
        <w:keepLines w:val="0"/>
        <w:pageBreakBefore w:val="0"/>
        <w:widowControl w:val="0"/>
        <w:kinsoku/>
        <w:wordWrap/>
        <w:overflowPunct/>
        <w:topLinePunct w:val="0"/>
        <w:autoSpaceDE/>
        <w:autoSpaceDN/>
        <w:bidi w:val="0"/>
        <w:adjustRightInd/>
        <w:snapToGrid/>
        <w:ind w:right="6" w:firstLine="482"/>
        <w:textAlignment w:val="auto"/>
        <w:outlineLvl w:val="4"/>
        <w:rPr>
          <w:rFonts w:hint="eastAsia"/>
          <w:b/>
          <w:bCs/>
          <w:color w:val="auto"/>
          <w:highlight w:val="none"/>
          <w:lang w:val="en-US" w:eastAsia="zh-CN"/>
        </w:rPr>
      </w:pPr>
      <w:r>
        <w:rPr>
          <w:b/>
          <w:bCs/>
          <w:color w:val="auto"/>
          <w:highlight w:val="none"/>
        </w:rPr>
        <w:t>（</w:t>
      </w:r>
      <w:r>
        <w:rPr>
          <w:rFonts w:hint="eastAsia"/>
          <w:b/>
          <w:bCs/>
          <w:color w:val="auto"/>
          <w:highlight w:val="none"/>
          <w:lang w:val="en-US" w:eastAsia="zh-CN"/>
        </w:rPr>
        <w:t>7</w:t>
      </w:r>
      <w:r>
        <w:rPr>
          <w:b/>
          <w:bCs/>
          <w:color w:val="auto"/>
          <w:highlight w:val="none"/>
        </w:rPr>
        <w:t>）</w:t>
      </w:r>
      <w:r>
        <w:rPr>
          <w:rFonts w:hint="eastAsia"/>
          <w:b/>
          <w:bCs/>
          <w:color w:val="auto"/>
          <w:highlight w:val="none"/>
        </w:rPr>
        <w:t>对重点保护鸟类的影响</w:t>
      </w:r>
      <w:r>
        <w:rPr>
          <w:rFonts w:hint="eastAsia"/>
          <w:b/>
          <w:bCs/>
          <w:color w:val="auto"/>
          <w:highlight w:val="none"/>
          <w:lang w:val="en-US" w:eastAsia="zh-CN"/>
        </w:rPr>
        <w:t>分析</w:t>
      </w:r>
    </w:p>
    <w:p w14:paraId="6DC3BA7A">
      <w:pPr>
        <w:ind w:firstLine="480" w:firstLineChars="200"/>
        <w:rPr>
          <w:rFonts w:hint="eastAsia"/>
          <w:color w:val="auto"/>
          <w:highlight w:val="none"/>
          <w:lang w:eastAsia="zh-CN"/>
        </w:rPr>
      </w:pPr>
      <w:r>
        <w:rPr>
          <w:rFonts w:hint="eastAsia" w:eastAsia="宋体"/>
          <w:color w:val="auto"/>
          <w:highlight w:val="none"/>
          <w:lang w:eastAsia="zh-CN"/>
        </w:rPr>
        <w:t>项目区及</w:t>
      </w:r>
      <w:r>
        <w:rPr>
          <w:rFonts w:hint="eastAsia"/>
          <w:color w:val="auto"/>
          <w:highlight w:val="none"/>
          <w:lang w:eastAsia="zh-CN"/>
        </w:rPr>
        <w:t>周边</w:t>
      </w:r>
      <w:r>
        <w:rPr>
          <w:rFonts w:hint="eastAsia" w:eastAsia="宋体"/>
          <w:color w:val="auto"/>
          <w:highlight w:val="none"/>
          <w:lang w:eastAsia="zh-CN"/>
        </w:rPr>
        <w:t>分布的23种国家和自治区二级重点保护野生鸟类，国家</w:t>
      </w:r>
      <w:r>
        <w:rPr>
          <w:rFonts w:hint="eastAsia"/>
          <w:color w:val="auto"/>
          <w:highlight w:val="none"/>
          <w:lang w:eastAsia="zh-CN"/>
        </w:rPr>
        <w:t>Ⅱ级</w:t>
      </w:r>
      <w:r>
        <w:rPr>
          <w:rFonts w:hint="eastAsia" w:eastAsia="宋体"/>
          <w:color w:val="auto"/>
          <w:highlight w:val="none"/>
          <w:lang w:eastAsia="zh-CN"/>
        </w:rPr>
        <w:t>重点保护野生鸟类有短趾雕、褐耳鹰、雀鹰、白尾鹞、黑鸢、毛脚鵟、大鵟、普通鵟、棕尾鵟、欧亚鵟、斑尾林鸽、纵纹腹小鸮、西红角鸮、长耳鸮、短耳鸮、白翅啄木鸟、黄爪隼、红隼、蓝喉歌鸲、新疆歌鸲；自治区</w:t>
      </w:r>
      <w:r>
        <w:rPr>
          <w:rFonts w:hint="eastAsia"/>
          <w:color w:val="auto"/>
          <w:highlight w:val="none"/>
          <w:lang w:eastAsia="zh-CN"/>
        </w:rPr>
        <w:t>Ⅱ级</w:t>
      </w:r>
      <w:r>
        <w:rPr>
          <w:rFonts w:hint="eastAsia" w:eastAsia="宋体"/>
          <w:color w:val="auto"/>
          <w:highlight w:val="none"/>
          <w:lang w:eastAsia="zh-CN"/>
        </w:rPr>
        <w:t>重点保护野生鸟类3种，即石鸻</w:t>
      </w:r>
      <w:r>
        <w:rPr>
          <w:rFonts w:hint="eastAsia"/>
          <w:color w:val="auto"/>
          <w:highlight w:val="none"/>
          <w:lang w:eastAsia="zh-CN"/>
        </w:rPr>
        <w:t>（héng）</w:t>
      </w:r>
      <w:r>
        <w:rPr>
          <w:rFonts w:hint="eastAsia" w:eastAsia="宋体"/>
          <w:color w:val="auto"/>
          <w:highlight w:val="none"/>
          <w:lang w:eastAsia="zh-CN"/>
        </w:rPr>
        <w:t>、蓝胸佛法僧、黄喉蜂虎。其中，斑尾林鸽、白翅啄木鸟、新疆歌鸲</w:t>
      </w:r>
      <w:r>
        <w:rPr>
          <w:rFonts w:hint="eastAsia"/>
          <w:color w:val="auto"/>
          <w:highlight w:val="none"/>
          <w:lang w:eastAsia="zh-CN"/>
        </w:rPr>
        <w:t>（qú）</w:t>
      </w:r>
      <w:r>
        <w:rPr>
          <w:rFonts w:hint="eastAsia" w:eastAsia="宋体"/>
          <w:color w:val="auto"/>
          <w:highlight w:val="none"/>
          <w:lang w:eastAsia="zh-CN"/>
        </w:rPr>
        <w:t>、蓝胸佛法僧、黄喉蜂虎主要在拟建项目区及</w:t>
      </w:r>
      <w:r>
        <w:rPr>
          <w:rFonts w:hint="eastAsia"/>
          <w:color w:val="auto"/>
          <w:highlight w:val="none"/>
          <w:lang w:eastAsia="zh-CN"/>
        </w:rPr>
        <w:t>周边</w:t>
      </w:r>
      <w:r>
        <w:rPr>
          <w:rFonts w:hint="eastAsia" w:eastAsia="宋体"/>
          <w:color w:val="auto"/>
          <w:highlight w:val="none"/>
          <w:lang w:eastAsia="zh-CN"/>
        </w:rPr>
        <w:t>的林地和林缘活动且离项目区较远，机场建设对</w:t>
      </w:r>
      <w:r>
        <w:rPr>
          <w:rFonts w:hint="eastAsia"/>
          <w:color w:val="auto"/>
          <w:highlight w:val="none"/>
          <w:lang w:eastAsia="zh-CN"/>
        </w:rPr>
        <w:t>其影响</w:t>
      </w:r>
      <w:r>
        <w:rPr>
          <w:rFonts w:hint="eastAsia" w:eastAsia="宋体"/>
          <w:color w:val="auto"/>
          <w:highlight w:val="none"/>
          <w:lang w:eastAsia="zh-CN"/>
        </w:rPr>
        <w:t>较小；蓝喉歌鸲主要分布于拟建项目区及周边北部远离项目区的芦苇丛，本项目建设对其影响较小；而石鸻在拟建项目区及周边极其罕见，且周围替代生境多，因此工程施工初期即会转移至替代生境，因此机场建设对其影响不大。</w:t>
      </w:r>
    </w:p>
    <w:p w14:paraId="5AA96642">
      <w:pPr>
        <w:ind w:firstLine="480" w:firstLineChars="200"/>
        <w:rPr>
          <w:rFonts w:hint="eastAsia" w:eastAsia="宋体"/>
          <w:color w:val="auto"/>
          <w:highlight w:val="none"/>
          <w:lang w:eastAsia="zh-CN"/>
        </w:rPr>
      </w:pPr>
      <w:r>
        <w:rPr>
          <w:rFonts w:hint="eastAsia" w:eastAsia="宋体"/>
          <w:color w:val="auto"/>
          <w:highlight w:val="none"/>
          <w:lang w:eastAsia="zh-CN"/>
        </w:rPr>
        <w:t>重点保护的鹰形目、鸮</w:t>
      </w:r>
      <w:r>
        <w:rPr>
          <w:rFonts w:hint="eastAsia"/>
          <w:color w:val="auto"/>
          <w:highlight w:val="none"/>
          <w:lang w:eastAsia="zh-CN"/>
        </w:rPr>
        <w:t>（</w:t>
      </w:r>
      <w:r>
        <w:rPr>
          <w:rFonts w:hint="default" w:ascii="Times New Roman" w:hAnsi="Times New Roman" w:cs="Times New Roman"/>
          <w:color w:val="auto"/>
          <w:highlight w:val="none"/>
          <w:lang w:eastAsia="zh-CN"/>
        </w:rPr>
        <w:t>xiāo</w:t>
      </w:r>
      <w:r>
        <w:rPr>
          <w:rFonts w:hint="eastAsia"/>
          <w:color w:val="auto"/>
          <w:highlight w:val="none"/>
          <w:lang w:eastAsia="zh-CN"/>
        </w:rPr>
        <w:t>）</w:t>
      </w:r>
      <w:r>
        <w:rPr>
          <w:rFonts w:hint="eastAsia" w:eastAsia="宋体"/>
          <w:color w:val="auto"/>
          <w:highlight w:val="none"/>
          <w:lang w:eastAsia="zh-CN"/>
        </w:rPr>
        <w:t>形目和隼形目物种均为猛禽，其极其罕见和少见，且分布较为广泛，觅食、活动范围很广。机场占地只是它们觅食场所的很小一部分，因此工程施工占地和干扰也仅仅是使它们远离施工区域觅食，对它们影响不大。在运行期间，它们会在拟建项目区及周边的电线杆、铁架、乔木上停留，或在上空飞行，飞行活动高度主要在500 m以下。飞机在目视离场程序和目视进近程序中飞行高度在600m以下，有可能会对上述猛禽产生影响，影响区域主要为飞机离场和进近航迹线及周围，因此机场运行中要采取相应的驱鸟措施。</w:t>
      </w:r>
    </w:p>
    <w:p w14:paraId="548F0D8E">
      <w:pPr>
        <w:keepNext w:val="0"/>
        <w:keepLines w:val="0"/>
        <w:pageBreakBefore w:val="0"/>
        <w:widowControl w:val="0"/>
        <w:kinsoku/>
        <w:wordWrap/>
        <w:overflowPunct/>
        <w:topLinePunct w:val="0"/>
        <w:autoSpaceDE/>
        <w:autoSpaceDN/>
        <w:bidi w:val="0"/>
        <w:adjustRightInd/>
        <w:snapToGrid/>
        <w:ind w:right="6" w:firstLine="482"/>
        <w:textAlignment w:val="auto"/>
        <w:outlineLvl w:val="4"/>
        <w:rPr>
          <w:b/>
          <w:bCs/>
          <w:color w:val="auto"/>
          <w:highlight w:val="none"/>
        </w:rPr>
      </w:pPr>
      <w:r>
        <w:rPr>
          <w:b/>
          <w:bCs/>
          <w:color w:val="auto"/>
          <w:highlight w:val="none"/>
        </w:rPr>
        <w:t>（</w:t>
      </w:r>
      <w:r>
        <w:rPr>
          <w:rFonts w:hint="eastAsia"/>
          <w:b/>
          <w:bCs/>
          <w:color w:val="auto"/>
          <w:highlight w:val="none"/>
          <w:lang w:val="en-US" w:eastAsia="zh-CN"/>
        </w:rPr>
        <w:t>8</w:t>
      </w:r>
      <w:r>
        <w:rPr>
          <w:b/>
          <w:bCs/>
          <w:color w:val="auto"/>
          <w:highlight w:val="none"/>
        </w:rPr>
        <w:t>）机场废水对鸟类及其栖息环境的影响</w:t>
      </w:r>
    </w:p>
    <w:p w14:paraId="2F76FCAC">
      <w:pPr>
        <w:ind w:firstLine="480" w:firstLineChars="200"/>
        <w:rPr>
          <w:rFonts w:hint="eastAsia"/>
          <w:color w:val="auto"/>
          <w:highlight w:val="none"/>
          <w:lang w:eastAsia="zh-CN"/>
        </w:rPr>
      </w:pPr>
      <w:r>
        <w:rPr>
          <w:rFonts w:hint="eastAsia"/>
          <w:color w:val="auto"/>
          <w:highlight w:val="none"/>
        </w:rPr>
        <w:t>污水处理站、垃圾收集站若管理不当，可能通过渗漏、气味等途径污染周边环境，间接影响鸟类食物来源（如昆虫、植物）。垃圾站尤其可能吸引鸦科、鸥类等杂食性鸟类聚集，增加鸟击风险</w:t>
      </w:r>
      <w:r>
        <w:rPr>
          <w:rFonts w:hint="eastAsia"/>
          <w:color w:val="auto"/>
          <w:highlight w:val="none"/>
          <w:lang w:eastAsia="zh-CN"/>
        </w:rPr>
        <w:t>。</w:t>
      </w:r>
    </w:p>
    <w:p w14:paraId="66C78031">
      <w:pPr>
        <w:ind w:firstLine="480" w:firstLineChars="200"/>
        <w:rPr>
          <w:rFonts w:hint="eastAsia" w:eastAsia="宋体"/>
          <w:color w:val="auto"/>
          <w:highlight w:val="none"/>
          <w:lang w:eastAsia="zh-CN"/>
        </w:rPr>
      </w:pPr>
      <w:r>
        <w:rPr>
          <w:rFonts w:ascii="Times New Roman" w:hAnsi="Times New Roman" w:eastAsia="宋体" w:cs="Times New Roman"/>
          <w:color w:val="auto"/>
          <w:highlight w:val="none"/>
        </w:rPr>
        <w:t>机场运</w:t>
      </w:r>
      <w:r>
        <w:rPr>
          <w:color w:val="auto"/>
          <w:highlight w:val="none"/>
        </w:rPr>
        <w:t>营后废水包括生活污水和生产废水。生产废水同</w:t>
      </w:r>
      <w:r>
        <w:rPr>
          <w:rFonts w:hint="eastAsia"/>
          <w:color w:val="auto"/>
          <w:highlight w:val="none"/>
        </w:rPr>
        <w:t>加油</w:t>
      </w:r>
      <w:r>
        <w:rPr>
          <w:rFonts w:hint="eastAsia" w:ascii="Times New Roman" w:eastAsia="宋体"/>
          <w:color w:val="auto"/>
          <w:highlight w:val="none"/>
          <w:lang w:val="en-US" w:eastAsia="zh-CN"/>
        </w:rPr>
        <w:t>区</w:t>
      </w:r>
      <w:r>
        <w:rPr>
          <w:color w:val="auto"/>
          <w:highlight w:val="none"/>
        </w:rPr>
        <w:t>初期雨水需经隔油处理后通过管道进入机场污水管网，最终进入</w:t>
      </w:r>
      <w:r>
        <w:rPr>
          <w:rFonts w:hint="eastAsia"/>
          <w:color w:val="auto"/>
          <w:highlight w:val="none"/>
          <w:lang w:val="en-US" w:eastAsia="zh-CN"/>
        </w:rPr>
        <w:t>机场</w:t>
      </w:r>
      <w:r>
        <w:rPr>
          <w:color w:val="auto"/>
          <w:highlight w:val="none"/>
        </w:rPr>
        <w:t>污水处理站处理，废水不外排，不会改变水体功能，对鸟类及其栖息环境影响较小。</w:t>
      </w:r>
    </w:p>
    <w:p w14:paraId="26778EB6">
      <w:pPr>
        <w:keepNext w:val="0"/>
        <w:keepLines w:val="0"/>
        <w:pageBreakBefore w:val="0"/>
        <w:widowControl w:val="0"/>
        <w:kinsoku/>
        <w:wordWrap/>
        <w:overflowPunct/>
        <w:topLinePunct w:val="0"/>
        <w:autoSpaceDE/>
        <w:autoSpaceDN/>
        <w:bidi w:val="0"/>
        <w:adjustRightInd/>
        <w:snapToGrid/>
        <w:ind w:right="6" w:firstLine="482"/>
        <w:textAlignment w:val="auto"/>
        <w:outlineLvl w:val="4"/>
        <w:rPr>
          <w:b/>
          <w:bCs/>
          <w:color w:val="auto"/>
          <w:highlight w:val="none"/>
        </w:rPr>
      </w:pPr>
      <w:r>
        <w:rPr>
          <w:b/>
          <w:bCs/>
          <w:color w:val="auto"/>
          <w:highlight w:val="none"/>
        </w:rPr>
        <w:t>（</w:t>
      </w:r>
      <w:r>
        <w:rPr>
          <w:rFonts w:hint="eastAsia"/>
          <w:b/>
          <w:bCs/>
          <w:color w:val="auto"/>
          <w:highlight w:val="none"/>
          <w:lang w:val="en-US" w:eastAsia="zh-CN"/>
        </w:rPr>
        <w:t>9</w:t>
      </w:r>
      <w:r>
        <w:rPr>
          <w:b/>
          <w:bCs/>
          <w:color w:val="auto"/>
          <w:highlight w:val="none"/>
        </w:rPr>
        <w:t>）机场固体废物对鸟类及其栖息环境的影响</w:t>
      </w:r>
    </w:p>
    <w:p w14:paraId="2A11B521">
      <w:pPr>
        <w:ind w:firstLine="480" w:firstLineChars="200"/>
        <w:rPr>
          <w:color w:val="auto"/>
          <w:highlight w:val="none"/>
        </w:rPr>
      </w:pPr>
      <w:r>
        <w:rPr>
          <w:color w:val="auto"/>
          <w:highlight w:val="none"/>
        </w:rPr>
        <w:t>航空垃圾和生活垃圾中有机物含量高，是很多杂食性鸟类等的重要食物，有很强的吸引力。航空垃圾、生活垃圾采用密封垃圾箱分别收集于垃圾站，达到运输吨位后，由精河县环卫管理部门统一收集清运，机场固体废物对鸟类及其栖息环境的影响较小。</w:t>
      </w:r>
    </w:p>
    <w:p w14:paraId="745AC090">
      <w:pPr>
        <w:keepNext w:val="0"/>
        <w:keepLines w:val="0"/>
        <w:pageBreakBefore w:val="0"/>
        <w:widowControl w:val="0"/>
        <w:kinsoku/>
        <w:wordWrap/>
        <w:overflowPunct/>
        <w:topLinePunct w:val="0"/>
        <w:autoSpaceDE/>
        <w:autoSpaceDN/>
        <w:bidi w:val="0"/>
        <w:adjustRightInd/>
        <w:snapToGrid/>
        <w:ind w:right="6" w:firstLine="482"/>
        <w:textAlignment w:val="auto"/>
        <w:outlineLvl w:val="4"/>
        <w:rPr>
          <w:b/>
          <w:bCs/>
          <w:color w:val="auto"/>
          <w:highlight w:val="none"/>
        </w:rPr>
      </w:pPr>
      <w:r>
        <w:rPr>
          <w:b/>
          <w:bCs/>
          <w:color w:val="auto"/>
          <w:highlight w:val="none"/>
        </w:rPr>
        <w:t>（</w:t>
      </w:r>
      <w:r>
        <w:rPr>
          <w:rFonts w:hint="eastAsia"/>
          <w:b/>
          <w:bCs/>
          <w:color w:val="auto"/>
          <w:highlight w:val="none"/>
          <w:lang w:val="en-US" w:eastAsia="zh-CN"/>
        </w:rPr>
        <w:t>10</w:t>
      </w:r>
      <w:r>
        <w:rPr>
          <w:b/>
          <w:bCs/>
          <w:color w:val="auto"/>
          <w:highlight w:val="none"/>
        </w:rPr>
        <w:t>）</w:t>
      </w:r>
      <w:r>
        <w:rPr>
          <w:rFonts w:hint="eastAsia"/>
          <w:b/>
          <w:bCs/>
          <w:color w:val="auto"/>
          <w:highlight w:val="none"/>
        </w:rPr>
        <w:t>鸟类活动热点区域与机场空域叠加分析对鸟类的影响</w:t>
      </w:r>
    </w:p>
    <w:p w14:paraId="2E19DFD5">
      <w:pPr>
        <w:ind w:firstLine="480" w:firstLineChars="200"/>
        <w:rPr>
          <w:rFonts w:hint="eastAsia" w:eastAsia="宋体"/>
          <w:color w:val="auto"/>
          <w:highlight w:val="none"/>
          <w:lang w:val="en-US" w:eastAsia="zh-CN"/>
        </w:rPr>
      </w:pPr>
      <w:r>
        <w:rPr>
          <w:rFonts w:hint="eastAsia"/>
          <w:color w:val="auto"/>
          <w:highlight w:val="none"/>
          <w:lang w:val="en-US" w:eastAsia="zh-CN"/>
        </w:rPr>
        <w:t>1）水平空间叠加分析</w:t>
      </w:r>
    </w:p>
    <w:p w14:paraId="74086D08">
      <w:pPr>
        <w:ind w:firstLine="480" w:firstLineChars="200"/>
        <w:rPr>
          <w:rFonts w:hint="default" w:eastAsia="宋体"/>
          <w:color w:val="auto"/>
          <w:highlight w:val="none"/>
          <w:lang w:val="en-US" w:eastAsia="zh-CN"/>
        </w:rPr>
      </w:pPr>
      <w:r>
        <w:rPr>
          <w:rFonts w:hint="eastAsia"/>
          <w:color w:val="auto"/>
          <w:highlight w:val="none"/>
        </w:rPr>
        <w:t>机场的本场使用范围（23km×12km）</w:t>
      </w:r>
      <w:r>
        <w:rPr>
          <w:rFonts w:hint="eastAsia"/>
          <w:color w:val="auto"/>
          <w:highlight w:val="none"/>
          <w:lang w:val="en-US" w:eastAsia="zh-CN"/>
        </w:rPr>
        <w:t>内涉及</w:t>
      </w:r>
      <w:r>
        <w:rPr>
          <w:rFonts w:hint="eastAsia"/>
          <w:color w:val="auto"/>
          <w:highlight w:val="none"/>
        </w:rPr>
        <w:t>了机场周边的农田、荒漠草原及部分林地灌丛</w:t>
      </w:r>
      <w:r>
        <w:rPr>
          <w:rFonts w:hint="eastAsia"/>
          <w:color w:val="auto"/>
          <w:highlight w:val="none"/>
          <w:lang w:val="en-US" w:eastAsia="zh-CN"/>
        </w:rPr>
        <w:t>等</w:t>
      </w:r>
      <w:r>
        <w:rPr>
          <w:rFonts w:hint="eastAsia"/>
          <w:color w:val="auto"/>
          <w:highlight w:val="none"/>
        </w:rPr>
        <w:t>热点区域。机场跑道北端延长线方向正对艾比湖（相距约23km），且与博尔塔拉河迁徙廊道</w:t>
      </w:r>
      <w:r>
        <w:rPr>
          <w:rFonts w:hint="eastAsia"/>
          <w:color w:val="auto"/>
          <w:highlight w:val="none"/>
          <w:lang w:val="en-US" w:eastAsia="zh-CN"/>
        </w:rPr>
        <w:t>相对</w:t>
      </w:r>
      <w:r>
        <w:rPr>
          <w:rFonts w:hint="eastAsia"/>
          <w:color w:val="auto"/>
          <w:highlight w:val="none"/>
        </w:rPr>
        <w:t>。</w:t>
      </w:r>
      <w:r>
        <w:rPr>
          <w:rFonts w:hint="eastAsia"/>
          <w:color w:val="auto"/>
          <w:highlight w:val="none"/>
          <w:lang w:val="en-US" w:eastAsia="zh-CN"/>
        </w:rPr>
        <w:t>虽然距离较远，但航空器</w:t>
      </w:r>
      <w:r>
        <w:rPr>
          <w:rFonts w:hint="eastAsia"/>
          <w:color w:val="auto"/>
          <w:highlight w:val="none"/>
        </w:rPr>
        <w:t>在迁徙季起飞和降落</w:t>
      </w:r>
      <w:r>
        <w:rPr>
          <w:rFonts w:hint="eastAsia"/>
          <w:color w:val="auto"/>
          <w:highlight w:val="none"/>
          <w:lang w:val="en-US" w:eastAsia="zh-CN"/>
        </w:rPr>
        <w:t>可能对</w:t>
      </w:r>
      <w:r>
        <w:rPr>
          <w:rFonts w:hint="eastAsia"/>
          <w:color w:val="auto"/>
          <w:highlight w:val="none"/>
        </w:rPr>
        <w:t>这条“空中</w:t>
      </w:r>
      <w:r>
        <w:rPr>
          <w:rFonts w:hint="eastAsia"/>
          <w:color w:val="auto"/>
          <w:highlight w:val="none"/>
          <w:lang w:val="en-US" w:eastAsia="zh-CN"/>
        </w:rPr>
        <w:t>廊道</w:t>
      </w:r>
      <w:r>
        <w:rPr>
          <w:rFonts w:hint="eastAsia"/>
          <w:color w:val="auto"/>
          <w:highlight w:val="none"/>
        </w:rPr>
        <w:t>”</w:t>
      </w:r>
      <w:r>
        <w:rPr>
          <w:rFonts w:hint="eastAsia"/>
          <w:color w:val="auto"/>
          <w:highlight w:val="none"/>
          <w:lang w:val="en-US" w:eastAsia="zh-CN"/>
        </w:rPr>
        <w:t>产生一定的间接影响</w:t>
      </w:r>
      <w:r>
        <w:rPr>
          <w:rFonts w:hint="eastAsia"/>
          <w:color w:val="auto"/>
          <w:highlight w:val="none"/>
        </w:rPr>
        <w:t>。</w:t>
      </w:r>
      <w:r>
        <w:rPr>
          <w:rFonts w:hint="eastAsia"/>
          <w:color w:val="auto"/>
          <w:highlight w:val="none"/>
          <w:lang w:val="en-US" w:eastAsia="zh-CN"/>
        </w:rPr>
        <w:t>此外，</w:t>
      </w:r>
      <w:r>
        <w:rPr>
          <w:rFonts w:hint="eastAsia"/>
          <w:color w:val="auto"/>
          <w:highlight w:val="none"/>
        </w:rPr>
        <w:t>机场周边的水源、收割农田等热点区域分布在机场端净空通道两侧数公里范围内，鸟类往返这些地点与栖息</w:t>
      </w:r>
      <w:r>
        <w:rPr>
          <w:rFonts w:hint="eastAsia"/>
          <w:color w:val="auto"/>
          <w:highlight w:val="none"/>
          <w:lang w:val="en-US" w:eastAsia="zh-CN"/>
        </w:rPr>
        <w:t>生境</w:t>
      </w:r>
      <w:r>
        <w:rPr>
          <w:rFonts w:hint="eastAsia"/>
          <w:color w:val="auto"/>
          <w:highlight w:val="none"/>
        </w:rPr>
        <w:t>的活动路线会穿越机场空域</w:t>
      </w:r>
      <w:r>
        <w:rPr>
          <w:rFonts w:hint="eastAsia"/>
          <w:color w:val="auto"/>
          <w:highlight w:val="none"/>
          <w:lang w:eastAsia="zh-CN"/>
        </w:rPr>
        <w:t>，</w:t>
      </w:r>
      <w:r>
        <w:rPr>
          <w:rFonts w:hint="eastAsia"/>
          <w:color w:val="auto"/>
          <w:highlight w:val="none"/>
          <w:lang w:val="en-US" w:eastAsia="zh-CN"/>
        </w:rPr>
        <w:t>对区域鸟类觅食等活动产生一定程度的影响。通过生境管理优化、规范种植、规范垃圾和污水管理、杜绝人为吸引源等措施使生态影响控制在可接受的范围内。</w:t>
      </w:r>
    </w:p>
    <w:p w14:paraId="201347B9">
      <w:pPr>
        <w:ind w:firstLine="480" w:firstLineChars="200"/>
        <w:rPr>
          <w:rFonts w:hint="eastAsia" w:eastAsia="宋体"/>
          <w:color w:val="auto"/>
          <w:highlight w:val="none"/>
          <w:lang w:val="en-US" w:eastAsia="zh-CN"/>
        </w:rPr>
      </w:pPr>
      <w:r>
        <w:rPr>
          <w:rFonts w:hint="eastAsia"/>
          <w:color w:val="auto"/>
          <w:highlight w:val="none"/>
          <w:lang w:val="en-US" w:eastAsia="zh-CN"/>
        </w:rPr>
        <w:t>2）垂直空间叠加分析</w:t>
      </w:r>
    </w:p>
    <w:p w14:paraId="3C4AAD6B">
      <w:pPr>
        <w:ind w:firstLine="480" w:firstLineChars="200"/>
        <w:rPr>
          <w:rFonts w:hint="eastAsia" w:eastAsia="宋体"/>
          <w:color w:val="auto"/>
          <w:highlight w:val="none"/>
          <w:lang w:eastAsia="zh-CN"/>
        </w:rPr>
      </w:pPr>
      <w:r>
        <w:rPr>
          <w:rFonts w:hint="eastAsia"/>
          <w:color w:val="auto"/>
          <w:highlight w:val="none"/>
        </w:rPr>
        <w:t>机场0-900米的运行空域与多数鸟类的活动高度存在重叠。</w:t>
      </w:r>
      <w:r>
        <w:rPr>
          <w:rFonts w:hint="eastAsia"/>
          <w:color w:val="auto"/>
          <w:highlight w:val="none"/>
          <w:lang w:val="en-US" w:eastAsia="zh-CN"/>
        </w:rPr>
        <w:t>其中较</w:t>
      </w:r>
      <w:r>
        <w:rPr>
          <w:rFonts w:hint="eastAsia"/>
          <w:color w:val="auto"/>
          <w:highlight w:val="none"/>
        </w:rPr>
        <w:t>高风险区（0-300米）：这是航空器起降的关键阶段，同时也是白尾鹞（贴地飞行）、家燕、麻雀等多种鸟类最活跃的空域</w:t>
      </w:r>
      <w:r>
        <w:rPr>
          <w:rFonts w:hint="eastAsia"/>
          <w:color w:val="auto"/>
          <w:highlight w:val="none"/>
          <w:lang w:eastAsia="zh-CN"/>
        </w:rPr>
        <w:t>；</w:t>
      </w:r>
      <w:r>
        <w:rPr>
          <w:rFonts w:hint="eastAsia"/>
          <w:color w:val="auto"/>
          <w:highlight w:val="none"/>
          <w:lang w:val="en-US" w:eastAsia="zh-CN"/>
        </w:rPr>
        <w:t>其他</w:t>
      </w:r>
      <w:r>
        <w:rPr>
          <w:rFonts w:hint="eastAsia"/>
          <w:color w:val="auto"/>
          <w:highlight w:val="none"/>
        </w:rPr>
        <w:t>风险区（300-900米）：此空域是猛禽（如黑鸢、短趾雕、各种鵟）巡航、翱翔的主要高度，也是迁徙鸟类（如雁鸭类）穿越机场区域的高度</w:t>
      </w:r>
      <w:r>
        <w:rPr>
          <w:rFonts w:hint="eastAsia"/>
          <w:color w:val="auto"/>
          <w:highlight w:val="none"/>
          <w:lang w:eastAsia="zh-CN"/>
        </w:rPr>
        <w:t>。</w:t>
      </w:r>
      <w:r>
        <w:rPr>
          <w:rFonts w:hint="eastAsia"/>
          <w:color w:val="auto"/>
          <w:highlight w:val="none"/>
        </w:rPr>
        <w:t>据统计，31%的鸟击发生在起飞滑行阶段，39%发生在进近和着陆阶段，75%的鸟击发生在高度150m以下</w:t>
      </w:r>
      <w:r>
        <w:rPr>
          <w:rFonts w:hint="eastAsia"/>
          <w:color w:val="auto"/>
          <w:highlight w:val="none"/>
          <w:lang w:eastAsia="zh-CN"/>
        </w:rPr>
        <w:t>。</w:t>
      </w:r>
      <w:r>
        <w:rPr>
          <w:rFonts w:hint="eastAsia"/>
          <w:color w:val="auto"/>
          <w:highlight w:val="none"/>
        </w:rPr>
        <w:t>据国际民航组织1998年的数据显示，59.2%的鸟击发生在机场及其附近的39.4m以下的高度。所以，把40m作为一个风险区域的中值，鸟击在40m以下风险随着活动高度的增加而变大，在40m以上风险随鸟类飞行高度增加而降低</w:t>
      </w:r>
      <w:r>
        <w:rPr>
          <w:rFonts w:hint="eastAsia"/>
          <w:color w:val="auto"/>
          <w:highlight w:val="none"/>
          <w:lang w:eastAsia="zh-CN"/>
        </w:rPr>
        <w:t>。通过运行管控强化，重点保护鸟类活动高峰期（如猛禽繁殖季、春秋迁徙季）空管部门提高警惕加强瞭望，及时通过变更跑道、调整起降时间等方式进行规避，使生态影响控制在可接受的范围内。</w:t>
      </w:r>
    </w:p>
    <w:p w14:paraId="2856F243">
      <w:pPr>
        <w:ind w:firstLine="480" w:firstLineChars="200"/>
        <w:rPr>
          <w:rFonts w:hint="eastAsia" w:eastAsia="宋体"/>
          <w:color w:val="auto"/>
          <w:highlight w:val="none"/>
          <w:lang w:val="en-US" w:eastAsia="zh-CN"/>
        </w:rPr>
      </w:pPr>
      <w:r>
        <w:rPr>
          <w:rFonts w:hint="eastAsia"/>
          <w:color w:val="auto"/>
          <w:highlight w:val="none"/>
          <w:lang w:val="en-US" w:eastAsia="zh-CN"/>
        </w:rPr>
        <w:t>3）时间维度叠加分析</w:t>
      </w:r>
    </w:p>
    <w:p w14:paraId="65C90F37">
      <w:pPr>
        <w:ind w:firstLine="480" w:firstLineChars="200"/>
        <w:rPr>
          <w:rFonts w:hint="eastAsia" w:eastAsia="宋体"/>
          <w:color w:val="auto"/>
          <w:highlight w:val="none"/>
          <w:lang w:val="en-US" w:eastAsia="zh-CN"/>
        </w:rPr>
      </w:pPr>
      <w:r>
        <w:rPr>
          <w:rFonts w:hint="eastAsia"/>
          <w:color w:val="auto"/>
          <w:highlight w:val="none"/>
        </w:rPr>
        <w:t>春秋迁徙季（3月-5月，8月下旬-10月下旬）：风险最高。此时，不仅本地保护鸟类活跃，更有大量途经的迁徙候鸟（如沿博尔塔拉河迁徙的群体）过境，鸟类的种类、数量和集群规模达到峰值。昼夜节律：猛禽多在白天活动，而一些鸮形目保护鸟类（如长耳鸮、短耳鸮）在黄昏和夜间活动，需关注夜航的风险</w:t>
      </w:r>
      <w:r>
        <w:rPr>
          <w:rFonts w:hint="eastAsia"/>
          <w:color w:val="auto"/>
          <w:highlight w:val="none"/>
          <w:lang w:eastAsia="zh-CN"/>
        </w:rPr>
        <w:t>。通过将23种重点保护鸟类列为重点监测对象，在日常监测中记录其活动规律，一旦发生涉及重点保护鸟类的鸟击事件，应立即启动应急预案，并依据《中华人民共和国野生动物保护法》上报当地林草主管部门，使生态影响控制在可接受的范围内。</w:t>
      </w:r>
    </w:p>
    <w:p w14:paraId="7AF24280">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生境影响分析</w:t>
      </w:r>
    </w:p>
    <w:p w14:paraId="7A7C705F">
      <w:pPr>
        <w:keepNext w:val="0"/>
        <w:keepLines w:val="0"/>
        <w:pageBreakBefore w:val="0"/>
        <w:widowControl w:val="0"/>
        <w:kinsoku/>
        <w:wordWrap/>
        <w:overflowPunct/>
        <w:topLinePunct w:val="0"/>
        <w:autoSpaceDE/>
        <w:autoSpaceDN/>
        <w:bidi w:val="0"/>
        <w:adjustRightInd/>
        <w:snapToGrid/>
        <w:ind w:firstLine="482" w:firstLineChars="200"/>
        <w:textAlignment w:val="auto"/>
        <w:outlineLvl w:val="4"/>
        <w:rPr>
          <w:color w:val="auto"/>
          <w:highlight w:val="none"/>
        </w:rPr>
      </w:pPr>
      <w:r>
        <w:rPr>
          <w:rFonts w:hint="eastAsia"/>
          <w:b/>
          <w:bCs/>
          <w:color w:val="auto"/>
          <w:highlight w:val="none"/>
        </w:rPr>
        <w:t>（</w:t>
      </w:r>
      <w:r>
        <w:rPr>
          <w:rFonts w:hint="eastAsia" w:ascii="Times New Roman" w:eastAsia="宋体"/>
          <w:b/>
          <w:bCs/>
          <w:color w:val="auto"/>
          <w:highlight w:val="none"/>
          <w:lang w:val="en-US" w:eastAsia="zh-CN"/>
        </w:rPr>
        <w:t>1</w:t>
      </w:r>
      <w:r>
        <w:rPr>
          <w:rFonts w:hint="eastAsia"/>
          <w:b/>
          <w:bCs/>
          <w:color w:val="auto"/>
          <w:highlight w:val="none"/>
        </w:rPr>
        <w:t>）</w:t>
      </w:r>
      <w:r>
        <w:rPr>
          <w:rFonts w:hint="eastAsia"/>
          <w:b/>
          <w:bCs/>
          <w:color w:val="auto"/>
          <w:highlight w:val="none"/>
          <w:lang w:val="en-US" w:eastAsia="zh-CN"/>
        </w:rPr>
        <w:t>运营期对鸟类</w:t>
      </w:r>
      <w:r>
        <w:rPr>
          <w:rFonts w:hint="eastAsia"/>
          <w:b/>
          <w:bCs/>
          <w:color w:val="auto"/>
          <w:highlight w:val="none"/>
        </w:rPr>
        <w:t>生境</w:t>
      </w:r>
      <w:r>
        <w:rPr>
          <w:rFonts w:hint="eastAsia"/>
          <w:b/>
          <w:bCs/>
          <w:color w:val="auto"/>
          <w:highlight w:val="none"/>
          <w:lang w:val="en-US" w:eastAsia="zh-CN"/>
        </w:rPr>
        <w:t>的直接</w:t>
      </w:r>
      <w:r>
        <w:rPr>
          <w:rFonts w:hint="eastAsia"/>
          <w:b/>
          <w:bCs/>
          <w:color w:val="auto"/>
          <w:highlight w:val="none"/>
        </w:rPr>
        <w:t>影响分析</w:t>
      </w:r>
    </w:p>
    <w:p w14:paraId="1B953AF2">
      <w:pPr>
        <w:ind w:firstLine="480" w:firstLineChars="200"/>
        <w:rPr>
          <w:color w:val="auto"/>
          <w:highlight w:val="none"/>
        </w:rPr>
      </w:pPr>
      <w:r>
        <w:rPr>
          <w:color w:val="auto"/>
          <w:highlight w:val="none"/>
        </w:rPr>
        <w:t>从生境的角度看，本项目对生境影响属于低影响可接受范围。项目周边林地类型主要以</w:t>
      </w:r>
      <w:r>
        <w:rPr>
          <w:rFonts w:hint="eastAsia"/>
          <w:color w:val="auto"/>
          <w:highlight w:val="none"/>
        </w:rPr>
        <w:t>人工植被</w:t>
      </w:r>
      <w:r>
        <w:rPr>
          <w:color w:val="auto"/>
          <w:highlight w:val="none"/>
        </w:rPr>
        <w:t>为主，这也是相邻</w:t>
      </w:r>
      <w:r>
        <w:rPr>
          <w:rFonts w:hint="eastAsia"/>
          <w:color w:val="auto"/>
          <w:highlight w:val="none"/>
        </w:rPr>
        <w:t>区域</w:t>
      </w:r>
      <w:r>
        <w:rPr>
          <w:color w:val="auto"/>
          <w:highlight w:val="none"/>
        </w:rPr>
        <w:t>的主要植被类型，植被高度在0.5-15m之间，分层明显。</w:t>
      </w:r>
    </w:p>
    <w:p w14:paraId="3CE93165">
      <w:pPr>
        <w:ind w:firstLine="480" w:firstLineChars="200"/>
        <w:rPr>
          <w:color w:val="auto"/>
          <w:highlight w:val="none"/>
        </w:rPr>
      </w:pPr>
      <w:r>
        <w:rPr>
          <w:color w:val="auto"/>
          <w:highlight w:val="none"/>
        </w:rPr>
        <w:t>机场建设可能破坏部分鸟类的觅食场所，觅食地的丧失将会对一些鸟类产生影响，迫使其迁移。考虑到该周边地区的环境容纳尚未饱和，项目区域周边地区可以作为这些物种的备选觅食地，而不会因觅食地不足而对种群数量产生影响。</w:t>
      </w:r>
    </w:p>
    <w:p w14:paraId="531B60A8">
      <w:pPr>
        <w:ind w:firstLine="480" w:firstLineChars="200"/>
        <w:rPr>
          <w:color w:val="auto"/>
          <w:highlight w:val="none"/>
        </w:rPr>
      </w:pPr>
      <w:r>
        <w:rPr>
          <w:color w:val="auto"/>
          <w:highlight w:val="none"/>
        </w:rPr>
        <w:t>项目建设期间，产生的各种噪声及人为活动干扰会使原生境不再适合鸟类</w:t>
      </w:r>
      <w:r>
        <w:rPr>
          <w:rFonts w:hint="eastAsia"/>
          <w:color w:val="auto"/>
          <w:highlight w:val="none"/>
          <w:lang w:eastAsia="zh-CN"/>
        </w:rPr>
        <w:t>栖息</w:t>
      </w:r>
      <w:r>
        <w:rPr>
          <w:color w:val="auto"/>
          <w:highlight w:val="none"/>
        </w:rPr>
        <w:t>，对原先栖息于此的鸟类会产生直接影响。但此类鸟多为攀禽和鸣禽，数量相比其它鸟类较多，分布范围较广，食源广泛且同类栖息生境在附近易于寻找，受项目建设影响的鸟类可以寻找至附近同类生境，并在短暂的调整活动范围之后，很快就会适应新的环境。</w:t>
      </w:r>
    </w:p>
    <w:p w14:paraId="26AD77F8">
      <w:pPr>
        <w:keepNext w:val="0"/>
        <w:keepLines w:val="0"/>
        <w:pageBreakBefore w:val="0"/>
        <w:widowControl w:val="0"/>
        <w:kinsoku/>
        <w:wordWrap/>
        <w:overflowPunct/>
        <w:topLinePunct w:val="0"/>
        <w:autoSpaceDE/>
        <w:autoSpaceDN/>
        <w:bidi w:val="0"/>
        <w:adjustRightInd/>
        <w:snapToGrid/>
        <w:ind w:firstLine="482" w:firstLineChars="200"/>
        <w:textAlignment w:val="auto"/>
        <w:outlineLvl w:val="4"/>
        <w:rPr>
          <w:color w:val="auto"/>
          <w:highlight w:val="none"/>
        </w:rPr>
      </w:pPr>
      <w:r>
        <w:rPr>
          <w:rFonts w:hint="eastAsia"/>
          <w:b/>
          <w:bCs/>
          <w:color w:val="auto"/>
          <w:highlight w:val="none"/>
        </w:rPr>
        <w:t>（</w:t>
      </w:r>
      <w:r>
        <w:rPr>
          <w:rFonts w:hint="eastAsia"/>
          <w:b/>
          <w:bCs/>
          <w:color w:val="auto"/>
          <w:highlight w:val="none"/>
          <w:lang w:val="en-US" w:eastAsia="zh-CN"/>
        </w:rPr>
        <w:t>2</w:t>
      </w:r>
      <w:r>
        <w:rPr>
          <w:rFonts w:hint="eastAsia"/>
          <w:b/>
          <w:bCs/>
          <w:color w:val="auto"/>
          <w:highlight w:val="none"/>
        </w:rPr>
        <w:t>）</w:t>
      </w:r>
      <w:r>
        <w:rPr>
          <w:rFonts w:hint="eastAsia" w:ascii="Times New Roman" w:eastAsia="宋体"/>
          <w:b/>
          <w:bCs/>
          <w:color w:val="auto"/>
          <w:highlight w:val="none"/>
          <w:lang w:val="en-US" w:eastAsia="zh-CN"/>
        </w:rPr>
        <w:t>对鸟类</w:t>
      </w:r>
      <w:r>
        <w:rPr>
          <w:rFonts w:hint="eastAsia"/>
          <w:b/>
          <w:bCs/>
          <w:color w:val="auto"/>
          <w:highlight w:val="none"/>
        </w:rPr>
        <w:t>生境</w:t>
      </w:r>
      <w:r>
        <w:rPr>
          <w:rFonts w:hint="eastAsia" w:ascii="Times New Roman" w:eastAsia="宋体"/>
          <w:b/>
          <w:bCs/>
          <w:color w:val="auto"/>
          <w:highlight w:val="none"/>
          <w:lang w:val="en-US" w:eastAsia="zh-CN"/>
        </w:rPr>
        <w:t>的</w:t>
      </w:r>
      <w:r>
        <w:rPr>
          <w:rFonts w:hint="eastAsia"/>
          <w:b/>
          <w:bCs/>
          <w:color w:val="auto"/>
          <w:highlight w:val="none"/>
          <w:lang w:val="en-US" w:eastAsia="zh-CN"/>
        </w:rPr>
        <w:t>间接</w:t>
      </w:r>
      <w:r>
        <w:rPr>
          <w:rFonts w:hint="eastAsia"/>
          <w:b/>
          <w:bCs/>
          <w:color w:val="auto"/>
          <w:highlight w:val="none"/>
        </w:rPr>
        <w:t>影响分析</w:t>
      </w:r>
    </w:p>
    <w:p w14:paraId="5B561263">
      <w:pPr>
        <w:ind w:firstLine="480" w:firstLineChars="200"/>
        <w:rPr>
          <w:rFonts w:hint="eastAsia"/>
          <w:color w:val="auto"/>
          <w:highlight w:val="none"/>
          <w:lang w:val="en-US" w:eastAsia="zh-CN"/>
        </w:rPr>
      </w:pPr>
      <w:r>
        <w:rPr>
          <w:rFonts w:hint="eastAsia"/>
          <w:color w:val="auto"/>
          <w:highlight w:val="none"/>
          <w:lang w:val="en-US" w:eastAsia="zh-CN"/>
        </w:rPr>
        <w:t>运营期</w:t>
      </w:r>
      <w:r>
        <w:rPr>
          <w:rFonts w:hint="eastAsia"/>
          <w:color w:val="auto"/>
          <w:highlight w:val="none"/>
        </w:rPr>
        <w:t>航空器起降、车辆通行、人员活动构成持续的声、光及运动干扰源，可能导致鸟类，特别是对干扰敏感的地栖鸟类和繁殖鸟类，远离机场核心区，造成栖息</w:t>
      </w:r>
      <w:r>
        <w:rPr>
          <w:rFonts w:hint="eastAsia"/>
          <w:color w:val="auto"/>
          <w:highlight w:val="none"/>
          <w:lang w:val="en-US" w:eastAsia="zh-CN"/>
        </w:rPr>
        <w:t>生境</w:t>
      </w:r>
      <w:r>
        <w:rPr>
          <w:rFonts w:hint="eastAsia"/>
          <w:color w:val="auto"/>
          <w:highlight w:val="none"/>
        </w:rPr>
        <w:t>功能的丧失</w:t>
      </w:r>
      <w:r>
        <w:rPr>
          <w:rFonts w:hint="eastAsia"/>
          <w:color w:val="auto"/>
          <w:highlight w:val="none"/>
          <w:lang w:eastAsia="zh-CN"/>
        </w:rPr>
        <w:t>。综合国内外研究，确定65dB(A)作为鸟类显著回避行为的启动阈值，80dB(A)作为引发惊飞等强烈应激反应的临界值。根据飞机噪声等值线（L</w:t>
      </w:r>
      <w:r>
        <w:rPr>
          <w:rFonts w:hint="eastAsia"/>
          <w:color w:val="auto"/>
          <w:highlight w:val="none"/>
          <w:vertAlign w:val="subscript"/>
          <w:lang w:eastAsia="zh-CN"/>
        </w:rPr>
        <w:t>WECPN</w:t>
      </w:r>
      <w:r>
        <w:rPr>
          <w:rFonts w:hint="eastAsia"/>
          <w:color w:val="auto"/>
          <w:highlight w:val="none"/>
          <w:lang w:eastAsia="zh-CN"/>
        </w:rPr>
        <w:t>）模型预测，在跑道两端及起降航线下方，等效声级超过65dB(A)的固定翼代表机型</w:t>
      </w:r>
      <w:r>
        <w:rPr>
          <w:rFonts w:hint="eastAsia"/>
          <w:color w:val="auto"/>
          <w:highlight w:val="none"/>
          <w:lang w:val="en-US" w:eastAsia="zh-CN"/>
        </w:rPr>
        <w:t>距离约为3km、直升机代表机型距离约为2km。根据调查，艾比湖湿地鸟类重要停歇地位于本项目北部18km处，本项目航空器在本场空域内飞行对重要停歇地的影响较小。此外，65dB(A)噪声影响区域与周边潜在的鸟类觅食生境内的鸟类将产生驱离效应，尤其在航空器持续起降频率下，干扰具有持续性和累积性。</w:t>
      </w:r>
    </w:p>
    <w:p w14:paraId="3B19629B">
      <w:pPr>
        <w:keepNext w:val="0"/>
        <w:keepLines w:val="0"/>
        <w:pageBreakBefore w:val="0"/>
        <w:widowControl w:val="0"/>
        <w:kinsoku/>
        <w:wordWrap/>
        <w:overflowPunct/>
        <w:topLinePunct w:val="0"/>
        <w:autoSpaceDE/>
        <w:autoSpaceDN/>
        <w:bidi w:val="0"/>
        <w:adjustRightInd/>
        <w:snapToGrid/>
        <w:ind w:firstLine="482" w:firstLineChars="200"/>
        <w:textAlignment w:val="auto"/>
        <w:outlineLvl w:val="4"/>
        <w:rPr>
          <w:color w:val="auto"/>
          <w:highlight w:val="none"/>
        </w:rPr>
      </w:pPr>
      <w:r>
        <w:rPr>
          <w:rFonts w:hint="eastAsia"/>
          <w:b/>
          <w:bCs/>
          <w:color w:val="auto"/>
          <w:highlight w:val="none"/>
        </w:rPr>
        <w:t>（</w:t>
      </w:r>
      <w:r>
        <w:rPr>
          <w:rFonts w:hint="eastAsia"/>
          <w:b/>
          <w:bCs/>
          <w:color w:val="auto"/>
          <w:highlight w:val="none"/>
          <w:lang w:val="en-US" w:eastAsia="zh-CN"/>
        </w:rPr>
        <w:t>3</w:t>
      </w:r>
      <w:r>
        <w:rPr>
          <w:rFonts w:hint="eastAsia"/>
          <w:b/>
          <w:bCs/>
          <w:color w:val="auto"/>
          <w:highlight w:val="none"/>
        </w:rPr>
        <w:t>）</w:t>
      </w:r>
      <w:r>
        <w:rPr>
          <w:rFonts w:hint="eastAsia" w:ascii="Times New Roman" w:eastAsia="宋体"/>
          <w:b/>
          <w:bCs/>
          <w:color w:val="auto"/>
          <w:highlight w:val="none"/>
          <w:lang w:val="en-US" w:eastAsia="zh-CN"/>
        </w:rPr>
        <w:t>灯光干扰效应与阈值</w:t>
      </w:r>
      <w:r>
        <w:rPr>
          <w:rFonts w:hint="eastAsia"/>
          <w:b/>
          <w:bCs/>
          <w:color w:val="auto"/>
          <w:highlight w:val="none"/>
        </w:rPr>
        <w:t>分析</w:t>
      </w:r>
    </w:p>
    <w:p w14:paraId="1A5CCBA9">
      <w:pPr>
        <w:ind w:firstLine="480" w:firstLineChars="200"/>
        <w:rPr>
          <w:rFonts w:hint="eastAsia"/>
          <w:color w:val="auto"/>
          <w:highlight w:val="none"/>
          <w:lang w:val="en-US" w:eastAsia="zh-CN"/>
        </w:rPr>
      </w:pPr>
      <w:r>
        <w:rPr>
          <w:rFonts w:hint="eastAsia"/>
          <w:color w:val="auto"/>
          <w:highlight w:val="none"/>
          <w:lang w:val="en-US" w:eastAsia="zh-CN"/>
        </w:rPr>
        <w:t>机场夜间的高强度白光、蓝光（如高杆灯、楼宇照明）对迁徙鸟类具有强烈的吸引和误导作用，可导致其绕飞、撞击、偏离航线，大量消耗能量。在春（3-5月）、秋（9-11月）迁徙季的夜晚是灯光干扰的最高风险期。在迁徙季节，将非关键区域的照明强度降低至标准值的50%以下。可将跑道边灯、滑行道边灯等替换为波长&gt;560nm的鸟类友好型琥珀色灯，以此来减小机场灯光对鸟类产生的干扰效应。</w:t>
      </w:r>
    </w:p>
    <w:p w14:paraId="763A9148">
      <w:pPr>
        <w:keepNext w:val="0"/>
        <w:keepLines w:val="0"/>
        <w:pageBreakBefore w:val="0"/>
        <w:widowControl w:val="0"/>
        <w:kinsoku/>
        <w:wordWrap/>
        <w:overflowPunct/>
        <w:topLinePunct w:val="0"/>
        <w:autoSpaceDE/>
        <w:autoSpaceDN/>
        <w:bidi w:val="0"/>
        <w:adjustRightInd/>
        <w:snapToGrid/>
        <w:ind w:firstLine="482" w:firstLineChars="200"/>
        <w:textAlignment w:val="auto"/>
        <w:outlineLvl w:val="4"/>
        <w:rPr>
          <w:color w:val="auto"/>
          <w:highlight w:val="none"/>
        </w:rPr>
      </w:pPr>
      <w:r>
        <w:rPr>
          <w:rFonts w:hint="eastAsia"/>
          <w:b/>
          <w:bCs/>
          <w:color w:val="auto"/>
          <w:highlight w:val="none"/>
        </w:rPr>
        <w:t>（</w:t>
      </w:r>
      <w:r>
        <w:rPr>
          <w:rFonts w:hint="eastAsia"/>
          <w:b/>
          <w:bCs/>
          <w:color w:val="auto"/>
          <w:highlight w:val="none"/>
          <w:lang w:val="en-US" w:eastAsia="zh-CN"/>
        </w:rPr>
        <w:t>4</w:t>
      </w:r>
      <w:r>
        <w:rPr>
          <w:rFonts w:hint="eastAsia"/>
          <w:b/>
          <w:bCs/>
          <w:color w:val="auto"/>
          <w:highlight w:val="none"/>
        </w:rPr>
        <w:t>）</w:t>
      </w:r>
      <w:r>
        <w:rPr>
          <w:rFonts w:hint="eastAsia" w:ascii="Times New Roman" w:eastAsia="宋体"/>
          <w:b/>
          <w:bCs/>
          <w:color w:val="auto"/>
          <w:highlight w:val="none"/>
          <w:lang w:val="en-US" w:eastAsia="zh-CN"/>
        </w:rPr>
        <w:t>对鸟类迁徙的潜在屏障效应评估</w:t>
      </w:r>
    </w:p>
    <w:p w14:paraId="1E5C2102">
      <w:pPr>
        <w:ind w:firstLine="480" w:firstLineChars="200"/>
        <w:rPr>
          <w:rFonts w:hint="eastAsia" w:eastAsia="宋体"/>
          <w:color w:val="auto"/>
          <w:highlight w:val="none"/>
          <w:lang w:eastAsia="zh-CN"/>
        </w:rPr>
      </w:pPr>
      <w:r>
        <w:rPr>
          <w:rFonts w:hint="default"/>
          <w:color w:val="auto"/>
          <w:highlight w:val="none"/>
          <w:lang w:val="en-US" w:eastAsia="zh-CN"/>
        </w:rPr>
        <w:t>精河县位于中亚西部迁徙区鸟类迁徙通道上，是猛禽等众多候鸟春秋两季的重要通道。机场所在区域地势平坦，</w:t>
      </w:r>
      <w:r>
        <w:rPr>
          <w:rFonts w:hint="eastAsia"/>
          <w:color w:val="auto"/>
          <w:highlight w:val="none"/>
          <w:lang w:val="en-US" w:eastAsia="zh-CN"/>
        </w:rPr>
        <w:t>对于</w:t>
      </w:r>
      <w:r>
        <w:rPr>
          <w:rFonts w:hint="default"/>
          <w:color w:val="auto"/>
          <w:highlight w:val="none"/>
          <w:lang w:val="en-US" w:eastAsia="zh-CN"/>
        </w:rPr>
        <w:t>夜间迁徙</w:t>
      </w:r>
      <w:r>
        <w:rPr>
          <w:rFonts w:hint="eastAsia"/>
          <w:color w:val="auto"/>
          <w:highlight w:val="none"/>
          <w:lang w:val="en-US" w:eastAsia="zh-CN"/>
        </w:rPr>
        <w:t>的</w:t>
      </w:r>
      <w:r>
        <w:rPr>
          <w:rFonts w:hint="default"/>
          <w:color w:val="auto"/>
          <w:highlight w:val="none"/>
          <w:lang w:val="en-US" w:eastAsia="zh-CN"/>
        </w:rPr>
        <w:t>鸟类</w:t>
      </w:r>
      <w:r>
        <w:rPr>
          <w:rFonts w:hint="eastAsia"/>
          <w:color w:val="auto"/>
          <w:highlight w:val="none"/>
          <w:lang w:val="en-US" w:eastAsia="zh-CN"/>
        </w:rPr>
        <w:t>，机场空间屏障主要表现在机场跑道、高大建筑（如塔台）及密集的灯光构成了一个低空物理与视觉屏障；对于活动屏障，主要表现在起降航线与鸟类飞行在垂直空间上存在重叠（本场飞行高度≤900m），高频率的航空器起降（尤其在迁徙高峰期）会迫使鸟群改变飞行高度或路径，增加其迁徙能量消耗，造成区域栖息生境功能的不利影响。建议在后续鸟情观测中，通过使用先进观测设备，量化在机场运行前后，鸟类穿越跑道延长线方向的穿越率与飞行高度的变化，以精确评估屏障效应。</w:t>
      </w:r>
    </w:p>
    <w:p w14:paraId="5547E0B4">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景观影响分析</w:t>
      </w:r>
    </w:p>
    <w:p w14:paraId="36E91396">
      <w:pPr>
        <w:ind w:firstLine="480" w:firstLineChars="200"/>
        <w:rPr>
          <w:color w:val="auto"/>
          <w:highlight w:val="none"/>
        </w:rPr>
      </w:pPr>
      <w:r>
        <w:rPr>
          <w:color w:val="auto"/>
          <w:highlight w:val="none"/>
        </w:rPr>
        <w:t>项目建设将新增景观类型，在一定程度上增加了景观多样性，同时也使评价区斑块数量增加，使原有自然景观比例和结构发生变化。由于新的斑块的增加，对原有景观类型的面积造成一定的挤占，对原有景观造成分裂效果。随着项目建设对场址区域采取绿化等措施后，可有效减缓局部的景观切割造成的异质性影响。</w:t>
      </w:r>
    </w:p>
    <w:p w14:paraId="4F72821C">
      <w:pPr>
        <w:ind w:firstLine="480" w:firstLineChars="200"/>
        <w:rPr>
          <w:color w:val="auto"/>
          <w:highlight w:val="none"/>
        </w:rPr>
      </w:pPr>
      <w:r>
        <w:rPr>
          <w:color w:val="auto"/>
          <w:highlight w:val="none"/>
        </w:rPr>
        <w:t>在项目运营期采取补种等措施，减少对区域植物的破坏，确保区域植物生物量不减少，可在航站区、飞行区绿化草坪内点缀种植</w:t>
      </w:r>
      <w:r>
        <w:rPr>
          <w:rFonts w:hint="eastAsia"/>
          <w:color w:val="auto"/>
          <w:highlight w:val="none"/>
        </w:rPr>
        <w:t>景观</w:t>
      </w:r>
      <w:r>
        <w:rPr>
          <w:color w:val="auto"/>
          <w:highlight w:val="none"/>
        </w:rPr>
        <w:t>植被。由于项目占地相对于区域面积的原生植被群落来说，占地较小，且占地内植被盖度较小，植被稀疏，采取补种等措施后，对植被影响较小。</w:t>
      </w:r>
    </w:p>
    <w:p w14:paraId="2971070D">
      <w:pPr>
        <w:ind w:firstLine="480" w:firstLineChars="200"/>
        <w:rPr>
          <w:color w:val="auto"/>
          <w:highlight w:val="none"/>
        </w:rPr>
      </w:pPr>
      <w:r>
        <w:rPr>
          <w:color w:val="auto"/>
          <w:highlight w:val="none"/>
        </w:rPr>
        <w:t>项目建成后将恢复一定的生态植被，保持一定的绿化覆盖率，保障微生态系统的良性运行和对微气候的改善，但作为一种典型的人工生态系统，其作用更多</w:t>
      </w:r>
      <w:r>
        <w:rPr>
          <w:rFonts w:hint="eastAsia"/>
          <w:color w:val="auto"/>
          <w:highlight w:val="none"/>
          <w:lang w:eastAsia="zh-CN"/>
        </w:rPr>
        <w:t>地</w:t>
      </w:r>
      <w:r>
        <w:rPr>
          <w:color w:val="auto"/>
          <w:highlight w:val="none"/>
        </w:rPr>
        <w:t>体现在绿化环境和美化景观等方面。</w:t>
      </w:r>
    </w:p>
    <w:p w14:paraId="3C1453E2">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对公益林环境影响分析</w:t>
      </w:r>
    </w:p>
    <w:p w14:paraId="643161A0">
      <w:pPr>
        <w:ind w:firstLine="480" w:firstLineChars="200"/>
        <w:rPr>
          <w:color w:val="auto"/>
          <w:highlight w:val="none"/>
        </w:rPr>
      </w:pPr>
      <w:r>
        <w:rPr>
          <w:color w:val="auto"/>
          <w:highlight w:val="none"/>
        </w:rPr>
        <w:t>根据评价区域重点公益林调查与评价结果，本项目</w:t>
      </w:r>
      <w:r>
        <w:rPr>
          <w:rFonts w:hint="eastAsia"/>
          <w:color w:val="auto"/>
          <w:highlight w:val="none"/>
          <w:lang w:val="en-US" w:eastAsia="zh-CN"/>
        </w:rPr>
        <w:t>不占用</w:t>
      </w:r>
      <w:r>
        <w:rPr>
          <w:color w:val="auto"/>
          <w:highlight w:val="none"/>
        </w:rPr>
        <w:t>重点公益林，距最近的重点公益林约200m，为</w:t>
      </w:r>
      <w:r>
        <w:rPr>
          <w:rFonts w:hint="eastAsia"/>
          <w:color w:val="auto"/>
          <w:highlight w:val="none"/>
        </w:rPr>
        <w:t>地方</w:t>
      </w:r>
      <w:r>
        <w:rPr>
          <w:color w:val="auto"/>
          <w:highlight w:val="none"/>
        </w:rPr>
        <w:t>公益林，地类为灌木林地，</w:t>
      </w:r>
      <w:r>
        <w:rPr>
          <w:rFonts w:hint="eastAsia"/>
          <w:color w:val="auto"/>
          <w:highlight w:val="none"/>
        </w:rPr>
        <w:t>优势种为梭梭等</w:t>
      </w:r>
      <w:r>
        <w:rPr>
          <w:color w:val="auto"/>
          <w:highlight w:val="none"/>
        </w:rPr>
        <w:t>，</w:t>
      </w:r>
      <w:r>
        <w:rPr>
          <w:rFonts w:hint="eastAsia"/>
          <w:color w:val="auto"/>
          <w:highlight w:val="none"/>
        </w:rPr>
        <w:t>林地</w:t>
      </w:r>
      <w:r>
        <w:rPr>
          <w:color w:val="auto"/>
          <w:highlight w:val="none"/>
        </w:rPr>
        <w:t>稀疏，为防风固沙林。本项目在设计选址阶段就对区域重点公益林及植被覆盖度较高的区域采取了避让措施，因此不会对区域</w:t>
      </w:r>
      <w:r>
        <w:rPr>
          <w:rFonts w:hint="eastAsia"/>
          <w:color w:val="auto"/>
          <w:highlight w:val="none"/>
        </w:rPr>
        <w:t>地方</w:t>
      </w:r>
      <w:r>
        <w:rPr>
          <w:color w:val="auto"/>
          <w:highlight w:val="none"/>
        </w:rPr>
        <w:t>公益林以及灌丛造成破坏，也不会导致该片防风固沙林区的破碎化。</w:t>
      </w:r>
    </w:p>
    <w:p w14:paraId="35C28D10">
      <w:pPr>
        <w:ind w:firstLine="480" w:firstLineChars="200"/>
        <w:rPr>
          <w:color w:val="auto"/>
          <w:highlight w:val="none"/>
        </w:rPr>
      </w:pPr>
      <w:r>
        <w:rPr>
          <w:color w:val="auto"/>
          <w:highlight w:val="none"/>
        </w:rPr>
        <w:t>项目建设后，区域防风固沙林面积不会由于项目的实施而减小，但在施工过程中对项目占地外的林木生长将产生不同程度的影响，林木质量下降，生长态势减弱，本项目评价范围内分布有灌木林地</w:t>
      </w:r>
      <w:r>
        <w:rPr>
          <w:rFonts w:hint="eastAsia"/>
          <w:color w:val="auto"/>
          <w:highlight w:val="none"/>
        </w:rPr>
        <w:t>等</w:t>
      </w:r>
      <w:r>
        <w:rPr>
          <w:color w:val="auto"/>
          <w:highlight w:val="none"/>
        </w:rPr>
        <w:t>，林木资源只在局部区域有所减少，对整个区域的林地资源影响甚微。</w:t>
      </w:r>
    </w:p>
    <w:p w14:paraId="43953BB8">
      <w:pPr>
        <w:ind w:firstLine="480" w:firstLineChars="200"/>
        <w:rPr>
          <w:color w:val="auto"/>
          <w:highlight w:val="none"/>
        </w:rPr>
      </w:pPr>
      <w:r>
        <w:rPr>
          <w:color w:val="auto"/>
          <w:highlight w:val="none"/>
        </w:rPr>
        <w:t>评价区域的公益林主要的生态效能是防风固沙，为区域野生动物提供</w:t>
      </w:r>
      <w:r>
        <w:rPr>
          <w:rFonts w:hint="eastAsia"/>
          <w:color w:val="auto"/>
          <w:highlight w:val="none"/>
        </w:rPr>
        <w:t>栖息生境</w:t>
      </w:r>
      <w:r>
        <w:rPr>
          <w:color w:val="auto"/>
          <w:highlight w:val="none"/>
        </w:rPr>
        <w:t>，维护当地的生态平衡。因本项目占用林木资源较</w:t>
      </w:r>
      <w:r>
        <w:rPr>
          <w:rFonts w:hint="eastAsia"/>
          <w:color w:val="auto"/>
          <w:highlight w:val="none"/>
          <w:lang w:eastAsia="zh-CN"/>
        </w:rPr>
        <w:t>少</w:t>
      </w:r>
      <w:r>
        <w:rPr>
          <w:color w:val="auto"/>
          <w:highlight w:val="none"/>
        </w:rPr>
        <w:t>，只是个别零星地段的生态效能稍有改变，基本不会影响整体效能。</w:t>
      </w:r>
    </w:p>
    <w:p w14:paraId="698B7B86">
      <w:pPr>
        <w:ind w:firstLine="480" w:firstLineChars="200"/>
        <w:rPr>
          <w:color w:val="auto"/>
          <w:highlight w:val="none"/>
        </w:rPr>
      </w:pPr>
      <w:r>
        <w:rPr>
          <w:color w:val="auto"/>
          <w:highlight w:val="none"/>
        </w:rPr>
        <w:t>项目选址、设计时本着减少占地的原则，设计单位在设计中优化设计方案，减少占用梭梭等防风固沙植被。施工便道等临时占地区域结合用地情况和公益林分布情况进行多方案论证、比选，确定合理的施工方案，尽量采取对区域公益林影响最小的方案。</w:t>
      </w:r>
    </w:p>
    <w:p w14:paraId="144A7C64">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小结</w:t>
      </w:r>
    </w:p>
    <w:p w14:paraId="3943FBCB">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color w:val="auto"/>
          <w:highlight w:val="none"/>
        </w:rPr>
        <w:t>项目</w:t>
      </w:r>
      <w:r>
        <w:rPr>
          <w:rFonts w:hint="eastAsia"/>
          <w:color w:val="auto"/>
          <w:highlight w:val="none"/>
        </w:rPr>
        <w:t>实施后生态系统的稳定性和完整性将发生一定的变化。但就整个区域来说，对生态系统的稳定性和完整性产生影响不明显。且随着机场的建设，种植绿化带将进一步改善机场周边的自然环境。本项目建成后，使土地利用结构发生变化，由现有的耕地转变为机场用地，不会使评价区植物群落的种类组成发生变化，也不会造成某种植物的消失；项目改变了区域原有的农业农村景观。随着与项目建设同步实施的一系列生态保护与恢复措施，进而改善了机场所在地及周边地区的生态环境，产生新的景观类型，使项目所在区域生态景观多样化，促进该地区景观生态系统向良性方向发展</w:t>
      </w:r>
      <w:r>
        <w:rPr>
          <w:color w:val="auto"/>
          <w:highlight w:val="none"/>
        </w:rPr>
        <w:t>。运营期对区域生态环境影响较小，而且通过机场区域的生态建设（绿化），可以补偿施工期项目建设造成的生态损失。在采取有效的生态保护措施的前提下，本项目对区域生态环境的影响是可以接受的</w:t>
      </w:r>
      <w:r>
        <w:rPr>
          <w:rFonts w:ascii="Times New Roman" w:hAnsi="Times New Roman" w:eastAsia="宋体" w:cs="Times New Roman"/>
          <w:color w:val="auto"/>
          <w:szCs w:val="21"/>
          <w:highlight w:val="none"/>
        </w:rPr>
        <w:t>。</w:t>
      </w:r>
    </w:p>
    <w:p w14:paraId="59020E16">
      <w:pPr>
        <w:rPr>
          <w:rFonts w:hint="eastAsia" w:ascii="黑体" w:hAnsi="黑体" w:eastAsia="黑体" w:cs="Calibri"/>
          <w:color w:val="auto"/>
          <w:sz w:val="21"/>
          <w:szCs w:val="21"/>
          <w:highlight w:val="none"/>
        </w:rPr>
      </w:pPr>
      <w:r>
        <w:rPr>
          <w:rFonts w:hint="eastAsia" w:ascii="黑体" w:hAnsi="黑体" w:eastAsia="黑体" w:cs="Calibri"/>
          <w:color w:val="auto"/>
          <w:sz w:val="21"/>
          <w:szCs w:val="21"/>
          <w:highlight w:val="none"/>
        </w:rPr>
        <w:br w:type="page"/>
      </w:r>
    </w:p>
    <w:p w14:paraId="28F49DF5">
      <w:pPr>
        <w:pageBreakBefore w:val="0"/>
        <w:widowControl w:val="0"/>
        <w:kinsoku/>
        <w:wordWrap/>
        <w:overflowPunct/>
        <w:bidi w:val="0"/>
        <w:ind w:left="0" w:leftChars="0" w:right="0" w:rightChars="0" w:firstLine="0" w:firstLineChars="0"/>
        <w:jc w:val="center"/>
        <w:rPr>
          <w:rFonts w:hint="eastAsia" w:ascii="黑体" w:hAnsi="黑体" w:eastAsia="黑体" w:cs="Calibri"/>
          <w:color w:val="auto"/>
          <w:sz w:val="21"/>
          <w:szCs w:val="21"/>
          <w:highlight w:val="none"/>
        </w:rPr>
      </w:pPr>
      <w:r>
        <w:rPr>
          <w:rFonts w:hint="eastAsia" w:ascii="黑体" w:hAnsi="黑体" w:eastAsia="黑体" w:cs="Calibri"/>
          <w:color w:val="auto"/>
          <w:sz w:val="21"/>
          <w:szCs w:val="21"/>
          <w:highlight w:val="none"/>
        </w:rPr>
        <w:t>表5.</w:t>
      </w:r>
      <w:r>
        <w:rPr>
          <w:rFonts w:ascii="黑体" w:hAnsi="黑体" w:eastAsia="黑体" w:cs="Calibri"/>
          <w:color w:val="auto"/>
          <w:sz w:val="21"/>
          <w:szCs w:val="21"/>
          <w:highlight w:val="none"/>
        </w:rPr>
        <w:t>2</w:t>
      </w:r>
      <w:r>
        <w:rPr>
          <w:rFonts w:hint="eastAsia" w:ascii="黑体" w:hAnsi="黑体" w:eastAsia="黑体" w:cs="Calibri"/>
          <w:color w:val="auto"/>
          <w:sz w:val="21"/>
          <w:szCs w:val="21"/>
          <w:highlight w:val="none"/>
        </w:rPr>
        <w:t>-</w:t>
      </w:r>
      <w:r>
        <w:rPr>
          <w:rFonts w:ascii="黑体" w:hAnsi="黑体" w:eastAsia="黑体" w:cs="Calibri"/>
          <w:color w:val="auto"/>
          <w:sz w:val="21"/>
          <w:szCs w:val="21"/>
          <w:highlight w:val="none"/>
        </w:rPr>
        <w:t>2</w:t>
      </w:r>
      <w:r>
        <w:rPr>
          <w:rFonts w:hint="eastAsia" w:ascii="黑体" w:hAnsi="黑体" w:eastAsia="黑体" w:cs="Calibri"/>
          <w:color w:val="auto"/>
          <w:sz w:val="21"/>
          <w:szCs w:val="21"/>
          <w:highlight w:val="none"/>
        </w:rPr>
        <w:t xml:space="preserve">  生态影响评价自查表</w:t>
      </w:r>
    </w:p>
    <w:tbl>
      <w:tblPr>
        <w:tblStyle w:val="88"/>
        <w:tblW w:w="0" w:type="auto"/>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28" w:type="dxa"/>
          <w:bottom w:w="0" w:type="dxa"/>
          <w:right w:w="28" w:type="dxa"/>
        </w:tblCellMar>
      </w:tblPr>
      <w:tblGrid>
        <w:gridCol w:w="891"/>
        <w:gridCol w:w="241"/>
        <w:gridCol w:w="1136"/>
        <w:gridCol w:w="6173"/>
      </w:tblGrid>
      <w:tr w14:paraId="388AFD0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2268" w:type="dxa"/>
            <w:gridSpan w:val="3"/>
            <w:noWrap w:val="0"/>
            <w:vAlign w:val="center"/>
          </w:tcPr>
          <w:p w14:paraId="1A489538">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工作内容</w:t>
            </w:r>
          </w:p>
        </w:tc>
        <w:tc>
          <w:tcPr>
            <w:tcW w:w="6173" w:type="dxa"/>
            <w:noWrap w:val="0"/>
            <w:vAlign w:val="center"/>
          </w:tcPr>
          <w:p w14:paraId="03BDFFC8">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自查项目</w:t>
            </w:r>
          </w:p>
        </w:tc>
      </w:tr>
      <w:tr w14:paraId="371677D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91" w:type="dxa"/>
            <w:vMerge w:val="restart"/>
            <w:noWrap w:val="0"/>
            <w:vAlign w:val="center"/>
          </w:tcPr>
          <w:p w14:paraId="46112F57">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生态影响识别</w:t>
            </w:r>
          </w:p>
        </w:tc>
        <w:tc>
          <w:tcPr>
            <w:tcW w:w="1377" w:type="dxa"/>
            <w:gridSpan w:val="2"/>
            <w:noWrap w:val="0"/>
            <w:vAlign w:val="center"/>
          </w:tcPr>
          <w:p w14:paraId="07BC42F0">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生态保护目标</w:t>
            </w:r>
          </w:p>
        </w:tc>
        <w:tc>
          <w:tcPr>
            <w:tcW w:w="6173" w:type="dxa"/>
            <w:noWrap w:val="0"/>
            <w:vAlign w:val="center"/>
          </w:tcPr>
          <w:p w14:paraId="56386E92">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left"/>
              <w:rPr>
                <w:rFonts w:hint="eastAsia" w:ascii="宋体" w:hAnsi="宋体" w:eastAsia="宋体" w:cs="宋体"/>
                <w:color w:val="auto"/>
                <w:spacing w:val="-10"/>
                <w:kern w:val="0"/>
                <w:sz w:val="21"/>
                <w:szCs w:val="21"/>
                <w:highlight w:val="none"/>
                <w:lang w:eastAsia="zh-CN"/>
              </w:rPr>
            </w:pPr>
            <w:r>
              <w:rPr>
                <w:rFonts w:hint="eastAsia" w:ascii="宋体" w:hAnsi="宋体" w:eastAsia="宋体" w:cs="宋体"/>
                <w:color w:val="auto"/>
                <w:spacing w:val="-10"/>
                <w:kern w:val="0"/>
                <w:sz w:val="21"/>
                <w:szCs w:val="21"/>
                <w:highlight w:val="none"/>
              </w:rPr>
              <w:t>重要物种</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；国家公园□；自然保护区</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；自然公园□；世界自然遗产□；生态保护红线</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；重要生境</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；其他具有重要生态功能、对保护生物多样性具有重要意义的区域</w:t>
            </w:r>
            <w:r>
              <w:rPr>
                <w:rFonts w:hint="eastAsia" w:ascii="宋体" w:hAnsi="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；其他</w:t>
            </w:r>
            <w:r>
              <w:rPr>
                <w:rFonts w:hint="eastAsia" w:ascii="宋体" w:hAnsi="宋体" w:eastAsia="宋体" w:cs="宋体"/>
                <w:color w:val="auto"/>
                <w:spacing w:val="-10"/>
                <w:kern w:val="0"/>
                <w:sz w:val="21"/>
                <w:szCs w:val="21"/>
                <w:highlight w:val="none"/>
                <w:lang w:eastAsia="zh-CN"/>
              </w:rPr>
              <w:t>☑</w:t>
            </w:r>
          </w:p>
        </w:tc>
      </w:tr>
      <w:tr w14:paraId="4F3EE65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91" w:type="dxa"/>
            <w:vMerge w:val="continue"/>
            <w:noWrap w:val="0"/>
            <w:vAlign w:val="center"/>
          </w:tcPr>
          <w:p w14:paraId="7552F15A">
            <w:pPr>
              <w:keepNext w:val="0"/>
              <w:keepLines w:val="0"/>
              <w:pageBreakBefore w:val="0"/>
              <w:widowControl/>
              <w:suppressLineNumbers w:val="0"/>
              <w:kinsoku/>
              <w:wordWrap/>
              <w:overflowPunct/>
              <w:bidi w:val="0"/>
              <w:spacing w:before="0" w:beforeAutospacing="0" w:after="0" w:afterAutospacing="0" w:line="320" w:lineRule="exact"/>
              <w:ind w:left="0" w:right="0" w:firstLine="0"/>
              <w:jc w:val="center"/>
              <w:rPr>
                <w:rFonts w:hint="eastAsia" w:ascii="宋体" w:hAnsi="宋体" w:eastAsia="宋体" w:cs="宋体"/>
                <w:color w:val="auto"/>
                <w:spacing w:val="-10"/>
                <w:kern w:val="0"/>
                <w:sz w:val="21"/>
                <w:szCs w:val="21"/>
                <w:highlight w:val="none"/>
              </w:rPr>
            </w:pPr>
          </w:p>
        </w:tc>
        <w:tc>
          <w:tcPr>
            <w:tcW w:w="1377" w:type="dxa"/>
            <w:gridSpan w:val="2"/>
            <w:noWrap w:val="0"/>
            <w:vAlign w:val="center"/>
          </w:tcPr>
          <w:p w14:paraId="7AF9A267">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影响方式</w:t>
            </w:r>
          </w:p>
        </w:tc>
        <w:tc>
          <w:tcPr>
            <w:tcW w:w="6173" w:type="dxa"/>
            <w:noWrap w:val="0"/>
            <w:vAlign w:val="center"/>
          </w:tcPr>
          <w:p w14:paraId="217A0200">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left"/>
              <w:rPr>
                <w:rFonts w:hint="eastAsia" w:ascii="宋体" w:hAnsi="宋体" w:eastAsia="宋体" w:cs="宋体"/>
                <w:color w:val="auto"/>
                <w:spacing w:val="-10"/>
                <w:kern w:val="0"/>
                <w:sz w:val="21"/>
                <w:szCs w:val="21"/>
                <w:highlight w:val="none"/>
                <w:lang w:eastAsia="zh-CN"/>
              </w:rPr>
            </w:pPr>
            <w:r>
              <w:rPr>
                <w:rFonts w:hint="eastAsia" w:ascii="宋体" w:hAnsi="宋体" w:eastAsia="宋体" w:cs="宋体"/>
                <w:color w:val="auto"/>
                <w:spacing w:val="-10"/>
                <w:kern w:val="0"/>
                <w:sz w:val="21"/>
                <w:szCs w:val="21"/>
                <w:highlight w:val="none"/>
              </w:rPr>
              <w:t>工程占用</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；施工活动干扰</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；改变环境条件□；其他</w:t>
            </w:r>
            <w:r>
              <w:rPr>
                <w:rFonts w:hint="eastAsia" w:ascii="宋体" w:hAnsi="宋体" w:eastAsia="宋体" w:cs="宋体"/>
                <w:color w:val="auto"/>
                <w:spacing w:val="-10"/>
                <w:kern w:val="0"/>
                <w:sz w:val="21"/>
                <w:szCs w:val="21"/>
                <w:highlight w:val="none"/>
                <w:lang w:eastAsia="zh-CN"/>
              </w:rPr>
              <w:t>☑</w:t>
            </w:r>
          </w:p>
        </w:tc>
      </w:tr>
      <w:tr w14:paraId="1B1F922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91" w:type="dxa"/>
            <w:vMerge w:val="continue"/>
            <w:noWrap w:val="0"/>
            <w:vAlign w:val="center"/>
          </w:tcPr>
          <w:p w14:paraId="28F71467">
            <w:pPr>
              <w:keepNext w:val="0"/>
              <w:keepLines w:val="0"/>
              <w:pageBreakBefore w:val="0"/>
              <w:widowControl/>
              <w:suppressLineNumbers w:val="0"/>
              <w:kinsoku/>
              <w:wordWrap/>
              <w:overflowPunct/>
              <w:bidi w:val="0"/>
              <w:spacing w:before="0" w:beforeAutospacing="0" w:after="0" w:afterAutospacing="0" w:line="320" w:lineRule="exact"/>
              <w:ind w:left="0" w:right="0" w:firstLine="0"/>
              <w:jc w:val="center"/>
              <w:rPr>
                <w:rFonts w:hint="eastAsia" w:ascii="宋体" w:hAnsi="宋体" w:eastAsia="宋体" w:cs="宋体"/>
                <w:color w:val="auto"/>
                <w:spacing w:val="-10"/>
                <w:kern w:val="0"/>
                <w:sz w:val="21"/>
                <w:szCs w:val="21"/>
                <w:highlight w:val="none"/>
              </w:rPr>
            </w:pPr>
          </w:p>
        </w:tc>
        <w:tc>
          <w:tcPr>
            <w:tcW w:w="1377" w:type="dxa"/>
            <w:gridSpan w:val="2"/>
            <w:noWrap w:val="0"/>
            <w:vAlign w:val="center"/>
          </w:tcPr>
          <w:p w14:paraId="787FBBC6">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default"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评价因子</w:t>
            </w:r>
          </w:p>
        </w:tc>
        <w:tc>
          <w:tcPr>
            <w:tcW w:w="6173" w:type="dxa"/>
            <w:noWrap w:val="0"/>
            <w:vAlign w:val="bottom"/>
          </w:tcPr>
          <w:p w14:paraId="68FDAAB9">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left"/>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mc:AlternateContent>
                <mc:Choice Requires="wps">
                  <w:drawing>
                    <wp:anchor distT="0" distB="0" distL="114300" distR="114300" simplePos="0" relativeHeight="251665408" behindDoc="0" locked="0" layoutInCell="1" allowOverlap="1">
                      <wp:simplePos x="0" y="0"/>
                      <wp:positionH relativeFrom="page">
                        <wp:posOffset>4193540</wp:posOffset>
                      </wp:positionH>
                      <wp:positionV relativeFrom="page">
                        <wp:posOffset>1538605</wp:posOffset>
                      </wp:positionV>
                      <wp:extent cx="6350" cy="6350"/>
                      <wp:effectExtent l="0" t="0" r="0" b="0"/>
                      <wp:wrapNone/>
                      <wp:docPr id="197" name="矩形 197"/>
                      <wp:cNvGraphicFramePr/>
                      <a:graphic xmlns:a="http://schemas.openxmlformats.org/drawingml/2006/main">
                        <a:graphicData uri="http://schemas.microsoft.com/office/word/2010/wordprocessingShape">
                          <wps:wsp>
                            <wps:cNvSpPr/>
                            <wps:spPr>
                              <a:xfrm>
                                <a:off x="0" y="0"/>
                                <a:ext cx="6350" cy="6350"/>
                              </a:xfrm>
                              <a:prstGeom prst="rect">
                                <a:avLst/>
                              </a:prstGeom>
                              <a:solidFill>
                                <a:srgbClr val="000000"/>
                              </a:solidFill>
                              <a:ln>
                                <a:noFill/>
                              </a:ln>
                              <a:effectLst/>
                            </wps:spPr>
                            <wps:txbx>
                              <w:txbxContent>
                                <w:p w14:paraId="410F29DE">
                                  <w:pPr>
                                    <w:widowControl/>
                                    <w:spacing w:line="240" w:lineRule="auto"/>
                                    <w:ind w:firstLine="0"/>
                                    <w:jc w:val="left"/>
                                    <w:rPr>
                                      <w:rFonts w:ascii="宋体" w:hAnsi="宋体" w:eastAsia="宋体" w:cs="宋体"/>
                                      <w:kern w:val="0"/>
                                      <w:szCs w:val="24"/>
                                    </w:rPr>
                                  </w:pPr>
                                </w:p>
                              </w:txbxContent>
                            </wps:txbx>
                            <wps:bodyPr upright="1"/>
                          </wps:wsp>
                        </a:graphicData>
                      </a:graphic>
                    </wp:anchor>
                  </w:drawing>
                </mc:Choice>
                <mc:Fallback>
                  <w:pict>
                    <v:rect id="_x0000_s1026" o:spid="_x0000_s1026" o:spt="1" style="position:absolute;left:0pt;margin-left:330.2pt;margin-top:121.15pt;height:0.5pt;width:0.5pt;mso-position-horizontal-relative:page;mso-position-vertical-relative:page;z-index:251665408;mso-width-relative:page;mso-height-relative:page;" fillcolor="#000000" filled="t" stroked="f" coordsize="21600,21600" o:gfxdata="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tVbGvZAAAACwEAAA8AAAAAAAAAAQAgAAAAIgAAAGRycy9kb3ducmV2LnhtbFBLAQIUABQA&#10;AAAIAIdO4kBOTGTrtgEAAHcDAAAOAAAAAAAAAAEAIAAAACgBAABkcnMvZTJvRG9jLnhtbFBLBQYA&#10;AAAABgAGAFkBAABQBQAAAAA=&#10;">
                      <v:fill on="t" focussize="0,0"/>
                      <v:stroke on="f"/>
                      <v:imagedata o:title=""/>
                      <o:lock v:ext="edit" aspectratio="f"/>
                      <v:textbox>
                        <w:txbxContent>
                          <w:p w14:paraId="410F29DE">
                            <w:pPr>
                              <w:widowControl/>
                              <w:spacing w:line="240" w:lineRule="auto"/>
                              <w:ind w:firstLine="0"/>
                              <w:jc w:val="left"/>
                              <w:rPr>
                                <w:rFonts w:ascii="宋体" w:hAnsi="宋体" w:eastAsia="宋体" w:cs="宋体"/>
                                <w:kern w:val="0"/>
                                <w:szCs w:val="24"/>
                              </w:rPr>
                            </w:pPr>
                          </w:p>
                        </w:txbxContent>
                      </v:textbox>
                    </v:rect>
                  </w:pict>
                </mc:Fallback>
              </mc:AlternateContent>
            </w:r>
            <w:r>
              <w:rPr>
                <w:rFonts w:hint="eastAsia" w:ascii="宋体" w:hAnsi="宋体" w:eastAsia="宋体" w:cs="宋体"/>
                <w:color w:val="auto"/>
                <w:spacing w:val="-10"/>
                <w:kern w:val="0"/>
                <w:sz w:val="21"/>
                <w:szCs w:val="21"/>
                <w:highlight w:val="none"/>
              </w:rPr>
              <w:t>物种</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w:t>
            </w:r>
            <w:r>
              <w:rPr>
                <w:rFonts w:hint="eastAsia" w:ascii="宋体" w:hAnsi="宋体" w:eastAsia="宋体" w:cs="宋体"/>
                <w:color w:val="auto"/>
                <w:spacing w:val="-10"/>
                <w:kern w:val="0"/>
                <w:sz w:val="21"/>
                <w:szCs w:val="21"/>
                <w:highlight w:val="none"/>
                <w:lang w:val="en-US" w:eastAsia="zh-CN"/>
              </w:rPr>
              <w:t>分布范围、种群数量、种群结构、行为等</w:t>
            </w:r>
            <w:r>
              <w:rPr>
                <w:rFonts w:hint="eastAsia" w:ascii="宋体" w:hAnsi="宋体" w:eastAsia="宋体" w:cs="宋体"/>
                <w:color w:val="auto"/>
                <w:spacing w:val="-10"/>
                <w:kern w:val="0"/>
                <w:sz w:val="21"/>
                <w:szCs w:val="21"/>
                <w:highlight w:val="none"/>
              </w:rPr>
              <w:t>）</w:t>
            </w:r>
          </w:p>
          <w:p w14:paraId="11795ADD">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left"/>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生境</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（生境面积、质量</w:t>
            </w:r>
            <w:r>
              <w:rPr>
                <w:rFonts w:hint="eastAsia" w:ascii="宋体" w:hAnsi="宋体" w:eastAsia="宋体" w:cs="宋体"/>
                <w:color w:val="auto"/>
                <w:spacing w:val="-10"/>
                <w:kern w:val="0"/>
                <w:sz w:val="21"/>
                <w:szCs w:val="21"/>
                <w:highlight w:val="none"/>
                <w:lang w:val="en-US" w:eastAsia="zh-CN"/>
              </w:rPr>
              <w:t xml:space="preserve">、连通性                </w:t>
            </w:r>
            <w:r>
              <w:rPr>
                <w:rFonts w:hint="eastAsia" w:ascii="宋体" w:hAnsi="宋体" w:eastAsia="宋体" w:cs="宋体"/>
                <w:color w:val="auto"/>
                <w:spacing w:val="-10"/>
                <w:kern w:val="0"/>
                <w:sz w:val="21"/>
                <w:szCs w:val="21"/>
                <w:highlight w:val="none"/>
              </w:rPr>
              <w:t>）</w:t>
            </w:r>
          </w:p>
          <w:p w14:paraId="2581430A">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left"/>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生物群落</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（物种组成、群落结构等</w:t>
            </w:r>
            <w:r>
              <w:rPr>
                <w:rFonts w:hint="eastAsia" w:ascii="宋体" w:hAnsi="宋体" w:eastAsia="宋体" w:cs="宋体"/>
                <w:color w:val="auto"/>
                <w:spacing w:val="-10"/>
                <w:kern w:val="0"/>
                <w:sz w:val="21"/>
                <w:szCs w:val="21"/>
                <w:highlight w:val="none"/>
                <w:lang w:val="en-US" w:eastAsia="zh-CN"/>
              </w:rPr>
              <w:t xml:space="preserve">              </w:t>
            </w:r>
            <w:r>
              <w:rPr>
                <w:rFonts w:hint="eastAsia" w:ascii="宋体" w:hAnsi="宋体" w:eastAsia="宋体" w:cs="宋体"/>
                <w:color w:val="auto"/>
                <w:spacing w:val="-10"/>
                <w:kern w:val="0"/>
                <w:sz w:val="21"/>
                <w:szCs w:val="21"/>
                <w:highlight w:val="none"/>
              </w:rPr>
              <w:t>）</w:t>
            </w:r>
          </w:p>
          <w:p w14:paraId="252F201E">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left"/>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生态系统</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（植被覆盖度、生态系统功能</w:t>
            </w:r>
            <w:r>
              <w:rPr>
                <w:rFonts w:hint="eastAsia" w:ascii="宋体" w:hAnsi="宋体" w:eastAsia="宋体" w:cs="宋体"/>
                <w:color w:val="auto"/>
                <w:spacing w:val="-10"/>
                <w:kern w:val="0"/>
                <w:sz w:val="21"/>
                <w:szCs w:val="21"/>
                <w:highlight w:val="none"/>
                <w:lang w:val="en-US" w:eastAsia="zh-CN"/>
              </w:rPr>
              <w:t xml:space="preserve">等       </w:t>
            </w:r>
            <w:r>
              <w:rPr>
                <w:rFonts w:hint="eastAsia" w:ascii="宋体" w:hAnsi="宋体" w:eastAsia="宋体" w:cs="宋体"/>
                <w:color w:val="auto"/>
                <w:spacing w:val="-10"/>
                <w:kern w:val="0"/>
                <w:sz w:val="21"/>
                <w:szCs w:val="21"/>
                <w:highlight w:val="none"/>
              </w:rPr>
              <w:t>）</w:t>
            </w:r>
          </w:p>
          <w:p w14:paraId="793186FD">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left"/>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生物多样性</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w:t>
            </w:r>
            <w:r>
              <w:rPr>
                <w:rFonts w:hint="eastAsia" w:ascii="宋体" w:hAnsi="宋体" w:eastAsia="宋体" w:cs="宋体"/>
                <w:color w:val="auto"/>
                <w:spacing w:val="-10"/>
                <w:kern w:val="0"/>
                <w:sz w:val="21"/>
                <w:szCs w:val="21"/>
                <w:highlight w:val="none"/>
                <w:lang w:val="en-US" w:eastAsia="zh-CN"/>
              </w:rPr>
              <w:t xml:space="preserve">物种丰富度、优势度等            </w:t>
            </w:r>
            <w:r>
              <w:rPr>
                <w:rFonts w:hint="eastAsia" w:ascii="宋体" w:hAnsi="宋体" w:eastAsia="宋体" w:cs="宋体"/>
                <w:color w:val="auto"/>
                <w:spacing w:val="-10"/>
                <w:kern w:val="0"/>
                <w:sz w:val="21"/>
                <w:szCs w:val="21"/>
                <w:highlight w:val="none"/>
              </w:rPr>
              <w:t>）</w:t>
            </w:r>
          </w:p>
          <w:p w14:paraId="49D2ED99">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left"/>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生态敏感区</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w:t>
            </w:r>
            <w:r>
              <w:rPr>
                <w:rFonts w:hint="eastAsia" w:ascii="宋体" w:hAnsi="宋体" w:eastAsia="宋体" w:cs="宋体"/>
                <w:color w:val="auto"/>
                <w:spacing w:val="-10"/>
                <w:kern w:val="0"/>
                <w:sz w:val="21"/>
                <w:szCs w:val="21"/>
                <w:highlight w:val="none"/>
                <w:lang w:val="en-US" w:eastAsia="zh-CN"/>
              </w:rPr>
              <w:t xml:space="preserve">                                   </w:t>
            </w:r>
            <w:r>
              <w:rPr>
                <w:rFonts w:hint="eastAsia" w:ascii="宋体" w:hAnsi="宋体" w:eastAsia="宋体" w:cs="宋体"/>
                <w:color w:val="auto"/>
                <w:spacing w:val="-10"/>
                <w:kern w:val="0"/>
                <w:sz w:val="21"/>
                <w:szCs w:val="21"/>
                <w:highlight w:val="none"/>
              </w:rPr>
              <w:t>）</w:t>
            </w:r>
          </w:p>
          <w:p w14:paraId="265CBDA7">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left"/>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自然景观</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（景观多样性、完整性</w:t>
            </w:r>
            <w:r>
              <w:rPr>
                <w:rFonts w:hint="eastAsia" w:ascii="宋体" w:hAnsi="宋体" w:eastAsia="宋体" w:cs="宋体"/>
                <w:color w:val="auto"/>
                <w:spacing w:val="-10"/>
                <w:kern w:val="0"/>
                <w:sz w:val="21"/>
                <w:szCs w:val="21"/>
                <w:highlight w:val="none"/>
                <w:lang w:val="en-US" w:eastAsia="zh-CN"/>
              </w:rPr>
              <w:t xml:space="preserve">                 </w:t>
            </w:r>
            <w:r>
              <w:rPr>
                <w:rFonts w:hint="eastAsia" w:ascii="宋体" w:hAnsi="宋体" w:eastAsia="宋体" w:cs="宋体"/>
                <w:color w:val="auto"/>
                <w:spacing w:val="-10"/>
                <w:kern w:val="0"/>
                <w:sz w:val="21"/>
                <w:szCs w:val="21"/>
                <w:highlight w:val="none"/>
              </w:rPr>
              <w:t>）</w:t>
            </w:r>
          </w:p>
          <w:p w14:paraId="18A00F37">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left"/>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自然遗迹□（</w:t>
            </w:r>
            <w:r>
              <w:rPr>
                <w:rFonts w:hint="eastAsia" w:ascii="宋体" w:hAnsi="宋体" w:eastAsia="宋体" w:cs="宋体"/>
                <w:color w:val="auto"/>
                <w:spacing w:val="-10"/>
                <w:kern w:val="0"/>
                <w:sz w:val="21"/>
                <w:szCs w:val="21"/>
                <w:highlight w:val="none"/>
                <w:lang w:val="en-US" w:eastAsia="zh-CN"/>
              </w:rPr>
              <w:t xml:space="preserve">                                     </w:t>
            </w:r>
            <w:r>
              <w:rPr>
                <w:rFonts w:hint="eastAsia" w:ascii="宋体" w:hAnsi="宋体" w:eastAsia="宋体" w:cs="宋体"/>
                <w:color w:val="auto"/>
                <w:spacing w:val="-10"/>
                <w:kern w:val="0"/>
                <w:sz w:val="21"/>
                <w:szCs w:val="21"/>
                <w:highlight w:val="none"/>
              </w:rPr>
              <w:t>）</w:t>
            </w:r>
          </w:p>
          <w:p w14:paraId="058AFB52">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left"/>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其他</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w:t>
            </w:r>
            <w:r>
              <w:rPr>
                <w:rFonts w:hint="eastAsia" w:ascii="宋体" w:hAnsi="宋体" w:eastAsia="宋体" w:cs="宋体"/>
                <w:color w:val="auto"/>
                <w:spacing w:val="-10"/>
                <w:kern w:val="0"/>
                <w:sz w:val="21"/>
                <w:szCs w:val="21"/>
                <w:highlight w:val="none"/>
                <w:lang w:val="en-US" w:eastAsia="zh-CN"/>
              </w:rPr>
              <w:t xml:space="preserve">水土流失等                              </w:t>
            </w:r>
            <w:r>
              <w:rPr>
                <w:rFonts w:hint="eastAsia" w:ascii="宋体" w:hAnsi="宋体" w:eastAsia="宋体" w:cs="宋体"/>
                <w:color w:val="auto"/>
                <w:spacing w:val="-10"/>
                <w:kern w:val="0"/>
                <w:sz w:val="21"/>
                <w:szCs w:val="21"/>
                <w:highlight w:val="none"/>
              </w:rPr>
              <w:t>）</w:t>
            </w:r>
          </w:p>
        </w:tc>
      </w:tr>
      <w:tr w14:paraId="5287A07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2268" w:type="dxa"/>
            <w:gridSpan w:val="3"/>
            <w:noWrap w:val="0"/>
            <w:vAlign w:val="center"/>
          </w:tcPr>
          <w:p w14:paraId="55BC3F03">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评价等级</w:t>
            </w:r>
          </w:p>
        </w:tc>
        <w:tc>
          <w:tcPr>
            <w:tcW w:w="6173" w:type="dxa"/>
            <w:noWrap w:val="0"/>
            <w:vAlign w:val="center"/>
          </w:tcPr>
          <w:p w14:paraId="51EA9A4E">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left"/>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一级</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二级</w:t>
            </w:r>
            <w:r>
              <w:rPr>
                <w:rFonts w:hint="eastAsia" w:ascii="宋体" w:hAnsi="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三级</w:t>
            </w:r>
            <w:r>
              <w:rPr>
                <w:rFonts w:hint="eastAsia" w:ascii="宋体" w:hAnsi="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生态影响简单分析□</w:t>
            </w:r>
          </w:p>
        </w:tc>
      </w:tr>
      <w:tr w14:paraId="22A94BE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2268" w:type="dxa"/>
            <w:gridSpan w:val="3"/>
            <w:noWrap w:val="0"/>
            <w:vAlign w:val="center"/>
          </w:tcPr>
          <w:p w14:paraId="0433D644">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评价范围</w:t>
            </w:r>
          </w:p>
        </w:tc>
        <w:tc>
          <w:tcPr>
            <w:tcW w:w="6173" w:type="dxa"/>
            <w:noWrap w:val="0"/>
            <w:vAlign w:val="center"/>
          </w:tcPr>
          <w:p w14:paraId="0B5DF9E1">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left"/>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陆域面积：</w:t>
            </w:r>
            <w:r>
              <w:rPr>
                <w:rFonts w:hint="default" w:ascii="Times New Roman" w:hAnsi="Times New Roman" w:eastAsia="宋体" w:cs="Times New Roman"/>
                <w:color w:val="auto"/>
                <w:spacing w:val="-10"/>
                <w:kern w:val="0"/>
                <w:sz w:val="21"/>
                <w:szCs w:val="21"/>
                <w:highlight w:val="none"/>
              </w:rPr>
              <w:t>（</w:t>
            </w:r>
            <w:r>
              <w:rPr>
                <w:rFonts w:hint="eastAsia" w:cs="Times New Roman"/>
                <w:color w:val="auto"/>
                <w:spacing w:val="-10"/>
                <w:kern w:val="0"/>
                <w:sz w:val="21"/>
                <w:szCs w:val="21"/>
                <w:highlight w:val="none"/>
                <w:lang w:val="en-US" w:eastAsia="zh-CN"/>
              </w:rPr>
              <w:t xml:space="preserve">  </w:t>
            </w:r>
            <w:r>
              <w:rPr>
                <w:rFonts w:hint="eastAsia" w:eastAsia="宋体" w:cs="Times New Roman"/>
                <w:color w:val="auto"/>
                <w:spacing w:val="-10"/>
                <w:kern w:val="0"/>
                <w:sz w:val="21"/>
                <w:szCs w:val="21"/>
                <w:highlight w:val="none"/>
                <w:lang w:val="en-US" w:eastAsia="zh-CN"/>
              </w:rPr>
              <w:t>70.72</w:t>
            </w:r>
            <w:r>
              <w:rPr>
                <w:rFonts w:hint="eastAsia" w:cs="Times New Roman"/>
                <w:color w:val="auto"/>
                <w:spacing w:val="-10"/>
                <w:kern w:val="0"/>
                <w:sz w:val="21"/>
                <w:szCs w:val="21"/>
                <w:highlight w:val="none"/>
                <w:lang w:val="en-US" w:eastAsia="zh-CN"/>
              </w:rPr>
              <w:t xml:space="preserve">  </w:t>
            </w:r>
            <w:r>
              <w:rPr>
                <w:rFonts w:hint="default" w:ascii="Times New Roman" w:hAnsi="Times New Roman" w:eastAsia="宋体" w:cs="Times New Roman"/>
                <w:color w:val="auto"/>
                <w:spacing w:val="-10"/>
                <w:kern w:val="0"/>
                <w:sz w:val="21"/>
                <w:szCs w:val="21"/>
                <w:highlight w:val="none"/>
              </w:rPr>
              <w:t>）km</w:t>
            </w:r>
            <w:r>
              <w:rPr>
                <w:rFonts w:hint="default" w:ascii="Times New Roman" w:hAnsi="Times New Roman" w:eastAsia="宋体" w:cs="Times New Roman"/>
                <w:color w:val="auto"/>
                <w:spacing w:val="-10"/>
                <w:kern w:val="0"/>
                <w:sz w:val="21"/>
                <w:szCs w:val="21"/>
                <w:highlight w:val="none"/>
                <w:vertAlign w:val="superscript"/>
              </w:rPr>
              <w:t>2</w:t>
            </w:r>
            <w:r>
              <w:rPr>
                <w:rFonts w:hint="default" w:ascii="Times New Roman" w:hAnsi="Times New Roman" w:eastAsia="宋体" w:cs="Times New Roman"/>
                <w:color w:val="auto"/>
                <w:spacing w:val="-10"/>
                <w:kern w:val="0"/>
                <w:sz w:val="21"/>
                <w:szCs w:val="21"/>
                <w:highlight w:val="none"/>
              </w:rPr>
              <w:t>；水域面积：（</w:t>
            </w:r>
            <w:r>
              <w:rPr>
                <w:rFonts w:hint="eastAsia" w:eastAsia="宋体" w:cs="Times New Roman"/>
                <w:color w:val="auto"/>
                <w:spacing w:val="-10"/>
                <w:kern w:val="0"/>
                <w:sz w:val="21"/>
                <w:szCs w:val="21"/>
                <w:highlight w:val="none"/>
                <w:lang w:val="en-US" w:eastAsia="zh-CN"/>
              </w:rPr>
              <w:t xml:space="preserve">  </w:t>
            </w:r>
            <w:r>
              <w:rPr>
                <w:rFonts w:hint="default" w:ascii="Times New Roman" w:hAnsi="Times New Roman" w:eastAsia="宋体" w:cs="Times New Roman"/>
                <w:color w:val="auto"/>
                <w:spacing w:val="-10"/>
                <w:kern w:val="0"/>
                <w:sz w:val="21"/>
                <w:szCs w:val="21"/>
                <w:highlight w:val="none"/>
              </w:rPr>
              <w:t>）km</w:t>
            </w:r>
            <w:r>
              <w:rPr>
                <w:rFonts w:hint="default" w:ascii="Times New Roman" w:hAnsi="Times New Roman" w:eastAsia="宋体" w:cs="Times New Roman"/>
                <w:color w:val="auto"/>
                <w:spacing w:val="-10"/>
                <w:kern w:val="0"/>
                <w:sz w:val="21"/>
                <w:szCs w:val="21"/>
                <w:highlight w:val="none"/>
                <w:vertAlign w:val="superscript"/>
              </w:rPr>
              <w:t>2</w:t>
            </w:r>
          </w:p>
        </w:tc>
      </w:tr>
      <w:tr w14:paraId="6B44AC7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1132" w:type="dxa"/>
            <w:gridSpan w:val="2"/>
            <w:vMerge w:val="restart"/>
            <w:noWrap w:val="0"/>
            <w:vAlign w:val="center"/>
          </w:tcPr>
          <w:p w14:paraId="37804DEA">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生态现状调查与评价</w:t>
            </w:r>
          </w:p>
        </w:tc>
        <w:tc>
          <w:tcPr>
            <w:tcW w:w="1136" w:type="dxa"/>
            <w:noWrap w:val="0"/>
            <w:vAlign w:val="center"/>
          </w:tcPr>
          <w:p w14:paraId="46AD99F3">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调查方法</w:t>
            </w:r>
          </w:p>
        </w:tc>
        <w:tc>
          <w:tcPr>
            <w:tcW w:w="6173" w:type="dxa"/>
            <w:noWrap w:val="0"/>
            <w:vAlign w:val="center"/>
          </w:tcPr>
          <w:p w14:paraId="6D56AB26">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both"/>
              <w:rPr>
                <w:rFonts w:hint="eastAsia" w:ascii="宋体" w:hAnsi="宋体" w:eastAsia="宋体" w:cs="宋体"/>
                <w:color w:val="auto"/>
                <w:spacing w:val="-10"/>
                <w:kern w:val="0"/>
                <w:sz w:val="21"/>
                <w:szCs w:val="21"/>
                <w:highlight w:val="none"/>
                <w:lang w:eastAsia="zh-CN"/>
              </w:rPr>
            </w:pPr>
            <w:r>
              <w:rPr>
                <w:rFonts w:hint="eastAsia" w:ascii="宋体" w:hAnsi="宋体" w:eastAsia="宋体" w:cs="宋体"/>
                <w:color w:val="auto"/>
                <w:spacing w:val="-10"/>
                <w:kern w:val="0"/>
                <w:sz w:val="21"/>
                <w:szCs w:val="21"/>
                <w:highlight w:val="none"/>
              </w:rPr>
              <w:t>资料收集</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；遥感调查</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；调查样方、样线</w:t>
            </w:r>
            <w:r>
              <w:rPr>
                <w:rFonts w:hint="eastAsia" w:ascii="宋体" w:hAnsi="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；调查点位、断面□；专家和公众咨询法</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；其他</w:t>
            </w:r>
            <w:r>
              <w:rPr>
                <w:rFonts w:hint="eastAsia" w:ascii="宋体" w:hAnsi="宋体" w:eastAsia="宋体" w:cs="宋体"/>
                <w:color w:val="auto"/>
                <w:spacing w:val="-10"/>
                <w:kern w:val="0"/>
                <w:sz w:val="21"/>
                <w:szCs w:val="21"/>
                <w:highlight w:val="none"/>
                <w:lang w:eastAsia="zh-CN"/>
              </w:rPr>
              <w:t>☑</w:t>
            </w:r>
          </w:p>
        </w:tc>
      </w:tr>
      <w:tr w14:paraId="24EDBB4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1132" w:type="dxa"/>
            <w:gridSpan w:val="2"/>
            <w:vMerge w:val="continue"/>
            <w:noWrap w:val="0"/>
            <w:vAlign w:val="center"/>
          </w:tcPr>
          <w:p w14:paraId="4ACC3F9D">
            <w:pPr>
              <w:keepNext w:val="0"/>
              <w:keepLines w:val="0"/>
              <w:pageBreakBefore w:val="0"/>
              <w:widowControl/>
              <w:suppressLineNumbers w:val="0"/>
              <w:kinsoku/>
              <w:wordWrap/>
              <w:overflowPunct/>
              <w:bidi w:val="0"/>
              <w:spacing w:before="0" w:beforeAutospacing="0" w:after="0" w:afterAutospacing="0" w:line="320" w:lineRule="exact"/>
              <w:ind w:left="0" w:right="0" w:firstLine="0"/>
              <w:jc w:val="center"/>
              <w:rPr>
                <w:rFonts w:hint="eastAsia" w:ascii="宋体" w:hAnsi="宋体" w:eastAsia="宋体" w:cs="宋体"/>
                <w:color w:val="auto"/>
                <w:spacing w:val="-10"/>
                <w:kern w:val="0"/>
                <w:sz w:val="21"/>
                <w:szCs w:val="21"/>
                <w:highlight w:val="none"/>
              </w:rPr>
            </w:pPr>
          </w:p>
        </w:tc>
        <w:tc>
          <w:tcPr>
            <w:tcW w:w="1136" w:type="dxa"/>
            <w:noWrap w:val="0"/>
            <w:vAlign w:val="center"/>
          </w:tcPr>
          <w:p w14:paraId="7219F2AB">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调查时间</w:t>
            </w:r>
          </w:p>
        </w:tc>
        <w:tc>
          <w:tcPr>
            <w:tcW w:w="6173" w:type="dxa"/>
            <w:noWrap w:val="0"/>
            <w:vAlign w:val="center"/>
          </w:tcPr>
          <w:p w14:paraId="2B71832D">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left"/>
              <w:rPr>
                <w:rFonts w:hint="eastAsia" w:ascii="宋体" w:hAnsi="宋体" w:eastAsia="宋体" w:cs="宋体"/>
                <w:color w:val="auto"/>
                <w:spacing w:val="-10"/>
                <w:kern w:val="0"/>
                <w:sz w:val="21"/>
                <w:szCs w:val="21"/>
                <w:highlight w:val="none"/>
                <w:lang w:eastAsia="zh-CN"/>
              </w:rPr>
            </w:pPr>
            <w:r>
              <w:rPr>
                <w:rFonts w:hint="eastAsia" w:ascii="宋体" w:hAnsi="宋体" w:eastAsia="宋体" w:cs="宋体"/>
                <w:color w:val="auto"/>
                <w:spacing w:val="-10"/>
                <w:kern w:val="0"/>
                <w:sz w:val="21"/>
                <w:szCs w:val="21"/>
                <w:highlight w:val="none"/>
              </w:rPr>
              <w:t>春季</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；夏季</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；秋季</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；冬季</w:t>
            </w:r>
            <w:r>
              <w:rPr>
                <w:rFonts w:hint="eastAsia" w:ascii="宋体" w:hAnsi="宋体" w:cs="宋体"/>
                <w:color w:val="auto"/>
                <w:spacing w:val="-10"/>
                <w:kern w:val="0"/>
                <w:sz w:val="21"/>
                <w:szCs w:val="21"/>
                <w:highlight w:val="none"/>
                <w:lang w:eastAsia="zh-CN"/>
              </w:rPr>
              <w:t>□</w:t>
            </w:r>
          </w:p>
          <w:p w14:paraId="6B264ED6">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both"/>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丰水期□；枯水期□；平水期□</w:t>
            </w:r>
          </w:p>
        </w:tc>
      </w:tr>
      <w:tr w14:paraId="40A3FD9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1132" w:type="dxa"/>
            <w:gridSpan w:val="2"/>
            <w:vMerge w:val="continue"/>
            <w:noWrap w:val="0"/>
            <w:vAlign w:val="center"/>
          </w:tcPr>
          <w:p w14:paraId="4B4AE503">
            <w:pPr>
              <w:keepNext w:val="0"/>
              <w:keepLines w:val="0"/>
              <w:pageBreakBefore w:val="0"/>
              <w:widowControl/>
              <w:suppressLineNumbers w:val="0"/>
              <w:kinsoku/>
              <w:wordWrap/>
              <w:overflowPunct/>
              <w:bidi w:val="0"/>
              <w:spacing w:before="0" w:beforeAutospacing="0" w:after="0" w:afterAutospacing="0" w:line="320" w:lineRule="exact"/>
              <w:ind w:left="0" w:right="0" w:firstLine="0"/>
              <w:jc w:val="center"/>
              <w:rPr>
                <w:rFonts w:hint="eastAsia" w:ascii="宋体" w:hAnsi="宋体" w:eastAsia="宋体" w:cs="宋体"/>
                <w:color w:val="auto"/>
                <w:spacing w:val="-10"/>
                <w:kern w:val="0"/>
                <w:sz w:val="21"/>
                <w:szCs w:val="21"/>
                <w:highlight w:val="none"/>
              </w:rPr>
            </w:pPr>
          </w:p>
        </w:tc>
        <w:tc>
          <w:tcPr>
            <w:tcW w:w="1136" w:type="dxa"/>
            <w:noWrap w:val="0"/>
            <w:vAlign w:val="center"/>
          </w:tcPr>
          <w:p w14:paraId="5AA5619A">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所在区域的生态问题</w:t>
            </w:r>
          </w:p>
        </w:tc>
        <w:tc>
          <w:tcPr>
            <w:tcW w:w="6173" w:type="dxa"/>
            <w:noWrap w:val="0"/>
            <w:vAlign w:val="center"/>
          </w:tcPr>
          <w:p w14:paraId="5CA255BC">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both"/>
              <w:rPr>
                <w:rFonts w:hint="eastAsia" w:ascii="宋体" w:hAnsi="宋体" w:eastAsia="宋体" w:cs="宋体"/>
                <w:color w:val="auto"/>
                <w:spacing w:val="-10"/>
                <w:kern w:val="0"/>
                <w:sz w:val="21"/>
                <w:szCs w:val="21"/>
                <w:highlight w:val="none"/>
                <w:lang w:eastAsia="zh-CN"/>
              </w:rPr>
            </w:pPr>
            <w:r>
              <w:rPr>
                <w:rFonts w:hint="eastAsia" w:ascii="宋体" w:hAnsi="宋体" w:eastAsia="宋体" w:cs="宋体"/>
                <w:color w:val="auto"/>
                <w:spacing w:val="-10"/>
                <w:kern w:val="0"/>
                <w:sz w:val="21"/>
                <w:szCs w:val="21"/>
                <w:highlight w:val="none"/>
              </w:rPr>
              <w:t>水土流失</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；沙漠化</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；石漠化□；盐渍化</w:t>
            </w:r>
            <w:r>
              <w:rPr>
                <w:rFonts w:hint="eastAsia" w:ascii="宋体" w:hAnsi="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；生物入侵□；污染危害□；其他</w:t>
            </w:r>
            <w:r>
              <w:rPr>
                <w:rFonts w:hint="eastAsia" w:ascii="宋体" w:hAnsi="宋体" w:eastAsia="宋体" w:cs="宋体"/>
                <w:color w:val="auto"/>
                <w:spacing w:val="-10"/>
                <w:kern w:val="0"/>
                <w:sz w:val="21"/>
                <w:szCs w:val="21"/>
                <w:highlight w:val="none"/>
                <w:lang w:eastAsia="zh-CN"/>
              </w:rPr>
              <w:t>☑</w:t>
            </w:r>
          </w:p>
        </w:tc>
      </w:tr>
      <w:tr w14:paraId="5454428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1132" w:type="dxa"/>
            <w:gridSpan w:val="2"/>
            <w:vMerge w:val="continue"/>
            <w:noWrap w:val="0"/>
            <w:vAlign w:val="center"/>
          </w:tcPr>
          <w:p w14:paraId="68390795">
            <w:pPr>
              <w:keepNext w:val="0"/>
              <w:keepLines w:val="0"/>
              <w:pageBreakBefore w:val="0"/>
              <w:widowControl/>
              <w:suppressLineNumbers w:val="0"/>
              <w:kinsoku/>
              <w:wordWrap/>
              <w:overflowPunct/>
              <w:bidi w:val="0"/>
              <w:spacing w:before="0" w:beforeAutospacing="0" w:after="0" w:afterAutospacing="0" w:line="320" w:lineRule="exact"/>
              <w:ind w:left="0" w:right="0" w:firstLine="0"/>
              <w:jc w:val="center"/>
              <w:rPr>
                <w:rFonts w:hint="eastAsia" w:ascii="宋体" w:hAnsi="宋体" w:eastAsia="宋体" w:cs="宋体"/>
                <w:color w:val="auto"/>
                <w:spacing w:val="-10"/>
                <w:kern w:val="0"/>
                <w:sz w:val="21"/>
                <w:szCs w:val="21"/>
                <w:highlight w:val="none"/>
              </w:rPr>
            </w:pPr>
          </w:p>
        </w:tc>
        <w:tc>
          <w:tcPr>
            <w:tcW w:w="1136" w:type="dxa"/>
            <w:noWrap w:val="0"/>
            <w:vAlign w:val="center"/>
          </w:tcPr>
          <w:p w14:paraId="58779C1F">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评价内容</w:t>
            </w:r>
          </w:p>
        </w:tc>
        <w:tc>
          <w:tcPr>
            <w:tcW w:w="6173" w:type="dxa"/>
            <w:noWrap w:val="0"/>
            <w:vAlign w:val="center"/>
          </w:tcPr>
          <w:p w14:paraId="034BCD0D">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both"/>
              <w:rPr>
                <w:rFonts w:hint="eastAsia" w:ascii="宋体" w:hAnsi="宋体" w:eastAsia="宋体" w:cs="宋体"/>
                <w:color w:val="auto"/>
                <w:spacing w:val="-10"/>
                <w:kern w:val="0"/>
                <w:sz w:val="21"/>
                <w:szCs w:val="21"/>
                <w:highlight w:val="none"/>
                <w:lang w:eastAsia="zh-CN"/>
              </w:rPr>
            </w:pPr>
            <w:r>
              <w:rPr>
                <w:rFonts w:hint="eastAsia" w:ascii="宋体" w:hAnsi="宋体" w:eastAsia="宋体" w:cs="宋体"/>
                <w:color w:val="auto"/>
                <w:spacing w:val="-10"/>
                <w:kern w:val="0"/>
                <w:sz w:val="21"/>
                <w:szCs w:val="21"/>
                <w:highlight w:val="none"/>
              </w:rPr>
              <w:t>植被/植物群落</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；土地利用</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；生态系统</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；生物多样性</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；重要物种</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；生态敏感区</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；其他</w:t>
            </w:r>
            <w:r>
              <w:rPr>
                <w:rFonts w:hint="eastAsia" w:ascii="宋体" w:hAnsi="宋体" w:eastAsia="宋体" w:cs="宋体"/>
                <w:color w:val="auto"/>
                <w:spacing w:val="-10"/>
                <w:kern w:val="0"/>
                <w:sz w:val="21"/>
                <w:szCs w:val="21"/>
                <w:highlight w:val="none"/>
                <w:lang w:eastAsia="zh-CN"/>
              </w:rPr>
              <w:t>☑</w:t>
            </w:r>
          </w:p>
        </w:tc>
      </w:tr>
      <w:tr w14:paraId="26EF1FB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1132" w:type="dxa"/>
            <w:gridSpan w:val="2"/>
            <w:vMerge w:val="restart"/>
            <w:noWrap w:val="0"/>
            <w:vAlign w:val="center"/>
          </w:tcPr>
          <w:p w14:paraId="1731602E">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生态影响预测与评价</w:t>
            </w:r>
          </w:p>
        </w:tc>
        <w:tc>
          <w:tcPr>
            <w:tcW w:w="1136" w:type="dxa"/>
            <w:noWrap w:val="0"/>
            <w:vAlign w:val="center"/>
          </w:tcPr>
          <w:p w14:paraId="77ECBFBA">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评价方法</w:t>
            </w:r>
          </w:p>
        </w:tc>
        <w:tc>
          <w:tcPr>
            <w:tcW w:w="6173" w:type="dxa"/>
            <w:noWrap w:val="0"/>
            <w:vAlign w:val="center"/>
          </w:tcPr>
          <w:p w14:paraId="426690D7">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both"/>
              <w:rPr>
                <w:rFonts w:hint="eastAsia" w:ascii="宋体" w:hAnsi="宋体" w:eastAsia="宋体" w:cs="宋体"/>
                <w:color w:val="auto"/>
                <w:spacing w:val="-10"/>
                <w:kern w:val="0"/>
                <w:sz w:val="21"/>
                <w:szCs w:val="21"/>
                <w:highlight w:val="none"/>
                <w:lang w:eastAsia="zh-CN"/>
              </w:rPr>
            </w:pPr>
            <w:r>
              <w:rPr>
                <w:rFonts w:hint="eastAsia" w:ascii="宋体" w:hAnsi="宋体" w:eastAsia="宋体" w:cs="宋体"/>
                <w:color w:val="auto"/>
                <w:spacing w:val="-10"/>
                <w:kern w:val="0"/>
                <w:sz w:val="21"/>
                <w:szCs w:val="21"/>
                <w:highlight w:val="none"/>
              </w:rPr>
              <w:t>定性</w:t>
            </w:r>
            <w:r>
              <w:rPr>
                <w:rFonts w:hint="eastAsia" w:ascii="宋体" w:hAnsi="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；定性和定量</w:t>
            </w:r>
            <w:r>
              <w:rPr>
                <w:rFonts w:hint="eastAsia" w:ascii="宋体" w:hAnsi="宋体" w:cs="宋体"/>
                <w:color w:val="auto"/>
                <w:spacing w:val="-10"/>
                <w:kern w:val="0"/>
                <w:sz w:val="21"/>
                <w:szCs w:val="21"/>
                <w:highlight w:val="none"/>
                <w:lang w:eastAsia="zh-CN"/>
              </w:rPr>
              <w:t>☑</w:t>
            </w:r>
          </w:p>
        </w:tc>
      </w:tr>
      <w:tr w14:paraId="5D83407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1132" w:type="dxa"/>
            <w:gridSpan w:val="2"/>
            <w:vMerge w:val="continue"/>
            <w:noWrap w:val="0"/>
            <w:vAlign w:val="center"/>
          </w:tcPr>
          <w:p w14:paraId="6D05B77D">
            <w:pPr>
              <w:keepNext w:val="0"/>
              <w:keepLines w:val="0"/>
              <w:pageBreakBefore w:val="0"/>
              <w:widowControl/>
              <w:suppressLineNumbers w:val="0"/>
              <w:kinsoku/>
              <w:wordWrap/>
              <w:overflowPunct/>
              <w:bidi w:val="0"/>
              <w:spacing w:before="0" w:beforeAutospacing="0" w:after="0" w:afterAutospacing="0" w:line="320" w:lineRule="exact"/>
              <w:ind w:left="0" w:right="0" w:firstLine="0"/>
              <w:jc w:val="center"/>
              <w:rPr>
                <w:rFonts w:hint="eastAsia" w:ascii="宋体" w:hAnsi="宋体" w:eastAsia="宋体" w:cs="宋体"/>
                <w:color w:val="auto"/>
                <w:spacing w:val="-10"/>
                <w:kern w:val="0"/>
                <w:sz w:val="21"/>
                <w:szCs w:val="21"/>
                <w:highlight w:val="none"/>
              </w:rPr>
            </w:pPr>
          </w:p>
        </w:tc>
        <w:tc>
          <w:tcPr>
            <w:tcW w:w="1136" w:type="dxa"/>
            <w:noWrap w:val="0"/>
            <w:vAlign w:val="center"/>
          </w:tcPr>
          <w:p w14:paraId="5B52A29A">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评价内容</w:t>
            </w:r>
          </w:p>
        </w:tc>
        <w:tc>
          <w:tcPr>
            <w:tcW w:w="6173" w:type="dxa"/>
            <w:noWrap w:val="0"/>
            <w:vAlign w:val="center"/>
          </w:tcPr>
          <w:p w14:paraId="3634ADD2">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both"/>
              <w:rPr>
                <w:rFonts w:hint="eastAsia" w:ascii="宋体" w:hAnsi="宋体" w:eastAsia="宋体" w:cs="宋体"/>
                <w:color w:val="auto"/>
                <w:spacing w:val="-10"/>
                <w:kern w:val="0"/>
                <w:sz w:val="21"/>
                <w:szCs w:val="21"/>
                <w:highlight w:val="none"/>
                <w:lang w:eastAsia="zh-CN"/>
              </w:rPr>
            </w:pPr>
            <w:r>
              <w:rPr>
                <w:rFonts w:hint="eastAsia" w:ascii="宋体" w:hAnsi="宋体" w:eastAsia="宋体" w:cs="宋体"/>
                <w:color w:val="auto"/>
                <w:spacing w:val="-10"/>
                <w:kern w:val="0"/>
                <w:sz w:val="21"/>
                <w:szCs w:val="21"/>
                <w:highlight w:val="none"/>
              </w:rPr>
              <w:t>植被/植物群落</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；土地利用</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；生态系统</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；生物多样性</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；重要物种</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；生态敏感区</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；生物入侵风险□；其他</w:t>
            </w:r>
            <w:r>
              <w:rPr>
                <w:rFonts w:hint="eastAsia" w:ascii="宋体" w:hAnsi="宋体" w:eastAsia="宋体" w:cs="宋体"/>
                <w:color w:val="auto"/>
                <w:spacing w:val="-10"/>
                <w:kern w:val="0"/>
                <w:sz w:val="21"/>
                <w:szCs w:val="21"/>
                <w:highlight w:val="none"/>
                <w:lang w:eastAsia="zh-CN"/>
              </w:rPr>
              <w:t>☑</w:t>
            </w:r>
          </w:p>
        </w:tc>
      </w:tr>
      <w:tr w14:paraId="73E4696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1132" w:type="dxa"/>
            <w:gridSpan w:val="2"/>
            <w:vMerge w:val="restart"/>
            <w:noWrap w:val="0"/>
            <w:vAlign w:val="center"/>
          </w:tcPr>
          <w:p w14:paraId="5323AB47">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生态保护对策措施</w:t>
            </w:r>
          </w:p>
        </w:tc>
        <w:tc>
          <w:tcPr>
            <w:tcW w:w="1136" w:type="dxa"/>
            <w:noWrap w:val="0"/>
            <w:vAlign w:val="center"/>
          </w:tcPr>
          <w:p w14:paraId="587BFD83">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对策措施</w:t>
            </w:r>
          </w:p>
        </w:tc>
        <w:tc>
          <w:tcPr>
            <w:tcW w:w="6173" w:type="dxa"/>
            <w:noWrap w:val="0"/>
            <w:vAlign w:val="center"/>
          </w:tcPr>
          <w:p w14:paraId="2EEBCEB4">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both"/>
              <w:rPr>
                <w:rFonts w:hint="eastAsia" w:ascii="宋体" w:hAnsi="宋体" w:eastAsia="宋体" w:cs="宋体"/>
                <w:color w:val="auto"/>
                <w:spacing w:val="-10"/>
                <w:kern w:val="0"/>
                <w:sz w:val="21"/>
                <w:szCs w:val="21"/>
                <w:highlight w:val="none"/>
                <w:lang w:eastAsia="zh-CN"/>
              </w:rPr>
            </w:pPr>
            <w:r>
              <w:rPr>
                <w:rFonts w:hint="eastAsia" w:ascii="宋体" w:hAnsi="宋体" w:eastAsia="宋体" w:cs="宋体"/>
                <w:color w:val="auto"/>
                <w:spacing w:val="-10"/>
                <w:kern w:val="0"/>
                <w:sz w:val="21"/>
                <w:szCs w:val="21"/>
                <w:highlight w:val="none"/>
              </w:rPr>
              <w:t>避让</w:t>
            </w:r>
            <w:r>
              <w:rPr>
                <w:rFonts w:hint="eastAsia" w:ascii="宋体" w:hAnsi="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；减缓</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；生态修复</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；生态补偿</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；科研□；其他</w:t>
            </w:r>
            <w:r>
              <w:rPr>
                <w:rFonts w:hint="eastAsia" w:ascii="宋体" w:hAnsi="宋体" w:eastAsia="宋体" w:cs="宋体"/>
                <w:color w:val="auto"/>
                <w:spacing w:val="-10"/>
                <w:kern w:val="0"/>
                <w:sz w:val="21"/>
                <w:szCs w:val="21"/>
                <w:highlight w:val="none"/>
                <w:lang w:eastAsia="zh-CN"/>
              </w:rPr>
              <w:t>☑</w:t>
            </w:r>
          </w:p>
        </w:tc>
      </w:tr>
      <w:tr w14:paraId="54CCE51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1132" w:type="dxa"/>
            <w:gridSpan w:val="2"/>
            <w:vMerge w:val="continue"/>
            <w:noWrap w:val="0"/>
            <w:vAlign w:val="center"/>
          </w:tcPr>
          <w:p w14:paraId="3BA41089">
            <w:pPr>
              <w:keepNext w:val="0"/>
              <w:keepLines w:val="0"/>
              <w:pageBreakBefore w:val="0"/>
              <w:widowControl/>
              <w:suppressLineNumbers w:val="0"/>
              <w:kinsoku/>
              <w:wordWrap/>
              <w:overflowPunct/>
              <w:bidi w:val="0"/>
              <w:spacing w:before="0" w:beforeAutospacing="0" w:after="0" w:afterAutospacing="0" w:line="320" w:lineRule="exact"/>
              <w:ind w:left="0" w:right="0" w:firstLine="0"/>
              <w:jc w:val="center"/>
              <w:rPr>
                <w:rFonts w:hint="eastAsia" w:ascii="宋体" w:hAnsi="宋体" w:eastAsia="宋体" w:cs="宋体"/>
                <w:color w:val="auto"/>
                <w:spacing w:val="-10"/>
                <w:kern w:val="0"/>
                <w:sz w:val="21"/>
                <w:szCs w:val="21"/>
                <w:highlight w:val="none"/>
              </w:rPr>
            </w:pPr>
          </w:p>
        </w:tc>
        <w:tc>
          <w:tcPr>
            <w:tcW w:w="1136" w:type="dxa"/>
            <w:noWrap w:val="0"/>
            <w:vAlign w:val="center"/>
          </w:tcPr>
          <w:p w14:paraId="1EA0768E">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生态监测计划</w:t>
            </w:r>
          </w:p>
        </w:tc>
        <w:tc>
          <w:tcPr>
            <w:tcW w:w="6173" w:type="dxa"/>
            <w:noWrap w:val="0"/>
            <w:vAlign w:val="center"/>
          </w:tcPr>
          <w:p w14:paraId="5B73D758">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both"/>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全生命周期</w:t>
            </w:r>
            <w:r>
              <w:rPr>
                <w:rFonts w:hint="eastAsia" w:ascii="宋体" w:hAnsi="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；长期跟踪</w:t>
            </w:r>
            <w:r>
              <w:rPr>
                <w:rFonts w:hint="eastAsia" w:ascii="宋体" w:hAnsi="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；常规</w:t>
            </w:r>
            <w:r>
              <w:rPr>
                <w:rFonts w:hint="eastAsia" w:ascii="宋体" w:hAnsi="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；无□</w:t>
            </w:r>
          </w:p>
        </w:tc>
      </w:tr>
      <w:tr w14:paraId="790B328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1132" w:type="dxa"/>
            <w:gridSpan w:val="2"/>
            <w:vMerge w:val="continue"/>
            <w:noWrap w:val="0"/>
            <w:vAlign w:val="center"/>
          </w:tcPr>
          <w:p w14:paraId="04EBC51F">
            <w:pPr>
              <w:keepNext w:val="0"/>
              <w:keepLines w:val="0"/>
              <w:pageBreakBefore w:val="0"/>
              <w:widowControl/>
              <w:suppressLineNumbers w:val="0"/>
              <w:kinsoku/>
              <w:wordWrap/>
              <w:overflowPunct/>
              <w:bidi w:val="0"/>
              <w:spacing w:before="0" w:beforeAutospacing="0" w:after="0" w:afterAutospacing="0" w:line="320" w:lineRule="exact"/>
              <w:ind w:left="0" w:right="0" w:firstLine="0"/>
              <w:jc w:val="center"/>
              <w:rPr>
                <w:rFonts w:hint="eastAsia" w:ascii="宋体" w:hAnsi="宋体" w:eastAsia="宋体" w:cs="宋体"/>
                <w:color w:val="auto"/>
                <w:spacing w:val="-10"/>
                <w:kern w:val="0"/>
                <w:sz w:val="21"/>
                <w:szCs w:val="21"/>
                <w:highlight w:val="none"/>
              </w:rPr>
            </w:pPr>
          </w:p>
        </w:tc>
        <w:tc>
          <w:tcPr>
            <w:tcW w:w="1136" w:type="dxa"/>
            <w:noWrap w:val="0"/>
            <w:vAlign w:val="center"/>
          </w:tcPr>
          <w:p w14:paraId="69C5EAC6">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环境管理</w:t>
            </w:r>
          </w:p>
        </w:tc>
        <w:tc>
          <w:tcPr>
            <w:tcW w:w="6173" w:type="dxa"/>
            <w:noWrap w:val="0"/>
            <w:vAlign w:val="center"/>
          </w:tcPr>
          <w:p w14:paraId="089D24C5">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both"/>
              <w:rPr>
                <w:rFonts w:hint="eastAsia" w:ascii="宋体" w:hAnsi="宋体" w:eastAsia="宋体" w:cs="宋体"/>
                <w:color w:val="auto"/>
                <w:spacing w:val="-10"/>
                <w:kern w:val="0"/>
                <w:sz w:val="21"/>
                <w:szCs w:val="21"/>
                <w:highlight w:val="none"/>
                <w:lang w:eastAsia="zh-CN"/>
              </w:rPr>
            </w:pPr>
            <w:r>
              <w:rPr>
                <w:rFonts w:hint="eastAsia" w:ascii="宋体" w:hAnsi="宋体" w:eastAsia="宋体" w:cs="宋体"/>
                <w:color w:val="auto"/>
                <w:spacing w:val="-10"/>
                <w:kern w:val="0"/>
                <w:sz w:val="21"/>
                <w:szCs w:val="21"/>
                <w:highlight w:val="none"/>
              </w:rPr>
              <w:t>环境监理</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；环境影响后评价</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；其他</w:t>
            </w:r>
            <w:r>
              <w:rPr>
                <w:rFonts w:hint="eastAsia" w:ascii="宋体" w:hAnsi="宋体" w:eastAsia="宋体" w:cs="宋体"/>
                <w:color w:val="auto"/>
                <w:spacing w:val="-10"/>
                <w:kern w:val="0"/>
                <w:sz w:val="21"/>
                <w:szCs w:val="21"/>
                <w:highlight w:val="none"/>
                <w:lang w:eastAsia="zh-CN"/>
              </w:rPr>
              <w:t>☑</w:t>
            </w:r>
          </w:p>
        </w:tc>
      </w:tr>
      <w:tr w14:paraId="3534B4B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1132" w:type="dxa"/>
            <w:gridSpan w:val="2"/>
            <w:noWrap w:val="0"/>
            <w:vAlign w:val="center"/>
          </w:tcPr>
          <w:p w14:paraId="4B69B432">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评价结论</w:t>
            </w:r>
          </w:p>
        </w:tc>
        <w:tc>
          <w:tcPr>
            <w:tcW w:w="1136" w:type="dxa"/>
            <w:noWrap w:val="0"/>
            <w:vAlign w:val="center"/>
          </w:tcPr>
          <w:p w14:paraId="45420182">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center"/>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生态影响</w:t>
            </w:r>
          </w:p>
        </w:tc>
        <w:tc>
          <w:tcPr>
            <w:tcW w:w="6173" w:type="dxa"/>
            <w:noWrap w:val="0"/>
            <w:vAlign w:val="center"/>
          </w:tcPr>
          <w:p w14:paraId="1736899A">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both"/>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可行</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rPr>
              <w:t>；不可行□</w:t>
            </w:r>
          </w:p>
        </w:tc>
      </w:tr>
      <w:tr w14:paraId="479880D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441" w:type="dxa"/>
            <w:gridSpan w:val="4"/>
            <w:noWrap w:val="0"/>
            <w:vAlign w:val="center"/>
          </w:tcPr>
          <w:p w14:paraId="42710163">
            <w:pPr>
              <w:keepNext w:val="0"/>
              <w:keepLines w:val="0"/>
              <w:pageBreakBefore w:val="0"/>
              <w:widowControl/>
              <w:suppressLineNumbers w:val="0"/>
              <w:kinsoku/>
              <w:wordWrap/>
              <w:overflowPunct/>
              <w:bidi w:val="0"/>
              <w:spacing w:before="0" w:beforeAutospacing="0" w:after="0" w:afterAutospacing="0" w:line="320" w:lineRule="exact"/>
              <w:ind w:left="0" w:leftChars="0" w:right="0" w:firstLine="0" w:firstLineChars="0"/>
              <w:jc w:val="both"/>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lang w:val="en-US" w:eastAsia="zh-CN"/>
              </w:rPr>
              <w:t>注：</w:t>
            </w:r>
            <w:r>
              <w:rPr>
                <w:rFonts w:hint="eastAsia" w:ascii="宋体" w:hAnsi="宋体" w:eastAsia="宋体" w:cs="宋体"/>
                <w:color w:val="auto"/>
                <w:spacing w:val="-10"/>
                <w:kern w:val="0"/>
                <w:sz w:val="21"/>
                <w:szCs w:val="21"/>
                <w:highlight w:val="none"/>
              </w:rPr>
              <w:t>“□”为勾选项，可√；“（）”为内容填写项。</w:t>
            </w:r>
          </w:p>
        </w:tc>
      </w:tr>
    </w:tbl>
    <w:p w14:paraId="70E4D204">
      <w:pPr>
        <w:pageBreakBefore w:val="0"/>
        <w:widowControl w:val="0"/>
        <w:kinsoku/>
        <w:wordWrap/>
        <w:overflowPunct/>
        <w:bidi w:val="0"/>
        <w:ind w:left="0" w:leftChars="0" w:right="0" w:rightChars="0" w:firstLine="0" w:firstLineChars="0"/>
        <w:jc w:val="center"/>
        <w:rPr>
          <w:rFonts w:hint="eastAsia" w:ascii="黑体" w:hAnsi="黑体" w:eastAsia="黑体" w:cs="Calibri"/>
          <w:color w:val="auto"/>
          <w:sz w:val="21"/>
          <w:szCs w:val="21"/>
          <w:highlight w:val="none"/>
        </w:rPr>
      </w:pPr>
    </w:p>
    <w:p w14:paraId="15AA9011">
      <w:pPr>
        <w:keepNext/>
        <w:keepLines/>
        <w:pageBreakBefore w:val="0"/>
        <w:widowControl w:val="0"/>
        <w:kinsoku/>
        <w:wordWrap/>
        <w:overflowPunct/>
        <w:topLinePunct w:val="0"/>
        <w:autoSpaceDE/>
        <w:autoSpaceDN/>
        <w:bidi w:val="0"/>
        <w:adjustRightInd/>
        <w:snapToGrid/>
        <w:spacing w:line="360" w:lineRule="auto"/>
        <w:ind w:left="0" w:firstLine="0"/>
        <w:textAlignment w:val="auto"/>
        <w:outlineLvl w:val="1"/>
        <w:rPr>
          <w:rFonts w:hint="eastAsia" w:eastAsia="黑体" w:cs="Times New Roman"/>
          <w:color w:val="auto"/>
          <w:kern w:val="2"/>
          <w:sz w:val="30"/>
          <w:szCs w:val="30"/>
          <w:highlight w:val="none"/>
          <w:lang w:val="en-US" w:eastAsia="zh-CN" w:bidi="ar-SA"/>
        </w:rPr>
        <w:sectPr>
          <w:pgSz w:w="11904" w:h="16838"/>
          <w:pgMar w:top="1474" w:right="1474" w:bottom="1474" w:left="1814" w:header="850" w:footer="850" w:gutter="113"/>
          <w:pgNumType w:fmt="decimal"/>
          <w:cols w:space="0" w:num="1"/>
          <w:docGrid w:linePitch="326" w:charSpace="0"/>
        </w:sectPr>
      </w:pPr>
      <w:bookmarkStart w:id="272" w:name="_Toc135735453"/>
    </w:p>
    <w:p w14:paraId="370AA9A8">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73" w:name="_Toc31499"/>
      <w:r>
        <w:rPr>
          <w:rFonts w:hint="eastAsia" w:ascii="Times New Roman" w:hAnsi="Times New Roman" w:eastAsia="黑体" w:cs="Times New Roman"/>
          <w:bCs/>
          <w:color w:val="auto"/>
          <w:spacing w:val="0"/>
          <w:w w:val="100"/>
          <w:kern w:val="28"/>
          <w:sz w:val="30"/>
          <w:szCs w:val="30"/>
          <w:highlight w:val="none"/>
          <w:lang w:val="en-US" w:eastAsia="zh-CN" w:bidi="ar-SA"/>
        </w:rPr>
        <w:t>大气环境影响预测与评价</w:t>
      </w:r>
      <w:bookmarkEnd w:id="273"/>
    </w:p>
    <w:bookmarkEnd w:id="272"/>
    <w:p w14:paraId="7ED2AF1C">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施工期环境空气影响分析</w:t>
      </w:r>
    </w:p>
    <w:p w14:paraId="1139042F">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施工扬尘</w:t>
      </w:r>
    </w:p>
    <w:p w14:paraId="4947DA26">
      <w:pPr>
        <w:widowControl/>
        <w:numPr>
          <w:ilvl w:val="0"/>
          <w:numId w:val="0"/>
        </w:numPr>
        <w:spacing w:after="154" w:line="259" w:lineRule="auto"/>
        <w:ind w:left="480" w:leftChars="0" w:right="8" w:rightChars="0"/>
        <w:jc w:val="left"/>
        <w:rPr>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color w:val="auto"/>
          <w:highlight w:val="none"/>
        </w:rPr>
        <w:t>来源</w:t>
      </w:r>
    </w:p>
    <w:p w14:paraId="0652B4A3">
      <w:pPr>
        <w:widowControl/>
        <w:ind w:firstLine="480" w:firstLineChars="200"/>
        <w:rPr>
          <w:color w:val="auto"/>
          <w:highlight w:val="none"/>
        </w:rPr>
      </w:pPr>
      <w:r>
        <w:rPr>
          <w:color w:val="auto"/>
          <w:highlight w:val="none"/>
        </w:rPr>
        <w:t>施工期大气环境影响主要是施工扬尘。施工扬尘来源主要是土方的挖掘、场地平整、建筑材料装卸和堆放、车辆往来、混凝土搅拌等引起的扬尘。本项目涉及大量的土方挖掘，以及车辆来往运输，扬尘会对当地的环境空气造成影响。污染因子主要为</w:t>
      </w:r>
      <w:r>
        <w:rPr>
          <w:rFonts w:eastAsia="Times New Roman"/>
          <w:color w:val="auto"/>
          <w:highlight w:val="none"/>
        </w:rPr>
        <w:t>TSP</w:t>
      </w:r>
      <w:r>
        <w:rPr>
          <w:color w:val="auto"/>
          <w:highlight w:val="none"/>
        </w:rPr>
        <w:t>。</w:t>
      </w:r>
    </w:p>
    <w:p w14:paraId="6210DED3">
      <w:pPr>
        <w:ind w:firstLine="480" w:firstLineChars="200"/>
        <w:rPr>
          <w:color w:val="auto"/>
          <w:highlight w:val="none"/>
        </w:rPr>
      </w:pPr>
      <w:r>
        <w:rPr>
          <w:color w:val="auto"/>
          <w:highlight w:val="none"/>
        </w:rPr>
        <w:t>施工扬尘的起尘量与许多因素有关，挖土机等在工作时的起尘量与挖坑深度、挖土机抓斗与地面的相对高度、风速、土壤的颗粒度、土壤含水量等因素有关。对于渣土堆场而言，起尘量还与堆放方式、</w:t>
      </w:r>
      <w:r>
        <w:rPr>
          <w:rFonts w:hint="eastAsia"/>
          <w:color w:val="auto"/>
          <w:highlight w:val="none"/>
          <w:lang w:eastAsia="zh-CN"/>
        </w:rPr>
        <w:t>启动</w:t>
      </w:r>
      <w:r>
        <w:rPr>
          <w:color w:val="auto"/>
          <w:highlight w:val="none"/>
        </w:rPr>
        <w:t>风速及堆场有无防护措施等有关。国内外的研究结果和类比调查表明，影响起尘量的主要因素分别为：防护措施、风速、土壤湿度、挖土方式或土堆的堆放方式等。此外，道路的扬尘量与车辆的行驶速度有关，速度越快，其扬尘量也越大。</w:t>
      </w:r>
    </w:p>
    <w:p w14:paraId="5A6F62FF">
      <w:pPr>
        <w:widowControl/>
        <w:spacing w:after="154" w:line="259" w:lineRule="auto"/>
        <w:ind w:right="8"/>
        <w:rPr>
          <w:color w:val="auto"/>
          <w:highlight w:val="none"/>
        </w:rPr>
      </w:pPr>
      <w:r>
        <w:rPr>
          <w:rFonts w:hint="eastAsia"/>
          <w:color w:val="auto"/>
          <w:highlight w:val="none"/>
        </w:rPr>
        <w:t>（2）</w:t>
      </w:r>
      <w:r>
        <w:rPr>
          <w:color w:val="auto"/>
          <w:highlight w:val="none"/>
        </w:rPr>
        <w:t>影响分析</w:t>
      </w:r>
    </w:p>
    <w:p w14:paraId="14DEA311">
      <w:pPr>
        <w:ind w:firstLine="480" w:firstLineChars="200"/>
        <w:rPr>
          <w:color w:val="auto"/>
          <w:highlight w:val="none"/>
        </w:rPr>
      </w:pPr>
      <w:r>
        <w:rPr>
          <w:color w:val="auto"/>
          <w:highlight w:val="none"/>
        </w:rPr>
        <w:t>施工过程中，扬尘影响最大的环节为挖土、露天堆放和车辆运输。</w:t>
      </w:r>
    </w:p>
    <w:p w14:paraId="76E93CFD">
      <w:pPr>
        <w:ind w:firstLine="480" w:firstLineChars="200"/>
        <w:rPr>
          <w:color w:val="auto"/>
          <w:highlight w:val="none"/>
        </w:rPr>
      </w:pPr>
      <w:r>
        <w:rPr>
          <w:rFonts w:hint="eastAsia" w:ascii="宋体" w:hAnsi="宋体" w:cs="宋体"/>
          <w:color w:val="auto"/>
          <w:highlight w:val="none"/>
        </w:rPr>
        <w:t>①</w:t>
      </w:r>
      <w:r>
        <w:rPr>
          <w:color w:val="auto"/>
          <w:highlight w:val="none"/>
        </w:rPr>
        <w:t>挖土</w:t>
      </w:r>
    </w:p>
    <w:p w14:paraId="3C1D5451">
      <w:pPr>
        <w:ind w:firstLine="480" w:firstLineChars="200"/>
        <w:rPr>
          <w:color w:val="auto"/>
          <w:highlight w:val="none"/>
        </w:rPr>
      </w:pPr>
      <w:r>
        <w:rPr>
          <w:color w:val="auto"/>
          <w:highlight w:val="none"/>
        </w:rPr>
        <w:t>据经验，当项目挖土方量为</w:t>
      </w:r>
      <w:r>
        <w:rPr>
          <w:rFonts w:eastAsia="Times New Roman"/>
          <w:color w:val="auto"/>
          <w:highlight w:val="none"/>
        </w:rPr>
        <w:t>400t/d</w:t>
      </w:r>
      <w:r>
        <w:rPr>
          <w:color w:val="auto"/>
          <w:highlight w:val="none"/>
        </w:rPr>
        <w:t>时，期扬尘（</w:t>
      </w:r>
      <w:r>
        <w:rPr>
          <w:rFonts w:eastAsia="Times New Roman"/>
          <w:color w:val="auto"/>
          <w:highlight w:val="none"/>
        </w:rPr>
        <w:t>TSP</w:t>
      </w:r>
      <w:r>
        <w:rPr>
          <w:color w:val="auto"/>
          <w:highlight w:val="none"/>
        </w:rPr>
        <w:t>）对环境空气的影响较大，一般其影响范围在</w:t>
      </w:r>
      <w:r>
        <w:rPr>
          <w:rFonts w:eastAsia="Times New Roman"/>
          <w:color w:val="auto"/>
          <w:highlight w:val="none"/>
        </w:rPr>
        <w:t>500m</w:t>
      </w:r>
      <w:r>
        <w:rPr>
          <w:color w:val="auto"/>
          <w:highlight w:val="none"/>
        </w:rPr>
        <w:t>左右，近距离</w:t>
      </w:r>
      <w:r>
        <w:rPr>
          <w:rFonts w:eastAsia="Times New Roman"/>
          <w:color w:val="auto"/>
          <w:highlight w:val="none"/>
        </w:rPr>
        <w:t>TSP</w:t>
      </w:r>
      <w:r>
        <w:rPr>
          <w:color w:val="auto"/>
          <w:highlight w:val="none"/>
        </w:rPr>
        <w:t>浓度超过二级标准几倍值十几倍。但</w:t>
      </w:r>
      <w:r>
        <w:rPr>
          <w:rFonts w:eastAsia="Times New Roman"/>
          <w:color w:val="auto"/>
          <w:highlight w:val="none"/>
        </w:rPr>
        <w:t>600m</w:t>
      </w:r>
      <w:r>
        <w:rPr>
          <w:color w:val="auto"/>
          <w:highlight w:val="none"/>
        </w:rPr>
        <w:t>左右均达到《环境空气质量标准》（</w:t>
      </w:r>
      <w:r>
        <w:rPr>
          <w:rFonts w:eastAsia="Times New Roman"/>
          <w:color w:val="auto"/>
          <w:highlight w:val="none"/>
        </w:rPr>
        <w:t>GB3095-2012</w:t>
      </w:r>
      <w:r>
        <w:rPr>
          <w:color w:val="auto"/>
          <w:highlight w:val="none"/>
        </w:rPr>
        <w:t>）中二级标准。</w:t>
      </w:r>
    </w:p>
    <w:p w14:paraId="52F008AB">
      <w:pPr>
        <w:ind w:firstLine="480" w:firstLineChars="200"/>
        <w:rPr>
          <w:color w:val="auto"/>
          <w:highlight w:val="none"/>
        </w:rPr>
      </w:pPr>
      <w:r>
        <w:rPr>
          <w:rFonts w:hint="eastAsia" w:ascii="宋体" w:hAnsi="宋体" w:cs="宋体"/>
          <w:color w:val="auto"/>
          <w:highlight w:val="none"/>
        </w:rPr>
        <w:t>②</w:t>
      </w:r>
      <w:r>
        <w:rPr>
          <w:color w:val="auto"/>
          <w:highlight w:val="none"/>
        </w:rPr>
        <w:t>露天堆放</w:t>
      </w:r>
    </w:p>
    <w:p w14:paraId="4362E091">
      <w:pPr>
        <w:ind w:firstLine="480" w:firstLineChars="200"/>
        <w:rPr>
          <w:rFonts w:hint="eastAsia" w:eastAsia="宋体"/>
          <w:color w:val="auto"/>
          <w:highlight w:val="none"/>
          <w:lang w:val="en-US" w:eastAsia="zh-CN"/>
        </w:rPr>
      </w:pPr>
      <w:r>
        <w:rPr>
          <w:color w:val="auto"/>
          <w:highlight w:val="none"/>
        </w:rPr>
        <w:t>指露天堆场和裸露场地在气候干燥又有风的情况下产生的扬尘，这种扬尘的主要特点是与风速和尘粒含水率有关。因此，减少建材的露天堆放和保证一定的含水率是抑制这类扬尘的有效手段。</w:t>
      </w:r>
      <w:r>
        <w:rPr>
          <w:rFonts w:hint="eastAsia"/>
          <w:color w:val="auto"/>
          <w:highlight w:val="none"/>
          <w:lang w:val="en-US" w:eastAsia="zh-CN"/>
        </w:rPr>
        <w:tab/>
      </w:r>
    </w:p>
    <w:p w14:paraId="499DF9C8">
      <w:pPr>
        <w:ind w:firstLine="480" w:firstLineChars="200"/>
        <w:rPr>
          <w:color w:val="auto"/>
          <w:highlight w:val="none"/>
        </w:rPr>
      </w:pPr>
      <w:r>
        <w:rPr>
          <w:color w:val="auto"/>
          <w:highlight w:val="none"/>
        </w:rPr>
        <w:t>类比相关实测资料，在风速</w:t>
      </w:r>
      <w:r>
        <w:rPr>
          <w:rFonts w:eastAsia="Times New Roman"/>
          <w:color w:val="auto"/>
          <w:highlight w:val="none"/>
        </w:rPr>
        <w:t>3.6m/s</w:t>
      </w:r>
      <w:r>
        <w:rPr>
          <w:color w:val="auto"/>
          <w:highlight w:val="none"/>
        </w:rPr>
        <w:t>时，施工现场下风向不同距离的扬尘浓度见表</w:t>
      </w:r>
      <w:r>
        <w:rPr>
          <w:rFonts w:eastAsia="Times New Roman"/>
          <w:color w:val="auto"/>
          <w:highlight w:val="none"/>
        </w:rPr>
        <w:t>5</w:t>
      </w:r>
      <w:r>
        <w:rPr>
          <w:color w:val="auto"/>
          <w:highlight w:val="none"/>
        </w:rPr>
        <w:t>-</w:t>
      </w:r>
      <w:r>
        <w:rPr>
          <w:rFonts w:eastAsia="Times New Roman"/>
          <w:color w:val="auto"/>
          <w:highlight w:val="none"/>
        </w:rPr>
        <w:t>3-1</w:t>
      </w:r>
      <w:r>
        <w:rPr>
          <w:color w:val="auto"/>
          <w:highlight w:val="none"/>
        </w:rPr>
        <w:t>。在自由风场中，施工扬尘在</w:t>
      </w:r>
      <w:r>
        <w:rPr>
          <w:rFonts w:eastAsia="Times New Roman"/>
          <w:color w:val="auto"/>
          <w:highlight w:val="none"/>
        </w:rPr>
        <w:t>150m</w:t>
      </w:r>
      <w:r>
        <w:rPr>
          <w:color w:val="auto"/>
          <w:highlight w:val="none"/>
        </w:rPr>
        <w:t>范围外一般不会有大的影响。</w:t>
      </w:r>
    </w:p>
    <w:p w14:paraId="2B33399A">
      <w:pPr>
        <w:spacing w:after="3"/>
        <w:ind w:left="10" w:right="239" w:hanging="10"/>
        <w:jc w:val="center"/>
        <w:rPr>
          <w:color w:val="auto"/>
          <w:sz w:val="21"/>
          <w:highlight w:val="none"/>
        </w:rPr>
      </w:pPr>
      <w:r>
        <w:rPr>
          <w:rFonts w:eastAsia="黑体"/>
          <w:color w:val="auto"/>
          <w:sz w:val="21"/>
          <w:highlight w:val="none"/>
        </w:rPr>
        <w:t>表5-3-1施工现场下风向不同距离处的扬尘浓度</w:t>
      </w:r>
    </w:p>
    <w:tbl>
      <w:tblPr>
        <w:tblStyle w:val="5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7"/>
        <w:gridCol w:w="1305"/>
        <w:gridCol w:w="1305"/>
        <w:gridCol w:w="1453"/>
        <w:gridCol w:w="1446"/>
        <w:gridCol w:w="1193"/>
      </w:tblGrid>
      <w:tr w14:paraId="7330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156" w:type="pct"/>
            <w:vAlign w:val="center"/>
          </w:tcPr>
          <w:p w14:paraId="381498CD">
            <w:pPr>
              <w:keepNext w:val="0"/>
              <w:keepLines w:val="0"/>
              <w:suppressLineNumbers w:val="0"/>
              <w:overflowPunct w:val="0"/>
              <w:spacing w:before="0" w:beforeAutospacing="0" w:after="0" w:afterAutospacing="0" w:line="280" w:lineRule="exact"/>
              <w:ind w:left="0" w:right="0"/>
              <w:rPr>
                <w:rFonts w:hint="eastAsia" w:eastAsiaTheme="minorEastAsia"/>
                <w:snapToGrid w:val="0"/>
                <w:color w:val="auto"/>
                <w:sz w:val="21"/>
                <w:szCs w:val="21"/>
                <w:highlight w:val="none"/>
                <w:lang w:eastAsia="zh-CN" w:bidi="he-IL"/>
              </w:rPr>
            </w:pPr>
            <w:r>
              <w:rPr>
                <w:rFonts w:hint="default" w:eastAsiaTheme="minorEastAsia"/>
                <w:snapToGrid w:val="0"/>
                <w:color w:val="auto"/>
                <w:sz w:val="21"/>
                <w:szCs w:val="21"/>
                <w:highlight w:val="none"/>
                <w:lang w:bidi="he-IL"/>
              </w:rPr>
              <w:t>距离</w:t>
            </w:r>
          </w:p>
        </w:tc>
        <w:tc>
          <w:tcPr>
            <w:tcW w:w="748" w:type="pct"/>
            <w:vAlign w:val="center"/>
          </w:tcPr>
          <w:p w14:paraId="201D6735">
            <w:pPr>
              <w:keepNext w:val="0"/>
              <w:keepLines w:val="0"/>
              <w:suppressLineNumbers w:val="0"/>
              <w:overflowPunct w:val="0"/>
              <w:spacing w:before="0" w:beforeAutospacing="0" w:after="0" w:afterAutospacing="0" w:line="280" w:lineRule="exact"/>
              <w:ind w:left="0" w:right="0"/>
              <w:rPr>
                <w:rFonts w:hint="eastAsia" w:eastAsia="宋体"/>
                <w:snapToGrid w:val="0"/>
                <w:color w:val="auto"/>
                <w:sz w:val="21"/>
                <w:szCs w:val="21"/>
                <w:highlight w:val="none"/>
                <w:lang w:eastAsia="zh-CN" w:bidi="he-IL"/>
              </w:rPr>
            </w:pPr>
            <w:r>
              <w:rPr>
                <w:rFonts w:hint="default"/>
                <w:snapToGrid w:val="0"/>
                <w:color w:val="auto"/>
                <w:sz w:val="21"/>
                <w:szCs w:val="21"/>
                <w:highlight w:val="none"/>
                <w:lang w:bidi="he-IL"/>
              </w:rPr>
              <w:t>1m</w:t>
            </w:r>
          </w:p>
        </w:tc>
        <w:tc>
          <w:tcPr>
            <w:tcW w:w="748" w:type="pct"/>
            <w:vAlign w:val="center"/>
          </w:tcPr>
          <w:p w14:paraId="19457598">
            <w:pPr>
              <w:keepNext w:val="0"/>
              <w:keepLines w:val="0"/>
              <w:suppressLineNumbers w:val="0"/>
              <w:overflowPunct w:val="0"/>
              <w:spacing w:before="0" w:beforeAutospacing="0" w:after="0" w:afterAutospacing="0" w:line="280" w:lineRule="exact"/>
              <w:ind w:left="0" w:right="0"/>
              <w:rPr>
                <w:rFonts w:hint="eastAsia" w:eastAsia="宋体"/>
                <w:snapToGrid w:val="0"/>
                <w:color w:val="auto"/>
                <w:sz w:val="21"/>
                <w:szCs w:val="21"/>
                <w:highlight w:val="none"/>
                <w:lang w:eastAsia="zh-CN" w:bidi="he-IL"/>
              </w:rPr>
            </w:pPr>
            <w:r>
              <w:rPr>
                <w:rFonts w:hint="default"/>
                <w:snapToGrid w:val="0"/>
                <w:color w:val="auto"/>
                <w:sz w:val="21"/>
                <w:szCs w:val="21"/>
                <w:highlight w:val="none"/>
                <w:lang w:bidi="he-IL"/>
              </w:rPr>
              <w:t>25m</w:t>
            </w:r>
          </w:p>
        </w:tc>
        <w:tc>
          <w:tcPr>
            <w:tcW w:w="833" w:type="pct"/>
            <w:vAlign w:val="center"/>
          </w:tcPr>
          <w:p w14:paraId="185E4293">
            <w:pPr>
              <w:keepNext w:val="0"/>
              <w:keepLines w:val="0"/>
              <w:suppressLineNumbers w:val="0"/>
              <w:overflowPunct w:val="0"/>
              <w:spacing w:before="0" w:beforeAutospacing="0" w:after="0" w:afterAutospacing="0" w:line="280" w:lineRule="exact"/>
              <w:ind w:left="0" w:right="0"/>
              <w:rPr>
                <w:rFonts w:hint="eastAsia" w:eastAsia="宋体"/>
                <w:snapToGrid w:val="0"/>
                <w:color w:val="auto"/>
                <w:sz w:val="21"/>
                <w:szCs w:val="21"/>
                <w:highlight w:val="none"/>
                <w:lang w:eastAsia="zh-CN" w:bidi="he-IL"/>
              </w:rPr>
            </w:pPr>
            <w:r>
              <w:rPr>
                <w:rFonts w:hint="default"/>
                <w:snapToGrid w:val="0"/>
                <w:color w:val="auto"/>
                <w:sz w:val="21"/>
                <w:szCs w:val="21"/>
                <w:highlight w:val="none"/>
                <w:lang w:bidi="he-IL"/>
              </w:rPr>
              <w:t>50m</w:t>
            </w:r>
          </w:p>
        </w:tc>
        <w:tc>
          <w:tcPr>
            <w:tcW w:w="829" w:type="pct"/>
            <w:vAlign w:val="center"/>
          </w:tcPr>
          <w:p w14:paraId="47507064">
            <w:pPr>
              <w:keepNext w:val="0"/>
              <w:keepLines w:val="0"/>
              <w:suppressLineNumbers w:val="0"/>
              <w:overflowPunct w:val="0"/>
              <w:spacing w:before="0" w:beforeAutospacing="0" w:after="0" w:afterAutospacing="0" w:line="280" w:lineRule="exact"/>
              <w:ind w:left="0" w:right="0"/>
              <w:rPr>
                <w:rFonts w:hint="eastAsia" w:eastAsia="宋体"/>
                <w:snapToGrid w:val="0"/>
                <w:color w:val="auto"/>
                <w:sz w:val="21"/>
                <w:szCs w:val="21"/>
                <w:highlight w:val="none"/>
                <w:lang w:eastAsia="zh-CN" w:bidi="he-IL"/>
              </w:rPr>
            </w:pPr>
            <w:r>
              <w:rPr>
                <w:rFonts w:hint="default"/>
                <w:snapToGrid w:val="0"/>
                <w:color w:val="auto"/>
                <w:sz w:val="21"/>
                <w:szCs w:val="21"/>
                <w:highlight w:val="none"/>
                <w:lang w:bidi="he-IL"/>
              </w:rPr>
              <w:t>80m</w:t>
            </w:r>
          </w:p>
        </w:tc>
        <w:tc>
          <w:tcPr>
            <w:tcW w:w="684" w:type="pct"/>
            <w:vAlign w:val="center"/>
          </w:tcPr>
          <w:p w14:paraId="7EE482C4">
            <w:pPr>
              <w:keepNext w:val="0"/>
              <w:keepLines w:val="0"/>
              <w:suppressLineNumbers w:val="0"/>
              <w:overflowPunct w:val="0"/>
              <w:spacing w:before="0" w:beforeAutospacing="0" w:after="0" w:afterAutospacing="0" w:line="280" w:lineRule="exact"/>
              <w:ind w:left="0" w:right="0"/>
              <w:rPr>
                <w:rFonts w:hint="eastAsia" w:eastAsia="宋体"/>
                <w:snapToGrid w:val="0"/>
                <w:color w:val="auto"/>
                <w:sz w:val="21"/>
                <w:szCs w:val="21"/>
                <w:highlight w:val="none"/>
                <w:lang w:eastAsia="zh-CN" w:bidi="he-IL"/>
              </w:rPr>
            </w:pPr>
            <w:r>
              <w:rPr>
                <w:rFonts w:hint="default"/>
                <w:snapToGrid w:val="0"/>
                <w:color w:val="auto"/>
                <w:sz w:val="21"/>
                <w:szCs w:val="21"/>
                <w:highlight w:val="none"/>
                <w:lang w:bidi="he-IL"/>
              </w:rPr>
              <w:t>150m</w:t>
            </w:r>
          </w:p>
        </w:tc>
      </w:tr>
      <w:tr w14:paraId="3E29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56" w:type="pct"/>
            <w:vAlign w:val="center"/>
          </w:tcPr>
          <w:p w14:paraId="584C8DAC">
            <w:pPr>
              <w:keepNext w:val="0"/>
              <w:keepLines w:val="0"/>
              <w:suppressLineNumbers w:val="0"/>
              <w:overflowPunct w:val="0"/>
              <w:spacing w:before="0" w:beforeAutospacing="0" w:after="0" w:afterAutospacing="0" w:line="280" w:lineRule="exact"/>
              <w:ind w:left="0" w:right="0"/>
              <w:rPr>
                <w:rFonts w:hint="eastAsia" w:eastAsiaTheme="minorEastAsia"/>
                <w:snapToGrid w:val="0"/>
                <w:color w:val="auto"/>
                <w:sz w:val="21"/>
                <w:szCs w:val="21"/>
                <w:highlight w:val="none"/>
                <w:lang w:eastAsia="zh-CN" w:bidi="he-IL"/>
              </w:rPr>
            </w:pPr>
            <w:r>
              <w:rPr>
                <w:rFonts w:hint="default"/>
                <w:snapToGrid w:val="0"/>
                <w:color w:val="auto"/>
                <w:sz w:val="21"/>
                <w:szCs w:val="21"/>
                <w:highlight w:val="none"/>
                <w:lang w:bidi="he-IL"/>
              </w:rPr>
              <w:t>TSP</w:t>
            </w:r>
            <w:r>
              <w:rPr>
                <w:rFonts w:hint="default" w:eastAsiaTheme="minorEastAsia"/>
                <w:snapToGrid w:val="0"/>
                <w:color w:val="auto"/>
                <w:sz w:val="21"/>
                <w:szCs w:val="21"/>
                <w:highlight w:val="none"/>
                <w:lang w:bidi="he-IL"/>
              </w:rPr>
              <w:t>（</w:t>
            </w:r>
            <w:r>
              <w:rPr>
                <w:rFonts w:hint="default"/>
                <w:snapToGrid w:val="0"/>
                <w:color w:val="auto"/>
                <w:sz w:val="21"/>
                <w:szCs w:val="21"/>
                <w:highlight w:val="none"/>
                <w:lang w:bidi="he-IL"/>
              </w:rPr>
              <w:t>mg/m</w:t>
            </w:r>
            <w:r>
              <w:rPr>
                <w:rFonts w:hint="default"/>
                <w:snapToGrid w:val="0"/>
                <w:color w:val="auto"/>
                <w:sz w:val="21"/>
                <w:szCs w:val="21"/>
                <w:highlight w:val="none"/>
                <w:vertAlign w:val="superscript"/>
                <w:lang w:bidi="he-IL"/>
              </w:rPr>
              <w:t>3</w:t>
            </w:r>
            <w:r>
              <w:rPr>
                <w:rFonts w:hint="eastAsia"/>
                <w:snapToGrid w:val="0"/>
                <w:color w:val="auto"/>
                <w:sz w:val="21"/>
                <w:szCs w:val="21"/>
                <w:highlight w:val="none"/>
                <w:vertAlign w:val="superscript"/>
                <w:lang w:eastAsia="zh-CN" w:bidi="he-IL"/>
              </w:rPr>
              <w:t>)</w:t>
            </w:r>
          </w:p>
        </w:tc>
        <w:tc>
          <w:tcPr>
            <w:tcW w:w="748" w:type="pct"/>
            <w:vAlign w:val="center"/>
          </w:tcPr>
          <w:p w14:paraId="03CB3E56">
            <w:pPr>
              <w:keepNext w:val="0"/>
              <w:keepLines w:val="0"/>
              <w:suppressLineNumbers w:val="0"/>
              <w:overflowPunct w:val="0"/>
              <w:spacing w:before="0" w:beforeAutospacing="0" w:after="0" w:afterAutospacing="0" w:line="280" w:lineRule="exact"/>
              <w:ind w:left="0" w:right="0"/>
              <w:rPr>
                <w:rFonts w:hint="eastAsia" w:eastAsia="宋体"/>
                <w:snapToGrid w:val="0"/>
                <w:color w:val="auto"/>
                <w:sz w:val="21"/>
                <w:szCs w:val="21"/>
                <w:highlight w:val="none"/>
                <w:lang w:eastAsia="zh-CN" w:bidi="he-IL"/>
              </w:rPr>
            </w:pPr>
            <w:r>
              <w:rPr>
                <w:rFonts w:hint="default"/>
                <w:snapToGrid w:val="0"/>
                <w:color w:val="auto"/>
                <w:sz w:val="21"/>
                <w:szCs w:val="21"/>
                <w:highlight w:val="none"/>
                <w:lang w:bidi="he-IL"/>
              </w:rPr>
              <w:t>3.744</w:t>
            </w:r>
          </w:p>
        </w:tc>
        <w:tc>
          <w:tcPr>
            <w:tcW w:w="748" w:type="pct"/>
            <w:vAlign w:val="center"/>
          </w:tcPr>
          <w:p w14:paraId="259FEBB1">
            <w:pPr>
              <w:keepNext w:val="0"/>
              <w:keepLines w:val="0"/>
              <w:suppressLineNumbers w:val="0"/>
              <w:overflowPunct w:val="0"/>
              <w:spacing w:before="0" w:beforeAutospacing="0" w:after="0" w:afterAutospacing="0" w:line="280" w:lineRule="exact"/>
              <w:ind w:left="0" w:right="0"/>
              <w:rPr>
                <w:rFonts w:hint="eastAsia" w:eastAsia="宋体"/>
                <w:snapToGrid w:val="0"/>
                <w:color w:val="auto"/>
                <w:sz w:val="21"/>
                <w:szCs w:val="21"/>
                <w:highlight w:val="none"/>
                <w:lang w:eastAsia="zh-CN" w:bidi="he-IL"/>
              </w:rPr>
            </w:pPr>
            <w:r>
              <w:rPr>
                <w:rFonts w:hint="default"/>
                <w:snapToGrid w:val="0"/>
                <w:color w:val="auto"/>
                <w:sz w:val="21"/>
                <w:szCs w:val="21"/>
                <w:highlight w:val="none"/>
                <w:lang w:bidi="he-IL"/>
              </w:rPr>
              <w:t>1.630</w:t>
            </w:r>
          </w:p>
        </w:tc>
        <w:tc>
          <w:tcPr>
            <w:tcW w:w="833" w:type="pct"/>
            <w:vAlign w:val="center"/>
          </w:tcPr>
          <w:p w14:paraId="4D0261D0">
            <w:pPr>
              <w:keepNext w:val="0"/>
              <w:keepLines w:val="0"/>
              <w:suppressLineNumbers w:val="0"/>
              <w:overflowPunct w:val="0"/>
              <w:spacing w:before="0" w:beforeAutospacing="0" w:after="0" w:afterAutospacing="0" w:line="280" w:lineRule="exact"/>
              <w:ind w:left="0" w:right="0"/>
              <w:rPr>
                <w:rFonts w:hint="eastAsia" w:eastAsia="宋体"/>
                <w:snapToGrid w:val="0"/>
                <w:color w:val="auto"/>
                <w:sz w:val="21"/>
                <w:szCs w:val="21"/>
                <w:highlight w:val="none"/>
                <w:lang w:eastAsia="zh-CN" w:bidi="he-IL"/>
              </w:rPr>
            </w:pPr>
            <w:r>
              <w:rPr>
                <w:rFonts w:hint="default"/>
                <w:snapToGrid w:val="0"/>
                <w:color w:val="auto"/>
                <w:sz w:val="21"/>
                <w:szCs w:val="21"/>
                <w:highlight w:val="none"/>
                <w:lang w:bidi="he-IL"/>
              </w:rPr>
              <w:t>0.785</w:t>
            </w:r>
          </w:p>
        </w:tc>
        <w:tc>
          <w:tcPr>
            <w:tcW w:w="829" w:type="pct"/>
            <w:vAlign w:val="center"/>
          </w:tcPr>
          <w:p w14:paraId="7638ECBA">
            <w:pPr>
              <w:keepNext w:val="0"/>
              <w:keepLines w:val="0"/>
              <w:suppressLineNumbers w:val="0"/>
              <w:overflowPunct w:val="0"/>
              <w:spacing w:before="0" w:beforeAutospacing="0" w:after="0" w:afterAutospacing="0" w:line="280" w:lineRule="exact"/>
              <w:ind w:left="0" w:right="0"/>
              <w:rPr>
                <w:rFonts w:hint="eastAsia" w:eastAsia="宋体"/>
                <w:snapToGrid w:val="0"/>
                <w:color w:val="auto"/>
                <w:sz w:val="21"/>
                <w:szCs w:val="21"/>
                <w:highlight w:val="none"/>
                <w:lang w:eastAsia="zh-CN" w:bidi="he-IL"/>
              </w:rPr>
            </w:pPr>
            <w:r>
              <w:rPr>
                <w:rFonts w:hint="default"/>
                <w:snapToGrid w:val="0"/>
                <w:color w:val="auto"/>
                <w:sz w:val="21"/>
                <w:szCs w:val="21"/>
                <w:highlight w:val="none"/>
                <w:lang w:bidi="he-IL"/>
              </w:rPr>
              <w:t>0.496</w:t>
            </w:r>
          </w:p>
        </w:tc>
        <w:tc>
          <w:tcPr>
            <w:tcW w:w="684" w:type="pct"/>
            <w:vAlign w:val="center"/>
          </w:tcPr>
          <w:p w14:paraId="3BF2620E">
            <w:pPr>
              <w:keepNext w:val="0"/>
              <w:keepLines w:val="0"/>
              <w:suppressLineNumbers w:val="0"/>
              <w:overflowPunct w:val="0"/>
              <w:spacing w:before="0" w:beforeAutospacing="0" w:after="0" w:afterAutospacing="0" w:line="280" w:lineRule="exact"/>
              <w:ind w:left="0" w:right="0"/>
              <w:rPr>
                <w:rFonts w:hint="eastAsia" w:eastAsia="宋体"/>
                <w:snapToGrid w:val="0"/>
                <w:color w:val="auto"/>
                <w:sz w:val="21"/>
                <w:szCs w:val="21"/>
                <w:highlight w:val="none"/>
                <w:lang w:eastAsia="zh-CN" w:bidi="he-IL"/>
              </w:rPr>
            </w:pPr>
            <w:r>
              <w:rPr>
                <w:rFonts w:hint="default"/>
                <w:snapToGrid w:val="0"/>
                <w:color w:val="auto"/>
                <w:sz w:val="21"/>
                <w:szCs w:val="21"/>
                <w:highlight w:val="none"/>
                <w:lang w:bidi="he-IL"/>
              </w:rPr>
              <w:t>0.246</w:t>
            </w:r>
          </w:p>
        </w:tc>
      </w:tr>
    </w:tbl>
    <w:p w14:paraId="47672424">
      <w:pPr>
        <w:ind w:firstLine="480" w:firstLineChars="200"/>
        <w:rPr>
          <w:color w:val="auto"/>
          <w:highlight w:val="none"/>
        </w:rPr>
      </w:pPr>
      <w:r>
        <w:rPr>
          <w:rFonts w:hint="eastAsia" w:ascii="宋体" w:hAnsi="宋体" w:cs="宋体"/>
          <w:color w:val="auto"/>
          <w:highlight w:val="none"/>
        </w:rPr>
        <w:t>③</w:t>
      </w:r>
      <w:r>
        <w:rPr>
          <w:color w:val="auto"/>
          <w:highlight w:val="none"/>
        </w:rPr>
        <w:t>车辆运输</w:t>
      </w:r>
    </w:p>
    <w:p w14:paraId="36B1D0C1">
      <w:pPr>
        <w:ind w:firstLine="480" w:firstLineChars="200"/>
        <w:rPr>
          <w:color w:val="auto"/>
          <w:highlight w:val="none"/>
        </w:rPr>
      </w:pPr>
      <w:r>
        <w:rPr>
          <w:color w:val="auto"/>
          <w:highlight w:val="none"/>
        </w:rPr>
        <w:t>据有关调查显示，施工工地的扬尘主要是</w:t>
      </w:r>
      <w:r>
        <w:rPr>
          <w:rFonts w:hint="eastAsia"/>
          <w:color w:val="auto"/>
          <w:highlight w:val="none"/>
          <w:lang w:eastAsia="zh-CN"/>
        </w:rPr>
        <w:t>由</w:t>
      </w:r>
      <w:r>
        <w:rPr>
          <w:color w:val="auto"/>
          <w:highlight w:val="none"/>
        </w:rPr>
        <w:t>运输车辆的行驶产生，约占扬尘总量的</w:t>
      </w:r>
      <w:r>
        <w:rPr>
          <w:rFonts w:eastAsia="Times New Roman"/>
          <w:color w:val="auto"/>
          <w:highlight w:val="none"/>
        </w:rPr>
        <w:t>60%</w:t>
      </w:r>
      <w:r>
        <w:rPr>
          <w:color w:val="auto"/>
          <w:highlight w:val="none"/>
        </w:rPr>
        <w:t>。这类扬尘与道路路面、车辆行驶速度、尘粒含水率有关。</w:t>
      </w:r>
    </w:p>
    <w:p w14:paraId="10980BB1">
      <w:pPr>
        <w:ind w:firstLine="480" w:firstLineChars="200"/>
        <w:rPr>
          <w:color w:val="auto"/>
          <w:highlight w:val="none"/>
        </w:rPr>
      </w:pPr>
      <w:r>
        <w:rPr>
          <w:color w:val="auto"/>
          <w:highlight w:val="none"/>
        </w:rPr>
        <w:t>不洒水的情况下：同样路面清洁时，车速越快，扬尘量越大；而车速相同时，路面清洁度越差，则扬尘量越大。</w:t>
      </w:r>
    </w:p>
    <w:p w14:paraId="668F18A2">
      <w:pPr>
        <w:ind w:firstLine="480" w:firstLineChars="200"/>
        <w:rPr>
          <w:color w:val="auto"/>
          <w:highlight w:val="none"/>
        </w:rPr>
      </w:pPr>
      <w:r>
        <w:rPr>
          <w:color w:val="auto"/>
          <w:highlight w:val="none"/>
        </w:rPr>
        <w:t>洒水情况下：如果在施工期间对车辆行驶的路面实施洒水抑尘，每天洒水4～5次，可使扬尘减少70%左右，可将TSP污染距离缩小到20~50m范围内。</w:t>
      </w:r>
    </w:p>
    <w:p w14:paraId="032B25E0">
      <w:pPr>
        <w:ind w:firstLine="480" w:firstLineChars="200"/>
        <w:rPr>
          <w:color w:val="auto"/>
          <w:highlight w:val="none"/>
        </w:rPr>
      </w:pPr>
      <w:r>
        <w:rPr>
          <w:color w:val="auto"/>
          <w:highlight w:val="none"/>
        </w:rPr>
        <w:t>施工场地洒水抑尘的试验结果见表5-3-2。</w:t>
      </w:r>
    </w:p>
    <w:p w14:paraId="18A2BA49">
      <w:pPr>
        <w:spacing w:after="3"/>
        <w:ind w:left="10" w:right="239" w:hanging="10"/>
        <w:jc w:val="center"/>
        <w:rPr>
          <w:rFonts w:eastAsia="黑体"/>
          <w:color w:val="auto"/>
          <w:sz w:val="21"/>
          <w:highlight w:val="none"/>
        </w:rPr>
      </w:pPr>
      <w:r>
        <w:rPr>
          <w:rFonts w:eastAsia="黑体"/>
          <w:color w:val="auto"/>
          <w:sz w:val="21"/>
          <w:highlight w:val="none"/>
        </w:rPr>
        <w:t>表5-3-2施工期场地洒水抑尘试验结果</w:t>
      </w:r>
    </w:p>
    <w:tbl>
      <w:tblPr>
        <w:tblStyle w:val="5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1406"/>
        <w:gridCol w:w="1193"/>
        <w:gridCol w:w="1305"/>
        <w:gridCol w:w="1033"/>
        <w:gridCol w:w="1406"/>
      </w:tblGrid>
      <w:tr w14:paraId="73C6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63" w:type="pct"/>
            <w:vAlign w:val="center"/>
          </w:tcPr>
          <w:p w14:paraId="16CC6471">
            <w:pPr>
              <w:keepNext w:val="0"/>
              <w:keepLines w:val="0"/>
              <w:suppressLineNumbers w:val="0"/>
              <w:overflowPunct w:val="0"/>
              <w:spacing w:before="0" w:beforeAutospacing="0" w:after="0" w:afterAutospacing="0" w:line="280" w:lineRule="exact"/>
              <w:ind w:left="0" w:right="0" w:firstLine="0"/>
              <w:jc w:val="center"/>
              <w:rPr>
                <w:rFonts w:hint="default" w:eastAsiaTheme="minorEastAsia"/>
                <w:snapToGrid w:val="0"/>
                <w:color w:val="auto"/>
                <w:sz w:val="21"/>
                <w:szCs w:val="21"/>
                <w:highlight w:val="none"/>
                <w:lang w:bidi="he-IL"/>
              </w:rPr>
            </w:pPr>
            <w:r>
              <w:rPr>
                <w:rFonts w:hint="default" w:eastAsiaTheme="minorEastAsia"/>
                <w:snapToGrid w:val="0"/>
                <w:color w:val="auto"/>
                <w:sz w:val="21"/>
                <w:szCs w:val="21"/>
                <w:highlight w:val="none"/>
                <w:lang w:bidi="he-IL"/>
              </w:rPr>
              <w:t>距离</w:t>
            </w:r>
          </w:p>
        </w:tc>
        <w:tc>
          <w:tcPr>
            <w:tcW w:w="806" w:type="pct"/>
            <w:vAlign w:val="center"/>
          </w:tcPr>
          <w:p w14:paraId="74ACCA29">
            <w:pPr>
              <w:keepNext w:val="0"/>
              <w:keepLines w:val="0"/>
              <w:suppressLineNumbers w:val="0"/>
              <w:overflowPunct w:val="0"/>
              <w:spacing w:before="0" w:beforeAutospacing="0" w:after="0" w:afterAutospacing="0" w:line="280" w:lineRule="exact"/>
              <w:ind w:left="0" w:right="0"/>
              <w:rPr>
                <w:rFonts w:hint="default" w:eastAsiaTheme="minorEastAsia"/>
                <w:snapToGrid w:val="0"/>
                <w:color w:val="auto"/>
                <w:sz w:val="21"/>
                <w:szCs w:val="21"/>
                <w:highlight w:val="none"/>
                <w:lang w:bidi="he-IL"/>
              </w:rPr>
            </w:pPr>
            <w:r>
              <w:rPr>
                <w:rFonts w:hint="eastAsia" w:eastAsiaTheme="minorEastAsia"/>
                <w:snapToGrid w:val="0"/>
                <w:color w:val="auto"/>
                <w:sz w:val="21"/>
                <w:szCs w:val="21"/>
                <w:highlight w:val="none"/>
                <w:lang w:bidi="he-IL"/>
              </w:rPr>
              <w:t>措施</w:t>
            </w:r>
          </w:p>
        </w:tc>
        <w:tc>
          <w:tcPr>
            <w:tcW w:w="684" w:type="pct"/>
            <w:vAlign w:val="center"/>
          </w:tcPr>
          <w:p w14:paraId="7528C777">
            <w:pPr>
              <w:keepNext w:val="0"/>
              <w:keepLines w:val="0"/>
              <w:suppressLineNumbers w:val="0"/>
              <w:overflowPunct w:val="0"/>
              <w:spacing w:before="0" w:beforeAutospacing="0" w:after="0" w:afterAutospacing="0" w:line="280" w:lineRule="exact"/>
              <w:ind w:left="0" w:right="0"/>
              <w:rPr>
                <w:rFonts w:hint="eastAsia" w:eastAsiaTheme="minorEastAsia"/>
                <w:snapToGrid w:val="0"/>
                <w:color w:val="auto"/>
                <w:sz w:val="21"/>
                <w:szCs w:val="21"/>
                <w:highlight w:val="none"/>
                <w:lang w:eastAsia="zh-CN" w:bidi="he-IL"/>
              </w:rPr>
            </w:pPr>
            <w:r>
              <w:rPr>
                <w:rFonts w:hint="default" w:eastAsiaTheme="minorEastAsia"/>
                <w:snapToGrid w:val="0"/>
                <w:color w:val="auto"/>
                <w:sz w:val="21"/>
                <w:szCs w:val="21"/>
                <w:highlight w:val="none"/>
                <w:lang w:bidi="he-IL"/>
              </w:rPr>
              <w:t>5m</w:t>
            </w:r>
          </w:p>
        </w:tc>
        <w:tc>
          <w:tcPr>
            <w:tcW w:w="748" w:type="pct"/>
            <w:vAlign w:val="center"/>
          </w:tcPr>
          <w:p w14:paraId="062B784E">
            <w:pPr>
              <w:keepNext w:val="0"/>
              <w:keepLines w:val="0"/>
              <w:suppressLineNumbers w:val="0"/>
              <w:overflowPunct w:val="0"/>
              <w:spacing w:before="0" w:beforeAutospacing="0" w:after="0" w:afterAutospacing="0" w:line="280" w:lineRule="exact"/>
              <w:ind w:left="0" w:right="0"/>
              <w:rPr>
                <w:rFonts w:hint="eastAsia" w:eastAsiaTheme="minorEastAsia"/>
                <w:snapToGrid w:val="0"/>
                <w:color w:val="auto"/>
                <w:sz w:val="21"/>
                <w:szCs w:val="21"/>
                <w:highlight w:val="none"/>
                <w:lang w:eastAsia="zh-CN" w:bidi="he-IL"/>
              </w:rPr>
            </w:pPr>
            <w:r>
              <w:rPr>
                <w:rFonts w:hint="default" w:eastAsiaTheme="minorEastAsia"/>
                <w:snapToGrid w:val="0"/>
                <w:color w:val="auto"/>
                <w:sz w:val="21"/>
                <w:szCs w:val="21"/>
                <w:highlight w:val="none"/>
                <w:lang w:bidi="he-IL"/>
              </w:rPr>
              <w:t>20m</w:t>
            </w:r>
          </w:p>
        </w:tc>
        <w:tc>
          <w:tcPr>
            <w:tcW w:w="592" w:type="pct"/>
            <w:vAlign w:val="center"/>
          </w:tcPr>
          <w:p w14:paraId="0FB865E7">
            <w:pPr>
              <w:keepNext w:val="0"/>
              <w:keepLines w:val="0"/>
              <w:suppressLineNumbers w:val="0"/>
              <w:overflowPunct w:val="0"/>
              <w:spacing w:before="0" w:beforeAutospacing="0" w:after="0" w:afterAutospacing="0" w:line="280" w:lineRule="exact"/>
              <w:ind w:left="0" w:right="0"/>
              <w:rPr>
                <w:rFonts w:hint="eastAsia" w:eastAsiaTheme="minorEastAsia"/>
                <w:snapToGrid w:val="0"/>
                <w:color w:val="auto"/>
                <w:sz w:val="21"/>
                <w:szCs w:val="21"/>
                <w:highlight w:val="none"/>
                <w:lang w:eastAsia="zh-CN" w:bidi="he-IL"/>
              </w:rPr>
            </w:pPr>
            <w:r>
              <w:rPr>
                <w:rFonts w:hint="default" w:eastAsiaTheme="minorEastAsia"/>
                <w:snapToGrid w:val="0"/>
                <w:color w:val="auto"/>
                <w:sz w:val="21"/>
                <w:szCs w:val="21"/>
                <w:highlight w:val="none"/>
                <w:lang w:bidi="he-IL"/>
              </w:rPr>
              <w:t>50m</w:t>
            </w:r>
          </w:p>
        </w:tc>
        <w:tc>
          <w:tcPr>
            <w:tcW w:w="806" w:type="pct"/>
            <w:vAlign w:val="center"/>
          </w:tcPr>
          <w:p w14:paraId="632A26DD">
            <w:pPr>
              <w:keepNext w:val="0"/>
              <w:keepLines w:val="0"/>
              <w:suppressLineNumbers w:val="0"/>
              <w:overflowPunct w:val="0"/>
              <w:spacing w:before="0" w:beforeAutospacing="0" w:after="0" w:afterAutospacing="0" w:line="280" w:lineRule="exact"/>
              <w:ind w:left="0" w:right="0"/>
              <w:rPr>
                <w:rFonts w:hint="eastAsia" w:eastAsiaTheme="minorEastAsia"/>
                <w:snapToGrid w:val="0"/>
                <w:color w:val="auto"/>
                <w:sz w:val="21"/>
                <w:szCs w:val="21"/>
                <w:highlight w:val="none"/>
                <w:lang w:eastAsia="zh-CN" w:bidi="he-IL"/>
              </w:rPr>
            </w:pPr>
            <w:r>
              <w:rPr>
                <w:rFonts w:hint="default" w:eastAsiaTheme="minorEastAsia"/>
                <w:snapToGrid w:val="0"/>
                <w:color w:val="auto"/>
                <w:sz w:val="21"/>
                <w:szCs w:val="21"/>
                <w:highlight w:val="none"/>
                <w:lang w:bidi="he-IL"/>
              </w:rPr>
              <w:t>100m</w:t>
            </w:r>
          </w:p>
        </w:tc>
      </w:tr>
      <w:tr w14:paraId="7D83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363" w:type="pct"/>
            <w:vMerge w:val="restart"/>
            <w:vAlign w:val="center"/>
          </w:tcPr>
          <w:p w14:paraId="143746E6">
            <w:pPr>
              <w:keepNext w:val="0"/>
              <w:keepLines w:val="0"/>
              <w:suppressLineNumbers w:val="0"/>
              <w:overflowPunct w:val="0"/>
              <w:spacing w:before="0" w:beforeAutospacing="0" w:after="0" w:afterAutospacing="0" w:line="280" w:lineRule="exact"/>
              <w:ind w:left="0" w:right="0" w:firstLine="0"/>
              <w:jc w:val="center"/>
              <w:rPr>
                <w:rFonts w:hint="default" w:eastAsiaTheme="minorEastAsia"/>
                <w:snapToGrid w:val="0"/>
                <w:color w:val="auto"/>
                <w:sz w:val="21"/>
                <w:szCs w:val="21"/>
                <w:highlight w:val="none"/>
                <w:lang w:bidi="he-IL"/>
              </w:rPr>
            </w:pPr>
            <w:r>
              <w:rPr>
                <w:rFonts w:hint="default" w:eastAsiaTheme="minorEastAsia"/>
                <w:snapToGrid w:val="0"/>
                <w:color w:val="auto"/>
                <w:sz w:val="21"/>
                <w:szCs w:val="21"/>
                <w:highlight w:val="none"/>
                <w:lang w:bidi="he-IL"/>
              </w:rPr>
              <w:t>TSP小时平均浓度</w:t>
            </w:r>
          </w:p>
          <w:p w14:paraId="155A08C5">
            <w:pPr>
              <w:keepNext w:val="0"/>
              <w:keepLines w:val="0"/>
              <w:suppressLineNumbers w:val="0"/>
              <w:overflowPunct w:val="0"/>
              <w:spacing w:before="0" w:beforeAutospacing="0" w:after="0" w:afterAutospacing="0" w:line="280" w:lineRule="exact"/>
              <w:ind w:left="0" w:right="0" w:firstLine="0"/>
              <w:jc w:val="center"/>
              <w:rPr>
                <w:rFonts w:hint="default" w:eastAsiaTheme="minorEastAsia"/>
                <w:snapToGrid w:val="0"/>
                <w:color w:val="auto"/>
                <w:sz w:val="21"/>
                <w:szCs w:val="21"/>
                <w:highlight w:val="none"/>
                <w:lang w:bidi="he-IL"/>
              </w:rPr>
            </w:pPr>
            <w:r>
              <w:rPr>
                <w:rFonts w:hint="default" w:eastAsiaTheme="minorEastAsia"/>
                <w:snapToGrid w:val="0"/>
                <w:color w:val="auto"/>
                <w:sz w:val="21"/>
                <w:szCs w:val="21"/>
                <w:highlight w:val="none"/>
                <w:lang w:bidi="he-IL"/>
              </w:rPr>
              <w:t>（mg/m</w:t>
            </w:r>
            <w:r>
              <w:rPr>
                <w:rFonts w:hint="default" w:eastAsiaTheme="minorEastAsia"/>
                <w:snapToGrid w:val="0"/>
                <w:color w:val="auto"/>
                <w:sz w:val="21"/>
                <w:szCs w:val="21"/>
                <w:highlight w:val="none"/>
                <w:vertAlign w:val="superscript"/>
                <w:lang w:bidi="he-IL"/>
              </w:rPr>
              <w:t>3</w:t>
            </w:r>
            <w:r>
              <w:rPr>
                <w:rFonts w:hint="eastAsia" w:eastAsiaTheme="minorEastAsia"/>
                <w:snapToGrid w:val="0"/>
                <w:color w:val="auto"/>
                <w:sz w:val="21"/>
                <w:szCs w:val="21"/>
                <w:highlight w:val="none"/>
                <w:vertAlign w:val="superscript"/>
                <w:lang w:eastAsia="zh-CN" w:bidi="he-IL"/>
              </w:rPr>
              <w:t>)</w:t>
            </w:r>
          </w:p>
        </w:tc>
        <w:tc>
          <w:tcPr>
            <w:tcW w:w="806" w:type="pct"/>
            <w:vAlign w:val="center"/>
          </w:tcPr>
          <w:p w14:paraId="241791C0">
            <w:pPr>
              <w:keepNext w:val="0"/>
              <w:keepLines w:val="0"/>
              <w:suppressLineNumbers w:val="0"/>
              <w:overflowPunct w:val="0"/>
              <w:spacing w:before="0" w:beforeAutospacing="0" w:after="0" w:afterAutospacing="0" w:line="280" w:lineRule="exact"/>
              <w:ind w:left="0" w:right="0"/>
              <w:rPr>
                <w:rFonts w:hint="eastAsia" w:eastAsiaTheme="minorEastAsia"/>
                <w:snapToGrid w:val="0"/>
                <w:color w:val="auto"/>
                <w:sz w:val="21"/>
                <w:szCs w:val="21"/>
                <w:highlight w:val="none"/>
                <w:lang w:eastAsia="zh-CN" w:bidi="he-IL"/>
              </w:rPr>
            </w:pPr>
            <w:r>
              <w:rPr>
                <w:rFonts w:hint="default" w:eastAsiaTheme="minorEastAsia"/>
                <w:snapToGrid w:val="0"/>
                <w:color w:val="auto"/>
                <w:sz w:val="21"/>
                <w:szCs w:val="21"/>
                <w:highlight w:val="none"/>
                <w:lang w:bidi="he-IL"/>
              </w:rPr>
              <w:t>不洒水</w:t>
            </w:r>
          </w:p>
        </w:tc>
        <w:tc>
          <w:tcPr>
            <w:tcW w:w="684" w:type="pct"/>
            <w:vAlign w:val="center"/>
          </w:tcPr>
          <w:p w14:paraId="2733541D">
            <w:pPr>
              <w:keepNext w:val="0"/>
              <w:keepLines w:val="0"/>
              <w:suppressLineNumbers w:val="0"/>
              <w:overflowPunct w:val="0"/>
              <w:spacing w:before="0" w:beforeAutospacing="0" w:after="0" w:afterAutospacing="0" w:line="280" w:lineRule="exact"/>
              <w:ind w:left="0" w:right="0"/>
              <w:rPr>
                <w:rFonts w:hint="eastAsia" w:eastAsiaTheme="minorEastAsia"/>
                <w:snapToGrid w:val="0"/>
                <w:color w:val="auto"/>
                <w:sz w:val="21"/>
                <w:szCs w:val="21"/>
                <w:highlight w:val="none"/>
                <w:lang w:eastAsia="zh-CN" w:bidi="he-IL"/>
              </w:rPr>
            </w:pPr>
            <w:r>
              <w:rPr>
                <w:rFonts w:hint="default" w:eastAsiaTheme="minorEastAsia"/>
                <w:snapToGrid w:val="0"/>
                <w:color w:val="auto"/>
                <w:sz w:val="21"/>
                <w:szCs w:val="21"/>
                <w:highlight w:val="none"/>
                <w:lang w:bidi="he-IL"/>
              </w:rPr>
              <w:t>10.14</w:t>
            </w:r>
          </w:p>
        </w:tc>
        <w:tc>
          <w:tcPr>
            <w:tcW w:w="748" w:type="pct"/>
            <w:vAlign w:val="center"/>
          </w:tcPr>
          <w:p w14:paraId="09A13539">
            <w:pPr>
              <w:keepNext w:val="0"/>
              <w:keepLines w:val="0"/>
              <w:suppressLineNumbers w:val="0"/>
              <w:overflowPunct w:val="0"/>
              <w:spacing w:before="0" w:beforeAutospacing="0" w:after="0" w:afterAutospacing="0" w:line="280" w:lineRule="exact"/>
              <w:ind w:left="0" w:right="0"/>
              <w:rPr>
                <w:rFonts w:hint="eastAsia" w:eastAsiaTheme="minorEastAsia"/>
                <w:snapToGrid w:val="0"/>
                <w:color w:val="auto"/>
                <w:sz w:val="21"/>
                <w:szCs w:val="21"/>
                <w:highlight w:val="none"/>
                <w:lang w:eastAsia="zh-CN" w:bidi="he-IL"/>
              </w:rPr>
            </w:pPr>
            <w:r>
              <w:rPr>
                <w:rFonts w:hint="default" w:eastAsiaTheme="minorEastAsia"/>
                <w:snapToGrid w:val="0"/>
                <w:color w:val="auto"/>
                <w:sz w:val="21"/>
                <w:szCs w:val="21"/>
                <w:highlight w:val="none"/>
                <w:lang w:bidi="he-IL"/>
              </w:rPr>
              <w:t>2.89</w:t>
            </w:r>
          </w:p>
        </w:tc>
        <w:tc>
          <w:tcPr>
            <w:tcW w:w="592" w:type="pct"/>
            <w:vAlign w:val="center"/>
          </w:tcPr>
          <w:p w14:paraId="2ADE67F4">
            <w:pPr>
              <w:keepNext w:val="0"/>
              <w:keepLines w:val="0"/>
              <w:suppressLineNumbers w:val="0"/>
              <w:overflowPunct w:val="0"/>
              <w:spacing w:before="0" w:beforeAutospacing="0" w:after="0" w:afterAutospacing="0" w:line="280" w:lineRule="exact"/>
              <w:ind w:left="0" w:right="0"/>
              <w:rPr>
                <w:rFonts w:hint="eastAsia" w:eastAsiaTheme="minorEastAsia"/>
                <w:snapToGrid w:val="0"/>
                <w:color w:val="auto"/>
                <w:sz w:val="21"/>
                <w:szCs w:val="21"/>
                <w:highlight w:val="none"/>
                <w:lang w:eastAsia="zh-CN" w:bidi="he-IL"/>
              </w:rPr>
            </w:pPr>
            <w:r>
              <w:rPr>
                <w:rFonts w:hint="default" w:eastAsiaTheme="minorEastAsia"/>
                <w:snapToGrid w:val="0"/>
                <w:color w:val="auto"/>
                <w:sz w:val="21"/>
                <w:szCs w:val="21"/>
                <w:highlight w:val="none"/>
                <w:lang w:bidi="he-IL"/>
              </w:rPr>
              <w:t>1.15</w:t>
            </w:r>
          </w:p>
        </w:tc>
        <w:tc>
          <w:tcPr>
            <w:tcW w:w="806" w:type="pct"/>
            <w:vAlign w:val="center"/>
          </w:tcPr>
          <w:p w14:paraId="7701B9FA">
            <w:pPr>
              <w:keepNext w:val="0"/>
              <w:keepLines w:val="0"/>
              <w:suppressLineNumbers w:val="0"/>
              <w:overflowPunct w:val="0"/>
              <w:spacing w:before="0" w:beforeAutospacing="0" w:after="0" w:afterAutospacing="0" w:line="280" w:lineRule="exact"/>
              <w:ind w:left="0" w:right="0"/>
              <w:rPr>
                <w:rFonts w:hint="eastAsia" w:eastAsiaTheme="minorEastAsia"/>
                <w:snapToGrid w:val="0"/>
                <w:color w:val="auto"/>
                <w:sz w:val="21"/>
                <w:szCs w:val="21"/>
                <w:highlight w:val="none"/>
                <w:lang w:eastAsia="zh-CN" w:bidi="he-IL"/>
              </w:rPr>
            </w:pPr>
            <w:r>
              <w:rPr>
                <w:rFonts w:hint="default" w:eastAsiaTheme="minorEastAsia"/>
                <w:snapToGrid w:val="0"/>
                <w:color w:val="auto"/>
                <w:sz w:val="21"/>
                <w:szCs w:val="21"/>
                <w:highlight w:val="none"/>
                <w:lang w:bidi="he-IL"/>
              </w:rPr>
              <w:t>0.86</w:t>
            </w:r>
          </w:p>
        </w:tc>
      </w:tr>
      <w:tr w14:paraId="2F86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63" w:type="pct"/>
            <w:vMerge w:val="continue"/>
            <w:vAlign w:val="center"/>
          </w:tcPr>
          <w:p w14:paraId="0EA70F15">
            <w:pPr>
              <w:keepNext w:val="0"/>
              <w:keepLines w:val="0"/>
              <w:suppressLineNumbers w:val="0"/>
              <w:overflowPunct w:val="0"/>
              <w:spacing w:before="0" w:beforeAutospacing="0" w:after="0" w:afterAutospacing="0" w:line="280" w:lineRule="exact"/>
              <w:ind w:left="0" w:right="0"/>
              <w:rPr>
                <w:rFonts w:hint="default" w:eastAsiaTheme="minorEastAsia"/>
                <w:snapToGrid w:val="0"/>
                <w:color w:val="auto"/>
                <w:sz w:val="21"/>
                <w:szCs w:val="21"/>
                <w:highlight w:val="none"/>
                <w:lang w:bidi="he-IL"/>
              </w:rPr>
            </w:pPr>
          </w:p>
        </w:tc>
        <w:tc>
          <w:tcPr>
            <w:tcW w:w="806" w:type="pct"/>
            <w:vAlign w:val="center"/>
          </w:tcPr>
          <w:p w14:paraId="71C8D875">
            <w:pPr>
              <w:keepNext w:val="0"/>
              <w:keepLines w:val="0"/>
              <w:suppressLineNumbers w:val="0"/>
              <w:overflowPunct w:val="0"/>
              <w:spacing w:before="0" w:beforeAutospacing="0" w:after="0" w:afterAutospacing="0" w:line="280" w:lineRule="exact"/>
              <w:ind w:left="0" w:right="0"/>
              <w:rPr>
                <w:rFonts w:hint="eastAsia" w:eastAsiaTheme="minorEastAsia"/>
                <w:snapToGrid w:val="0"/>
                <w:color w:val="auto"/>
                <w:sz w:val="21"/>
                <w:szCs w:val="21"/>
                <w:highlight w:val="none"/>
                <w:lang w:eastAsia="zh-CN" w:bidi="he-IL"/>
              </w:rPr>
            </w:pPr>
            <w:r>
              <w:rPr>
                <w:rFonts w:hint="default" w:eastAsiaTheme="minorEastAsia"/>
                <w:snapToGrid w:val="0"/>
                <w:color w:val="auto"/>
                <w:sz w:val="21"/>
                <w:szCs w:val="21"/>
                <w:highlight w:val="none"/>
                <w:lang w:bidi="he-IL"/>
              </w:rPr>
              <w:t>洒水</w:t>
            </w:r>
          </w:p>
        </w:tc>
        <w:tc>
          <w:tcPr>
            <w:tcW w:w="684" w:type="pct"/>
            <w:vAlign w:val="center"/>
          </w:tcPr>
          <w:p w14:paraId="2BA0BD7E">
            <w:pPr>
              <w:keepNext w:val="0"/>
              <w:keepLines w:val="0"/>
              <w:suppressLineNumbers w:val="0"/>
              <w:overflowPunct w:val="0"/>
              <w:spacing w:before="0" w:beforeAutospacing="0" w:after="0" w:afterAutospacing="0" w:line="280" w:lineRule="exact"/>
              <w:ind w:left="0" w:right="0"/>
              <w:rPr>
                <w:rFonts w:hint="eastAsia" w:eastAsiaTheme="minorEastAsia"/>
                <w:snapToGrid w:val="0"/>
                <w:color w:val="auto"/>
                <w:sz w:val="21"/>
                <w:szCs w:val="21"/>
                <w:highlight w:val="none"/>
                <w:lang w:eastAsia="zh-CN" w:bidi="he-IL"/>
              </w:rPr>
            </w:pPr>
            <w:r>
              <w:rPr>
                <w:rFonts w:hint="default" w:eastAsiaTheme="minorEastAsia"/>
                <w:snapToGrid w:val="0"/>
                <w:color w:val="auto"/>
                <w:sz w:val="21"/>
                <w:szCs w:val="21"/>
                <w:highlight w:val="none"/>
                <w:lang w:bidi="he-IL"/>
              </w:rPr>
              <w:t>2.01</w:t>
            </w:r>
          </w:p>
        </w:tc>
        <w:tc>
          <w:tcPr>
            <w:tcW w:w="748" w:type="pct"/>
            <w:vAlign w:val="center"/>
          </w:tcPr>
          <w:p w14:paraId="7A91510A">
            <w:pPr>
              <w:keepNext w:val="0"/>
              <w:keepLines w:val="0"/>
              <w:suppressLineNumbers w:val="0"/>
              <w:overflowPunct w:val="0"/>
              <w:spacing w:before="0" w:beforeAutospacing="0" w:after="0" w:afterAutospacing="0" w:line="280" w:lineRule="exact"/>
              <w:ind w:left="0" w:right="0"/>
              <w:rPr>
                <w:rFonts w:hint="eastAsia" w:eastAsiaTheme="minorEastAsia"/>
                <w:snapToGrid w:val="0"/>
                <w:color w:val="auto"/>
                <w:sz w:val="21"/>
                <w:szCs w:val="21"/>
                <w:highlight w:val="none"/>
                <w:lang w:eastAsia="zh-CN" w:bidi="he-IL"/>
              </w:rPr>
            </w:pPr>
            <w:r>
              <w:rPr>
                <w:rFonts w:hint="default" w:eastAsiaTheme="minorEastAsia"/>
                <w:snapToGrid w:val="0"/>
                <w:color w:val="auto"/>
                <w:sz w:val="21"/>
                <w:szCs w:val="21"/>
                <w:highlight w:val="none"/>
                <w:lang w:bidi="he-IL"/>
              </w:rPr>
              <w:t>1.40</w:t>
            </w:r>
          </w:p>
        </w:tc>
        <w:tc>
          <w:tcPr>
            <w:tcW w:w="592" w:type="pct"/>
            <w:vAlign w:val="center"/>
          </w:tcPr>
          <w:p w14:paraId="7403A078">
            <w:pPr>
              <w:keepNext w:val="0"/>
              <w:keepLines w:val="0"/>
              <w:suppressLineNumbers w:val="0"/>
              <w:overflowPunct w:val="0"/>
              <w:spacing w:before="0" w:beforeAutospacing="0" w:after="0" w:afterAutospacing="0" w:line="280" w:lineRule="exact"/>
              <w:ind w:left="0" w:right="0"/>
              <w:rPr>
                <w:rFonts w:hint="eastAsia" w:eastAsiaTheme="minorEastAsia"/>
                <w:snapToGrid w:val="0"/>
                <w:color w:val="auto"/>
                <w:sz w:val="21"/>
                <w:szCs w:val="21"/>
                <w:highlight w:val="none"/>
                <w:lang w:eastAsia="zh-CN" w:bidi="he-IL"/>
              </w:rPr>
            </w:pPr>
            <w:r>
              <w:rPr>
                <w:rFonts w:hint="default" w:eastAsiaTheme="minorEastAsia"/>
                <w:snapToGrid w:val="0"/>
                <w:color w:val="auto"/>
                <w:sz w:val="21"/>
                <w:szCs w:val="21"/>
                <w:highlight w:val="none"/>
                <w:lang w:bidi="he-IL"/>
              </w:rPr>
              <w:t>0.67</w:t>
            </w:r>
          </w:p>
        </w:tc>
        <w:tc>
          <w:tcPr>
            <w:tcW w:w="806" w:type="pct"/>
            <w:vAlign w:val="center"/>
          </w:tcPr>
          <w:p w14:paraId="639F3EFE">
            <w:pPr>
              <w:keepNext w:val="0"/>
              <w:keepLines w:val="0"/>
              <w:suppressLineNumbers w:val="0"/>
              <w:overflowPunct w:val="0"/>
              <w:spacing w:before="0" w:beforeAutospacing="0" w:after="0" w:afterAutospacing="0" w:line="280" w:lineRule="exact"/>
              <w:ind w:left="0" w:right="0"/>
              <w:rPr>
                <w:rFonts w:hint="eastAsia" w:eastAsiaTheme="minorEastAsia"/>
                <w:snapToGrid w:val="0"/>
                <w:color w:val="auto"/>
                <w:sz w:val="21"/>
                <w:szCs w:val="21"/>
                <w:highlight w:val="none"/>
                <w:lang w:eastAsia="zh-CN" w:bidi="he-IL"/>
              </w:rPr>
            </w:pPr>
            <w:r>
              <w:rPr>
                <w:rFonts w:hint="default" w:eastAsiaTheme="minorEastAsia"/>
                <w:snapToGrid w:val="0"/>
                <w:color w:val="auto"/>
                <w:sz w:val="21"/>
                <w:szCs w:val="21"/>
                <w:highlight w:val="none"/>
                <w:lang w:bidi="he-IL"/>
              </w:rPr>
              <w:t>0.60</w:t>
            </w:r>
          </w:p>
        </w:tc>
      </w:tr>
    </w:tbl>
    <w:p w14:paraId="736C7567">
      <w:pPr>
        <w:overflowPunct w:val="0"/>
        <w:ind w:firstLine="480" w:firstLineChars="200"/>
        <w:rPr>
          <w:color w:val="auto"/>
          <w:highlight w:val="none"/>
        </w:rPr>
      </w:pPr>
      <w:r>
        <w:rPr>
          <w:color w:val="auto"/>
          <w:highlight w:val="none"/>
        </w:rPr>
        <w:t>因此限速行驶及保持路面清洁，同时适当洒水是减少车辆扬尘的有效手段。</w:t>
      </w:r>
    </w:p>
    <w:p w14:paraId="63C869F4">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其他施工废气</w:t>
      </w:r>
    </w:p>
    <w:p w14:paraId="6EE279C9">
      <w:pPr>
        <w:ind w:firstLine="480" w:firstLineChars="200"/>
        <w:rPr>
          <w:color w:val="auto"/>
          <w:highlight w:val="none"/>
        </w:rPr>
      </w:pPr>
      <w:r>
        <w:rPr>
          <w:color w:val="auto"/>
          <w:highlight w:val="none"/>
        </w:rPr>
        <w:t>其他施工废气排放主要来自搅拌、运输车辆的废气排放。施工期间将会有大量的车辆进出场址区，因而会有一定量的尾气排放。汽车尾气中的污染物主要有一氧化碳（</w:t>
      </w:r>
      <w:r>
        <w:rPr>
          <w:rFonts w:eastAsia="Times New Roman"/>
          <w:color w:val="auto"/>
          <w:highlight w:val="none"/>
        </w:rPr>
        <w:t>CO</w:t>
      </w:r>
      <w:r>
        <w:rPr>
          <w:color w:val="auto"/>
          <w:highlight w:val="none"/>
        </w:rPr>
        <w:t>）、碳氢化合物（</w:t>
      </w:r>
      <w:r>
        <w:rPr>
          <w:rFonts w:eastAsia="Times New Roman"/>
          <w:color w:val="auto"/>
          <w:highlight w:val="none"/>
        </w:rPr>
        <w:t>HC</w:t>
      </w:r>
      <w:r>
        <w:rPr>
          <w:color w:val="auto"/>
          <w:highlight w:val="none"/>
        </w:rPr>
        <w:t>）及氮氧化物（</w:t>
      </w:r>
      <w:r>
        <w:rPr>
          <w:rFonts w:eastAsia="Times New Roman"/>
          <w:color w:val="auto"/>
          <w:highlight w:val="none"/>
        </w:rPr>
        <w:t>NOx</w:t>
      </w:r>
      <w:r>
        <w:rPr>
          <w:color w:val="auto"/>
          <w:highlight w:val="none"/>
        </w:rPr>
        <w:t>），会对下风向和运输沿线区域产生不利影响。燃料燃烧是</w:t>
      </w:r>
      <w:r>
        <w:rPr>
          <w:rFonts w:eastAsia="Times New Roman"/>
          <w:color w:val="auto"/>
          <w:highlight w:val="none"/>
        </w:rPr>
        <w:t>PM</w:t>
      </w:r>
      <w:r>
        <w:rPr>
          <w:rFonts w:eastAsia="Times New Roman"/>
          <w:color w:val="auto"/>
          <w:highlight w:val="none"/>
          <w:vertAlign w:val="subscript"/>
        </w:rPr>
        <w:t>2.5</w:t>
      </w:r>
      <w:r>
        <w:rPr>
          <w:color w:val="auto"/>
          <w:highlight w:val="none"/>
        </w:rPr>
        <w:t>的主要来源，施工期间一些施工设备、运输车辆都会产生</w:t>
      </w:r>
      <w:r>
        <w:rPr>
          <w:rFonts w:eastAsia="Times New Roman"/>
          <w:color w:val="auto"/>
          <w:highlight w:val="none"/>
        </w:rPr>
        <w:t>PM</w:t>
      </w:r>
      <w:r>
        <w:rPr>
          <w:rFonts w:eastAsia="Times New Roman"/>
          <w:color w:val="auto"/>
          <w:highlight w:val="none"/>
          <w:vertAlign w:val="subscript"/>
        </w:rPr>
        <w:t>2.5</w:t>
      </w:r>
      <w:r>
        <w:rPr>
          <w:color w:val="auto"/>
          <w:highlight w:val="none"/>
        </w:rPr>
        <w:t>。</w:t>
      </w:r>
    </w:p>
    <w:p w14:paraId="7E7842AC">
      <w:pPr>
        <w:ind w:firstLine="480" w:firstLineChars="200"/>
        <w:rPr>
          <w:color w:val="auto"/>
          <w:highlight w:val="none"/>
        </w:rPr>
      </w:pPr>
      <w:r>
        <w:rPr>
          <w:rFonts w:eastAsia="Times New Roman"/>
          <w:color w:val="auto"/>
          <w:highlight w:val="none"/>
        </w:rPr>
        <w:t>PM</w:t>
      </w:r>
      <w:r>
        <w:rPr>
          <w:rFonts w:eastAsia="Times New Roman"/>
          <w:color w:val="auto"/>
          <w:highlight w:val="none"/>
          <w:vertAlign w:val="subscript"/>
        </w:rPr>
        <w:t>2.5</w:t>
      </w:r>
      <w:r>
        <w:rPr>
          <w:color w:val="auto"/>
          <w:highlight w:val="none"/>
        </w:rPr>
        <w:t>在空气中的停留时间较长，对人类健康的影响较大。</w:t>
      </w:r>
      <w:r>
        <w:rPr>
          <w:rFonts w:eastAsia="Times New Roman"/>
          <w:color w:val="auto"/>
          <w:highlight w:val="none"/>
        </w:rPr>
        <w:t>PM</w:t>
      </w:r>
      <w:r>
        <w:rPr>
          <w:rFonts w:eastAsia="Times New Roman"/>
          <w:color w:val="auto"/>
          <w:highlight w:val="none"/>
          <w:vertAlign w:val="subscript"/>
        </w:rPr>
        <w:t>2.5</w:t>
      </w:r>
      <w:r>
        <w:rPr>
          <w:color w:val="auto"/>
          <w:highlight w:val="none"/>
        </w:rPr>
        <w:t>被吸入人体后会进入支气管，干扰肺部的气体交换，引起包括哮喘、支气管炎和心血管病等方面的疾病。由于施工现场广阔，空气流通性好，排放废气中的各项污染物能够很快扩散，不会引起局部大气环境质量的恶化，加之机械车辆的不连续使用和项目施工期有限，施工废气对区域的环境空气影响较小。</w:t>
      </w:r>
    </w:p>
    <w:p w14:paraId="78278B38">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运营期环境空气影响分析</w:t>
      </w:r>
    </w:p>
    <w:p w14:paraId="31B6C3C7">
      <w:pPr>
        <w:pStyle w:val="133"/>
        <w:rPr>
          <w:snapToGrid w:val="0"/>
          <w:color w:val="auto"/>
          <w:highlight w:val="none"/>
        </w:rPr>
      </w:pPr>
      <w:r>
        <w:rPr>
          <w:rFonts w:hint="eastAsia"/>
          <w:color w:val="auto"/>
          <w:highlight w:val="none"/>
        </w:rPr>
        <w:t>本项目大气环境影响评价等级为二级。根据《环境影响评价技术导则 大气环境》（HJ2.2-2018）的相关规定：“二级评价</w:t>
      </w:r>
      <w:r>
        <w:rPr>
          <w:rFonts w:hint="eastAsia"/>
          <w:snapToGrid w:val="0"/>
          <w:color w:val="auto"/>
          <w:highlight w:val="none"/>
        </w:rPr>
        <w:t>项目不进行进一步预测，只对污染物排放量进行核算”。故本次只对采用AERSCREEN模式预测的结果进行评价，不进行进一步预测。</w:t>
      </w:r>
    </w:p>
    <w:p w14:paraId="2249DE67">
      <w:pPr>
        <w:pStyle w:val="133"/>
        <w:rPr>
          <w:color w:val="auto"/>
          <w:highlight w:val="none"/>
        </w:rPr>
      </w:pPr>
      <w:r>
        <w:rPr>
          <w:rFonts w:hint="eastAsia"/>
          <w:color w:val="auto"/>
          <w:highlight w:val="none"/>
        </w:rPr>
        <w:t>污水处理站无组织排放的污染物H</w:t>
      </w:r>
      <w:r>
        <w:rPr>
          <w:color w:val="auto"/>
          <w:highlight w:val="none"/>
          <w:vertAlign w:val="subscript"/>
        </w:rPr>
        <w:t>2</w:t>
      </w:r>
      <w:r>
        <w:rPr>
          <w:color w:val="auto"/>
          <w:highlight w:val="none"/>
        </w:rPr>
        <w:t>S</w:t>
      </w:r>
      <w:r>
        <w:rPr>
          <w:rFonts w:hint="eastAsia"/>
          <w:color w:val="auto"/>
          <w:highlight w:val="none"/>
        </w:rPr>
        <w:t>和N</w:t>
      </w:r>
      <w:r>
        <w:rPr>
          <w:color w:val="auto"/>
          <w:highlight w:val="none"/>
        </w:rPr>
        <w:t>H</w:t>
      </w:r>
      <w:r>
        <w:rPr>
          <w:color w:val="auto"/>
          <w:highlight w:val="none"/>
          <w:vertAlign w:val="subscript"/>
        </w:rPr>
        <w:t>3</w:t>
      </w:r>
      <w:r>
        <w:rPr>
          <w:rFonts w:hint="eastAsia"/>
          <w:color w:val="auto"/>
          <w:highlight w:val="none"/>
        </w:rPr>
        <w:t>最大落地浓度占标率均小于10%，其中H</w:t>
      </w:r>
      <w:r>
        <w:rPr>
          <w:color w:val="auto"/>
          <w:highlight w:val="none"/>
          <w:vertAlign w:val="subscript"/>
        </w:rPr>
        <w:t>2</w:t>
      </w:r>
      <w:r>
        <w:rPr>
          <w:color w:val="auto"/>
          <w:highlight w:val="none"/>
        </w:rPr>
        <w:t>S</w:t>
      </w:r>
      <w:r>
        <w:rPr>
          <w:rFonts w:hint="eastAsia"/>
          <w:color w:val="auto"/>
          <w:highlight w:val="none"/>
        </w:rPr>
        <w:t>最大地面浓度点预测浓度</w:t>
      </w:r>
      <w:r>
        <w:rPr>
          <w:color w:val="auto"/>
          <w:highlight w:val="none"/>
        </w:rPr>
        <w:t>0.00</w:t>
      </w:r>
      <w:r>
        <w:rPr>
          <w:rFonts w:hint="eastAsia"/>
          <w:color w:val="auto"/>
          <w:highlight w:val="none"/>
        </w:rPr>
        <w:t>00</w:t>
      </w:r>
      <w:r>
        <w:rPr>
          <w:color w:val="auto"/>
          <w:highlight w:val="none"/>
        </w:rPr>
        <w:t>73</w:t>
      </w:r>
      <w:r>
        <w:rPr>
          <w:rFonts w:hint="eastAsia"/>
          <w:color w:val="auto"/>
          <w:highlight w:val="none"/>
        </w:rPr>
        <w:t>mg/m</w:t>
      </w:r>
      <w:r>
        <w:rPr>
          <w:rFonts w:hint="eastAsia"/>
          <w:color w:val="auto"/>
          <w:highlight w:val="none"/>
          <w:vertAlign w:val="superscript"/>
        </w:rPr>
        <w:t>3</w:t>
      </w:r>
      <w:r>
        <w:rPr>
          <w:rFonts w:hint="eastAsia"/>
          <w:color w:val="auto"/>
          <w:highlight w:val="none"/>
        </w:rPr>
        <w:t>，最大占标率</w:t>
      </w:r>
      <w:r>
        <w:rPr>
          <w:color w:val="auto"/>
          <w:highlight w:val="none"/>
        </w:rPr>
        <w:t>0.</w:t>
      </w:r>
      <w:r>
        <w:rPr>
          <w:rFonts w:hint="eastAsia"/>
          <w:color w:val="auto"/>
          <w:highlight w:val="none"/>
        </w:rPr>
        <w:t>7</w:t>
      </w:r>
      <w:r>
        <w:rPr>
          <w:color w:val="auto"/>
          <w:highlight w:val="none"/>
        </w:rPr>
        <w:t>3</w:t>
      </w:r>
      <w:r>
        <w:rPr>
          <w:rFonts w:hint="eastAsia"/>
          <w:color w:val="auto"/>
          <w:highlight w:val="none"/>
        </w:rPr>
        <w:t>%；N</w:t>
      </w:r>
      <w:r>
        <w:rPr>
          <w:color w:val="auto"/>
          <w:highlight w:val="none"/>
        </w:rPr>
        <w:t>H</w:t>
      </w:r>
      <w:r>
        <w:rPr>
          <w:color w:val="auto"/>
          <w:highlight w:val="none"/>
          <w:vertAlign w:val="subscript"/>
        </w:rPr>
        <w:t>3</w:t>
      </w:r>
      <w:r>
        <w:rPr>
          <w:rFonts w:hint="eastAsia"/>
          <w:color w:val="auto"/>
          <w:highlight w:val="none"/>
        </w:rPr>
        <w:t>最大地面浓度点预测浓度</w:t>
      </w:r>
      <w:r>
        <w:rPr>
          <w:rFonts w:hint="eastAsia"/>
          <w:color w:val="auto"/>
          <w:highlight w:val="none"/>
          <w:lang w:eastAsia="zh-CN"/>
        </w:rPr>
        <w:t>0.00185</w:t>
      </w:r>
      <w:r>
        <w:rPr>
          <w:rFonts w:hint="eastAsia"/>
          <w:color w:val="auto"/>
          <w:highlight w:val="none"/>
        </w:rPr>
        <w:t>mg/m</w:t>
      </w:r>
      <w:r>
        <w:rPr>
          <w:rFonts w:hint="eastAsia"/>
          <w:color w:val="auto"/>
          <w:highlight w:val="none"/>
          <w:vertAlign w:val="superscript"/>
        </w:rPr>
        <w:t>3</w:t>
      </w:r>
      <w:r>
        <w:rPr>
          <w:rFonts w:hint="eastAsia"/>
          <w:color w:val="auto"/>
          <w:highlight w:val="none"/>
        </w:rPr>
        <w:t>，最大占标率0.9</w:t>
      </w:r>
      <w:r>
        <w:rPr>
          <w:color w:val="auto"/>
          <w:highlight w:val="none"/>
        </w:rPr>
        <w:t>2</w:t>
      </w:r>
      <w:r>
        <w:rPr>
          <w:rFonts w:hint="eastAsia"/>
          <w:color w:val="auto"/>
          <w:highlight w:val="none"/>
        </w:rPr>
        <w:t>%，最大落地浓度出现距离为</w:t>
      </w:r>
      <w:r>
        <w:rPr>
          <w:color w:val="auto"/>
          <w:highlight w:val="none"/>
        </w:rPr>
        <w:t>19</w:t>
      </w:r>
      <w:r>
        <w:rPr>
          <w:rFonts w:hint="eastAsia"/>
          <w:color w:val="auto"/>
          <w:highlight w:val="none"/>
        </w:rPr>
        <w:t>m。</w:t>
      </w:r>
    </w:p>
    <w:p w14:paraId="029BB7B6">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大气环境影响分析</w:t>
      </w:r>
    </w:p>
    <w:p w14:paraId="5A733859">
      <w:pPr>
        <w:ind w:firstLine="480" w:firstLineChars="200"/>
        <w:rPr>
          <w:color w:val="auto"/>
          <w:highlight w:val="none"/>
        </w:rPr>
      </w:pPr>
      <w:r>
        <w:rPr>
          <w:color w:val="auto"/>
          <w:highlight w:val="none"/>
        </w:rPr>
        <w:t>本项目大气污染源主要由飞机起降时排放的尾气、进离场汽车尾气、</w:t>
      </w:r>
      <w:r>
        <w:rPr>
          <w:rFonts w:hint="eastAsia"/>
          <w:color w:val="auto"/>
          <w:highlight w:val="none"/>
        </w:rPr>
        <w:t>航煤加油装置</w:t>
      </w:r>
      <w:r>
        <w:rPr>
          <w:color w:val="auto"/>
          <w:highlight w:val="none"/>
        </w:rPr>
        <w:t>NMHC、污水处理站排放的恶臭气体等构成。</w:t>
      </w:r>
    </w:p>
    <w:p w14:paraId="06EFE031">
      <w:pPr>
        <w:ind w:firstLine="480" w:firstLineChars="200"/>
        <w:rPr>
          <w:color w:val="auto"/>
          <w:highlight w:val="none"/>
        </w:rPr>
      </w:pPr>
      <w:r>
        <w:rPr>
          <w:color w:val="auto"/>
          <w:highlight w:val="none"/>
        </w:rPr>
        <w:t>（1）机场飞机排放污染物影响分析</w:t>
      </w:r>
    </w:p>
    <w:p w14:paraId="1A3B57A8">
      <w:pPr>
        <w:ind w:firstLine="480" w:firstLineChars="200"/>
        <w:rPr>
          <w:color w:val="auto"/>
          <w:highlight w:val="none"/>
        </w:rPr>
      </w:pPr>
      <w:r>
        <w:rPr>
          <w:color w:val="auto"/>
          <w:highlight w:val="none"/>
        </w:rPr>
        <w:t>根据飞机飞行规律，飞机燃料燃烧排放的污染物主要集中在起飞过程，飞机排放的大气污染物沿跑道分布，在跑道四周形成线状污染，且为间歇式排放。飞机起飞离开跑道短时内将会爬升到</w:t>
      </w:r>
      <w:r>
        <w:rPr>
          <w:rFonts w:eastAsia="Times New Roman"/>
          <w:color w:val="auto"/>
          <w:highlight w:val="none"/>
        </w:rPr>
        <w:t>400m</w:t>
      </w:r>
      <w:r>
        <w:rPr>
          <w:color w:val="auto"/>
          <w:highlight w:val="none"/>
        </w:rPr>
        <w:t>左右的高空，在大气扩散的条件下，其排放的污染物对机场周边的环境影响很小。</w:t>
      </w:r>
    </w:p>
    <w:p w14:paraId="05CD8EE2">
      <w:pPr>
        <w:ind w:firstLine="480" w:firstLineChars="200"/>
        <w:rPr>
          <w:color w:val="auto"/>
          <w:highlight w:val="none"/>
        </w:rPr>
      </w:pPr>
      <w:r>
        <w:rPr>
          <w:color w:val="auto"/>
          <w:highlight w:val="none"/>
        </w:rPr>
        <w:t>（2）进离场汽车尾气的影响分析</w:t>
      </w:r>
    </w:p>
    <w:p w14:paraId="013E938C">
      <w:pPr>
        <w:ind w:firstLine="480" w:firstLineChars="200"/>
        <w:rPr>
          <w:snapToGrid w:val="0"/>
          <w:color w:val="auto"/>
          <w:kern w:val="0"/>
          <w:highlight w:val="none"/>
        </w:rPr>
      </w:pPr>
      <w:r>
        <w:rPr>
          <w:color w:val="auto"/>
          <w:highlight w:val="none"/>
        </w:rPr>
        <w:t>本项目设计为地上停车场，汽车尾气中的主要成分为</w:t>
      </w:r>
      <w:r>
        <w:rPr>
          <w:rFonts w:eastAsia="Times New Roman"/>
          <w:color w:val="auto"/>
          <w:highlight w:val="none"/>
        </w:rPr>
        <w:t>CO</w:t>
      </w:r>
      <w:r>
        <w:rPr>
          <w:color w:val="auto"/>
          <w:highlight w:val="none"/>
        </w:rPr>
        <w:t>、</w:t>
      </w:r>
      <w:r>
        <w:rPr>
          <w:rFonts w:eastAsia="Times New Roman"/>
          <w:color w:val="auto"/>
          <w:highlight w:val="none"/>
        </w:rPr>
        <w:t>NOx</w:t>
      </w:r>
      <w:r>
        <w:rPr>
          <w:color w:val="auto"/>
          <w:highlight w:val="none"/>
        </w:rPr>
        <w:t>和</w:t>
      </w:r>
      <w:r>
        <w:rPr>
          <w:rFonts w:hint="eastAsia"/>
          <w:color w:val="auto"/>
          <w:highlight w:val="none"/>
        </w:rPr>
        <w:t>C</w:t>
      </w:r>
      <w:r>
        <w:rPr>
          <w:color w:val="auto"/>
          <w:highlight w:val="none"/>
        </w:rPr>
        <w:t>H。</w:t>
      </w:r>
      <w:r>
        <w:rPr>
          <w:rFonts w:eastAsia="Times New Roman"/>
          <w:color w:val="auto"/>
          <w:highlight w:val="none"/>
        </w:rPr>
        <w:t>CO</w:t>
      </w:r>
      <w:r>
        <w:rPr>
          <w:color w:val="auto"/>
          <w:highlight w:val="none"/>
        </w:rPr>
        <w:t>是汽油燃烧的产物；</w:t>
      </w:r>
      <w:r>
        <w:rPr>
          <w:rFonts w:eastAsia="Times New Roman"/>
          <w:color w:val="auto"/>
          <w:highlight w:val="none"/>
        </w:rPr>
        <w:t>NOx</w:t>
      </w:r>
      <w:r>
        <w:rPr>
          <w:color w:val="auto"/>
          <w:highlight w:val="none"/>
        </w:rPr>
        <w:t>是汽油爆裂时，进入空气中氮与氧化合而成的产物；</w:t>
      </w:r>
      <w:r>
        <w:rPr>
          <w:rFonts w:hint="eastAsia"/>
          <w:color w:val="auto"/>
          <w:highlight w:val="none"/>
        </w:rPr>
        <w:t>C</w:t>
      </w:r>
      <w:r>
        <w:rPr>
          <w:color w:val="auto"/>
          <w:highlight w:val="none"/>
        </w:rPr>
        <w:t>H是汽油不完全燃烧的产物。汽车尾气中污染物排放的多少也与汽车行驶状况有很大的关系。汽车尾气中碳氢化合物浓度</w:t>
      </w:r>
      <w:r>
        <w:rPr>
          <w:rFonts w:hint="eastAsia"/>
          <w:color w:val="auto"/>
          <w:highlight w:val="none"/>
          <w:lang w:eastAsia="zh-CN"/>
        </w:rPr>
        <w:t>在空挡时</w:t>
      </w:r>
      <w:r>
        <w:rPr>
          <w:color w:val="auto"/>
          <w:highlight w:val="none"/>
        </w:rPr>
        <w:t>最高，</w:t>
      </w:r>
      <w:r>
        <w:rPr>
          <w:rFonts w:eastAsia="Times New Roman"/>
          <w:color w:val="auto"/>
          <w:highlight w:val="none"/>
        </w:rPr>
        <w:t>CO</w:t>
      </w:r>
      <w:r>
        <w:rPr>
          <w:color w:val="auto"/>
          <w:highlight w:val="none"/>
        </w:rPr>
        <w:t>浓度</w:t>
      </w:r>
      <w:r>
        <w:rPr>
          <w:rFonts w:hint="eastAsia"/>
          <w:color w:val="auto"/>
          <w:highlight w:val="none"/>
          <w:lang w:eastAsia="zh-CN"/>
        </w:rPr>
        <w:t>在空挡</w:t>
      </w:r>
      <w:r>
        <w:rPr>
          <w:color w:val="auto"/>
          <w:highlight w:val="none"/>
        </w:rPr>
        <w:t>和低速</w:t>
      </w:r>
      <w:r>
        <w:rPr>
          <w:snapToGrid w:val="0"/>
          <w:color w:val="auto"/>
          <w:kern w:val="0"/>
          <w:highlight w:val="none"/>
        </w:rPr>
        <w:t>行驶时最高，</w:t>
      </w:r>
      <w:r>
        <w:rPr>
          <w:rFonts w:eastAsia="Times New Roman"/>
          <w:snapToGrid w:val="0"/>
          <w:color w:val="auto"/>
          <w:kern w:val="0"/>
          <w:highlight w:val="none"/>
        </w:rPr>
        <w:t>NOx</w:t>
      </w:r>
      <w:r>
        <w:rPr>
          <w:snapToGrid w:val="0"/>
          <w:color w:val="auto"/>
          <w:kern w:val="0"/>
          <w:highlight w:val="none"/>
        </w:rPr>
        <w:t>浓度则在高速行驶时最高。汽车进出停车场时一般是低速行驶，因此停车场的碳氢化合物和</w:t>
      </w:r>
      <w:r>
        <w:rPr>
          <w:rFonts w:eastAsia="Times New Roman"/>
          <w:snapToGrid w:val="0"/>
          <w:color w:val="auto"/>
          <w:kern w:val="0"/>
          <w:highlight w:val="none"/>
        </w:rPr>
        <w:t>CO</w:t>
      </w:r>
      <w:r>
        <w:rPr>
          <w:snapToGrid w:val="0"/>
          <w:color w:val="auto"/>
          <w:kern w:val="0"/>
          <w:highlight w:val="none"/>
        </w:rPr>
        <w:t>排放浓度较高。由于进出机场的汽车车况较好，且污染物排放为间歇式，同时地上停车场空气流通迅速，污染物扩散条件好，因此对周围环境空气质量影响较</w:t>
      </w:r>
      <w:r>
        <w:rPr>
          <w:rFonts w:hint="eastAsia"/>
          <w:snapToGrid w:val="0"/>
          <w:color w:val="auto"/>
          <w:kern w:val="0"/>
          <w:highlight w:val="none"/>
          <w:lang w:eastAsia="zh-CN"/>
        </w:rPr>
        <w:t>小</w:t>
      </w:r>
      <w:r>
        <w:rPr>
          <w:snapToGrid w:val="0"/>
          <w:color w:val="auto"/>
          <w:kern w:val="0"/>
          <w:highlight w:val="none"/>
        </w:rPr>
        <w:t>。</w:t>
      </w:r>
    </w:p>
    <w:p w14:paraId="4C48E4F5">
      <w:pPr>
        <w:ind w:firstLine="480" w:firstLineChars="200"/>
        <w:rPr>
          <w:snapToGrid w:val="0"/>
          <w:color w:val="auto"/>
          <w:kern w:val="0"/>
          <w:highlight w:val="none"/>
        </w:rPr>
      </w:pPr>
      <w:r>
        <w:rPr>
          <w:snapToGrid w:val="0"/>
          <w:color w:val="auto"/>
          <w:kern w:val="0"/>
          <w:highlight w:val="none"/>
        </w:rPr>
        <w:t>（3）加油装置废气无组织排放影响分析</w:t>
      </w:r>
    </w:p>
    <w:p w14:paraId="3BA25FC8">
      <w:pPr>
        <w:ind w:firstLine="480" w:firstLineChars="200"/>
        <w:rPr>
          <w:snapToGrid w:val="0"/>
          <w:color w:val="auto"/>
          <w:kern w:val="0"/>
          <w:highlight w:val="none"/>
        </w:rPr>
      </w:pPr>
      <w:r>
        <w:rPr>
          <w:color w:val="auto"/>
          <w:kern w:val="0"/>
          <w:highlight w:val="none"/>
          <w:lang w:val="zh-CN" w:bidi="zh-CN"/>
        </w:rPr>
        <w:t>机场新建</w:t>
      </w:r>
      <w:r>
        <w:rPr>
          <w:rFonts w:hint="eastAsia"/>
          <w:color w:val="auto"/>
          <w:kern w:val="0"/>
          <w:highlight w:val="none"/>
          <w:lang w:val="en-US" w:bidi="zh-CN"/>
        </w:rPr>
        <w:t>1座油车棚，内设2辆罐式加油车，容量共计35m</w:t>
      </w:r>
      <w:r>
        <w:rPr>
          <w:rFonts w:hint="eastAsia"/>
          <w:color w:val="auto"/>
          <w:kern w:val="0"/>
          <w:highlight w:val="none"/>
          <w:vertAlign w:val="superscript"/>
          <w:lang w:val="en-US" w:bidi="zh-CN"/>
        </w:rPr>
        <w:t>3</w:t>
      </w:r>
      <w:r>
        <w:rPr>
          <w:rFonts w:eastAsiaTheme="minorEastAsia"/>
          <w:color w:val="auto"/>
          <w:highlight w:val="none"/>
        </w:rPr>
        <w:t>。</w:t>
      </w:r>
      <w:r>
        <w:rPr>
          <w:snapToGrid w:val="0"/>
          <w:color w:val="auto"/>
          <w:kern w:val="0"/>
          <w:highlight w:val="none"/>
        </w:rPr>
        <w:t>经计算，</w:t>
      </w:r>
      <w:r>
        <w:rPr>
          <w:rFonts w:hint="eastAsia"/>
          <w:snapToGrid w:val="0"/>
          <w:color w:val="auto"/>
          <w:kern w:val="0"/>
          <w:highlight w:val="none"/>
        </w:rPr>
        <w:t>N</w:t>
      </w:r>
      <w:r>
        <w:rPr>
          <w:snapToGrid w:val="0"/>
          <w:color w:val="auto"/>
          <w:kern w:val="0"/>
          <w:highlight w:val="none"/>
        </w:rPr>
        <w:t>MHC的无组织排放量分别为</w:t>
      </w:r>
      <w:r>
        <w:rPr>
          <w:rFonts w:eastAsia="Times New Roman"/>
          <w:snapToGrid w:val="0"/>
          <w:color w:val="auto"/>
          <w:kern w:val="0"/>
          <w:highlight w:val="none"/>
        </w:rPr>
        <w:t>0.04</w:t>
      </w:r>
      <w:r>
        <w:rPr>
          <w:rFonts w:hint="eastAsia" w:eastAsia="宋体"/>
          <w:snapToGrid w:val="0"/>
          <w:color w:val="auto"/>
          <w:kern w:val="0"/>
          <w:highlight w:val="none"/>
          <w:lang w:val="en-US" w:eastAsia="zh-CN"/>
        </w:rPr>
        <w:t>6</w:t>
      </w:r>
      <w:r>
        <w:rPr>
          <w:rFonts w:eastAsia="Times New Roman"/>
          <w:snapToGrid w:val="0"/>
          <w:color w:val="auto"/>
          <w:kern w:val="0"/>
          <w:highlight w:val="none"/>
        </w:rPr>
        <w:t>t/a</w:t>
      </w:r>
      <w:r>
        <w:rPr>
          <w:snapToGrid w:val="0"/>
          <w:color w:val="auto"/>
          <w:kern w:val="0"/>
          <w:highlight w:val="none"/>
        </w:rPr>
        <w:t>，最大地面浓度占标率为1.05%，对周围大气环境影响较小。挥发性有机物（</w:t>
      </w:r>
      <w:r>
        <w:rPr>
          <w:rFonts w:eastAsia="Times New Roman"/>
          <w:snapToGrid w:val="0"/>
          <w:color w:val="auto"/>
          <w:kern w:val="0"/>
          <w:highlight w:val="none"/>
        </w:rPr>
        <w:t>VOCs</w:t>
      </w:r>
      <w:r>
        <w:rPr>
          <w:snapToGrid w:val="0"/>
          <w:color w:val="auto"/>
          <w:kern w:val="0"/>
          <w:highlight w:val="none"/>
        </w:rPr>
        <w:t>）无组织排放控制</w:t>
      </w:r>
      <w:r>
        <w:rPr>
          <w:rFonts w:hint="eastAsia"/>
          <w:snapToGrid w:val="0"/>
          <w:color w:val="auto"/>
          <w:kern w:val="0"/>
          <w:highlight w:val="none"/>
        </w:rPr>
        <w:t>参照执行《大气污染物综合排放标准》（GB 16297-1996）中“表2新污染源大气污染物排放限值”对应标准值</w:t>
      </w:r>
      <w:r>
        <w:rPr>
          <w:snapToGrid w:val="0"/>
          <w:color w:val="auto"/>
          <w:kern w:val="0"/>
          <w:highlight w:val="none"/>
        </w:rPr>
        <w:t>。</w:t>
      </w:r>
    </w:p>
    <w:p w14:paraId="1551014C">
      <w:pPr>
        <w:ind w:firstLine="480" w:firstLineChars="200"/>
        <w:rPr>
          <w:snapToGrid w:val="0"/>
          <w:color w:val="auto"/>
          <w:kern w:val="0"/>
          <w:highlight w:val="none"/>
        </w:rPr>
      </w:pPr>
      <w:r>
        <w:rPr>
          <w:snapToGrid w:val="0"/>
          <w:color w:val="auto"/>
          <w:kern w:val="0"/>
          <w:highlight w:val="none"/>
        </w:rPr>
        <w:t>本项目</w:t>
      </w:r>
      <w:r>
        <w:rPr>
          <w:rFonts w:eastAsia="Times New Roman"/>
          <w:snapToGrid w:val="0"/>
          <w:color w:val="auto"/>
          <w:kern w:val="0"/>
          <w:highlight w:val="none"/>
        </w:rPr>
        <w:t>VOCs</w:t>
      </w:r>
      <w:r>
        <w:rPr>
          <w:snapToGrid w:val="0"/>
          <w:color w:val="auto"/>
          <w:kern w:val="0"/>
          <w:highlight w:val="none"/>
        </w:rPr>
        <w:t>物料储存于密闭的容器、储罐；盛装</w:t>
      </w:r>
      <w:r>
        <w:rPr>
          <w:rFonts w:eastAsia="Times New Roman"/>
          <w:snapToGrid w:val="0"/>
          <w:color w:val="auto"/>
          <w:kern w:val="0"/>
          <w:highlight w:val="none"/>
        </w:rPr>
        <w:t>VOCs</w:t>
      </w:r>
      <w:r>
        <w:rPr>
          <w:snapToGrid w:val="0"/>
          <w:color w:val="auto"/>
          <w:kern w:val="0"/>
          <w:highlight w:val="none"/>
        </w:rPr>
        <w:t>物料的储罐存放于设置有雨棚、遮阳和防渗设施的专用场地，且盛装</w:t>
      </w:r>
      <w:r>
        <w:rPr>
          <w:rFonts w:eastAsia="Times New Roman"/>
          <w:snapToGrid w:val="0"/>
          <w:color w:val="auto"/>
          <w:kern w:val="0"/>
          <w:highlight w:val="none"/>
        </w:rPr>
        <w:t>VOCs</w:t>
      </w:r>
      <w:r>
        <w:rPr>
          <w:snapToGrid w:val="0"/>
          <w:color w:val="auto"/>
          <w:kern w:val="0"/>
          <w:highlight w:val="none"/>
        </w:rPr>
        <w:t>物料的容器在非取用状态时加盖、封口，保持密闭。符合</w:t>
      </w:r>
      <w:r>
        <w:rPr>
          <w:rFonts w:hint="eastAsia"/>
          <w:snapToGrid w:val="0"/>
          <w:color w:val="auto"/>
          <w:kern w:val="0"/>
          <w:highlight w:val="none"/>
        </w:rPr>
        <w:t>《大气污染物综合排放标准》（GB 16297-1996）</w:t>
      </w:r>
      <w:r>
        <w:rPr>
          <w:snapToGrid w:val="0"/>
          <w:color w:val="auto"/>
          <w:kern w:val="0"/>
          <w:highlight w:val="none"/>
        </w:rPr>
        <w:t>中</w:t>
      </w:r>
      <w:r>
        <w:rPr>
          <w:rFonts w:eastAsia="Times New Roman"/>
          <w:snapToGrid w:val="0"/>
          <w:color w:val="auto"/>
          <w:kern w:val="0"/>
          <w:highlight w:val="none"/>
        </w:rPr>
        <w:t>VOCs</w:t>
      </w:r>
      <w:r>
        <w:rPr>
          <w:snapToGrid w:val="0"/>
          <w:color w:val="auto"/>
          <w:kern w:val="0"/>
          <w:highlight w:val="none"/>
        </w:rPr>
        <w:t>物料储存无组织排放控制基本要求。</w:t>
      </w:r>
    </w:p>
    <w:p w14:paraId="3A2B0C1E">
      <w:pPr>
        <w:ind w:firstLine="480" w:firstLineChars="200"/>
        <w:rPr>
          <w:color w:val="auto"/>
          <w:highlight w:val="none"/>
        </w:rPr>
      </w:pPr>
      <w:r>
        <w:rPr>
          <w:color w:val="auto"/>
          <w:highlight w:val="none"/>
        </w:rPr>
        <w:t>本项目</w:t>
      </w:r>
      <w:r>
        <w:rPr>
          <w:rFonts w:eastAsia="Times New Roman"/>
          <w:color w:val="auto"/>
          <w:highlight w:val="none"/>
        </w:rPr>
        <w:t>VOCs</w:t>
      </w:r>
      <w:r>
        <w:rPr>
          <w:color w:val="auto"/>
          <w:highlight w:val="none"/>
        </w:rPr>
        <w:t>废气进行收集处理，废气收集处理系统与生产工艺设备同步运行。因此，本项目符合《挥发性有机物无组织排放控制标准》（</w:t>
      </w:r>
      <w:r>
        <w:rPr>
          <w:rFonts w:eastAsia="Times New Roman"/>
          <w:color w:val="auto"/>
          <w:highlight w:val="none"/>
        </w:rPr>
        <w:t>GB37822-2019</w:t>
      </w:r>
      <w:r>
        <w:rPr>
          <w:color w:val="auto"/>
          <w:highlight w:val="none"/>
        </w:rPr>
        <w:t>）中</w:t>
      </w:r>
      <w:r>
        <w:rPr>
          <w:rFonts w:eastAsia="Times New Roman"/>
          <w:color w:val="auto"/>
          <w:highlight w:val="none"/>
        </w:rPr>
        <w:t>VOCs</w:t>
      </w:r>
      <w:r>
        <w:rPr>
          <w:color w:val="auto"/>
          <w:highlight w:val="none"/>
        </w:rPr>
        <w:t>排放控制要求。</w:t>
      </w:r>
    </w:p>
    <w:p w14:paraId="471832E2">
      <w:pPr>
        <w:ind w:firstLine="480" w:firstLineChars="200"/>
        <w:rPr>
          <w:color w:val="auto"/>
          <w:highlight w:val="none"/>
        </w:rPr>
      </w:pPr>
      <w:r>
        <w:rPr>
          <w:color w:val="auto"/>
          <w:highlight w:val="none"/>
        </w:rPr>
        <w:t>（4）污水处理站排放的恶臭气体影响分析</w:t>
      </w:r>
      <w:r>
        <w:rPr>
          <w:rFonts w:eastAsia="Times New Roman"/>
          <w:color w:val="auto"/>
          <w:highlight w:val="none"/>
        </w:rPr>
        <w:t xml:space="preserve"> </w:t>
      </w:r>
    </w:p>
    <w:p w14:paraId="44B1DA92">
      <w:pPr>
        <w:ind w:firstLine="480" w:firstLineChars="200"/>
        <w:rPr>
          <w:color w:val="auto"/>
          <w:highlight w:val="none"/>
        </w:rPr>
      </w:pPr>
      <w:r>
        <w:rPr>
          <w:color w:val="auto"/>
          <w:highlight w:val="none"/>
        </w:rPr>
        <w:t>污水处理站会产生恶臭气体，主要来源于污水、污泥中有机物的分解、发酵过程中散发的化学物质，主要种类有：</w:t>
      </w:r>
      <w:r>
        <w:rPr>
          <w:rFonts w:eastAsia="Times New Roman"/>
          <w:color w:val="auto"/>
          <w:highlight w:val="none"/>
        </w:rPr>
        <w:t>H</w:t>
      </w:r>
      <w:r>
        <w:rPr>
          <w:rFonts w:eastAsia="Times New Roman"/>
          <w:color w:val="auto"/>
          <w:highlight w:val="none"/>
          <w:vertAlign w:val="subscript"/>
        </w:rPr>
        <w:t>2</w:t>
      </w:r>
      <w:r>
        <w:rPr>
          <w:rFonts w:eastAsia="Times New Roman"/>
          <w:color w:val="auto"/>
          <w:highlight w:val="none"/>
        </w:rPr>
        <w:t>S</w:t>
      </w:r>
      <w:r>
        <w:rPr>
          <w:color w:val="auto"/>
          <w:highlight w:val="none"/>
        </w:rPr>
        <w:t>、</w:t>
      </w:r>
      <w:r>
        <w:rPr>
          <w:rFonts w:eastAsia="Times New Roman"/>
          <w:color w:val="auto"/>
          <w:highlight w:val="none"/>
        </w:rPr>
        <w:t>NH</w:t>
      </w:r>
      <w:r>
        <w:rPr>
          <w:rFonts w:eastAsia="Times New Roman"/>
          <w:color w:val="auto"/>
          <w:highlight w:val="none"/>
          <w:vertAlign w:val="subscript"/>
        </w:rPr>
        <w:t>3</w:t>
      </w:r>
      <w:r>
        <w:rPr>
          <w:color w:val="auto"/>
          <w:highlight w:val="none"/>
        </w:rPr>
        <w:t>。由工程分析可知，本项目恶臭气体产生量较小，</w:t>
      </w:r>
      <w:r>
        <w:rPr>
          <w:rFonts w:eastAsia="Times New Roman"/>
          <w:color w:val="auto"/>
          <w:highlight w:val="none"/>
        </w:rPr>
        <w:t>NH</w:t>
      </w:r>
      <w:r>
        <w:rPr>
          <w:rFonts w:eastAsia="Times New Roman"/>
          <w:color w:val="auto"/>
          <w:highlight w:val="none"/>
          <w:vertAlign w:val="subscript"/>
        </w:rPr>
        <w:t>3</w:t>
      </w:r>
      <w:r>
        <w:rPr>
          <w:color w:val="auto"/>
          <w:highlight w:val="none"/>
        </w:rPr>
        <w:t>产生量约为</w:t>
      </w:r>
      <w:r>
        <w:rPr>
          <w:rFonts w:eastAsia="Times New Roman"/>
          <w:color w:val="auto"/>
          <w:highlight w:val="none"/>
        </w:rPr>
        <w:t>0.00</w:t>
      </w:r>
      <w:r>
        <w:rPr>
          <w:rFonts w:hint="eastAsia" w:eastAsiaTheme="minorEastAsia"/>
          <w:color w:val="auto"/>
          <w:highlight w:val="none"/>
          <w:lang w:val="en-US" w:eastAsia="zh-CN"/>
        </w:rPr>
        <w:t>19</w:t>
      </w:r>
      <w:r>
        <w:rPr>
          <w:rFonts w:eastAsia="Times New Roman"/>
          <w:color w:val="auto"/>
          <w:highlight w:val="none"/>
        </w:rPr>
        <w:t>t/a</w:t>
      </w:r>
      <w:r>
        <w:rPr>
          <w:color w:val="auto"/>
          <w:highlight w:val="none"/>
        </w:rPr>
        <w:t>，</w:t>
      </w:r>
      <w:r>
        <w:rPr>
          <w:rFonts w:eastAsia="Times New Roman"/>
          <w:color w:val="auto"/>
          <w:highlight w:val="none"/>
        </w:rPr>
        <w:t>H</w:t>
      </w:r>
      <w:r>
        <w:rPr>
          <w:rFonts w:eastAsia="Times New Roman"/>
          <w:color w:val="auto"/>
          <w:highlight w:val="none"/>
          <w:vertAlign w:val="subscript"/>
        </w:rPr>
        <w:t>2</w:t>
      </w:r>
      <w:r>
        <w:rPr>
          <w:rFonts w:eastAsia="Times New Roman"/>
          <w:color w:val="auto"/>
          <w:highlight w:val="none"/>
        </w:rPr>
        <w:t>S</w:t>
      </w:r>
      <w:r>
        <w:rPr>
          <w:color w:val="auto"/>
          <w:highlight w:val="none"/>
        </w:rPr>
        <w:t>的产生量约为</w:t>
      </w:r>
      <w:r>
        <w:rPr>
          <w:rFonts w:eastAsia="Times New Roman"/>
          <w:color w:val="auto"/>
          <w:highlight w:val="none"/>
        </w:rPr>
        <w:t>0.000</w:t>
      </w:r>
      <w:r>
        <w:rPr>
          <w:rFonts w:hint="eastAsia" w:eastAsia="宋体"/>
          <w:color w:val="auto"/>
          <w:highlight w:val="none"/>
          <w:lang w:val="en-US" w:eastAsia="zh-CN"/>
        </w:rPr>
        <w:t>1</w:t>
      </w:r>
      <w:r>
        <w:rPr>
          <w:rFonts w:eastAsia="Times New Roman"/>
          <w:color w:val="auto"/>
          <w:highlight w:val="none"/>
        </w:rPr>
        <w:t>t/a</w:t>
      </w:r>
      <w:r>
        <w:rPr>
          <w:color w:val="auto"/>
          <w:highlight w:val="none"/>
        </w:rPr>
        <w:t>。</w:t>
      </w:r>
    </w:p>
    <w:p w14:paraId="01940FCE">
      <w:pPr>
        <w:ind w:firstLine="480" w:firstLineChars="200"/>
        <w:rPr>
          <w:rFonts w:eastAsia="Times New Roman"/>
          <w:color w:val="auto"/>
          <w:highlight w:val="none"/>
        </w:rPr>
      </w:pPr>
      <w:r>
        <w:rPr>
          <w:color w:val="auto"/>
          <w:highlight w:val="none"/>
        </w:rPr>
        <w:t>本次污水处理站</w:t>
      </w:r>
      <w:r>
        <w:rPr>
          <w:rFonts w:eastAsia="Times New Roman"/>
          <w:color w:val="auto"/>
          <w:highlight w:val="none"/>
        </w:rPr>
        <w:t>NH</w:t>
      </w:r>
      <w:r>
        <w:rPr>
          <w:rFonts w:eastAsia="Times New Roman"/>
          <w:color w:val="auto"/>
          <w:highlight w:val="none"/>
          <w:vertAlign w:val="subscript"/>
        </w:rPr>
        <w:t>3</w:t>
      </w:r>
      <w:r>
        <w:rPr>
          <w:color w:val="auto"/>
          <w:highlight w:val="none"/>
        </w:rPr>
        <w:t>和</w:t>
      </w:r>
      <w:r>
        <w:rPr>
          <w:rFonts w:eastAsia="Times New Roman"/>
          <w:color w:val="auto"/>
          <w:highlight w:val="none"/>
        </w:rPr>
        <w:t>H</w:t>
      </w:r>
      <w:r>
        <w:rPr>
          <w:rFonts w:eastAsia="Times New Roman"/>
          <w:color w:val="auto"/>
          <w:highlight w:val="none"/>
          <w:vertAlign w:val="subscript"/>
        </w:rPr>
        <w:t>2</w:t>
      </w:r>
      <w:r>
        <w:rPr>
          <w:rFonts w:eastAsia="Times New Roman"/>
          <w:color w:val="auto"/>
          <w:highlight w:val="none"/>
        </w:rPr>
        <w:t>S</w:t>
      </w:r>
      <w:r>
        <w:rPr>
          <w:color w:val="auto"/>
          <w:highlight w:val="none"/>
        </w:rPr>
        <w:t>的环境空气影响预测采用《环境影响评价技术导则</w:t>
      </w:r>
      <w:r>
        <w:rPr>
          <w:rFonts w:eastAsia="Times New Roman"/>
          <w:color w:val="auto"/>
          <w:highlight w:val="none"/>
        </w:rPr>
        <w:t>-</w:t>
      </w:r>
      <w:r>
        <w:rPr>
          <w:color w:val="auto"/>
          <w:highlight w:val="none"/>
        </w:rPr>
        <w:t>大气环境》（</w:t>
      </w:r>
      <w:r>
        <w:rPr>
          <w:rFonts w:eastAsia="Times New Roman"/>
          <w:color w:val="auto"/>
          <w:highlight w:val="none"/>
        </w:rPr>
        <w:t>HJ2.2-2018</w:t>
      </w:r>
      <w:r>
        <w:rPr>
          <w:color w:val="auto"/>
          <w:highlight w:val="none"/>
        </w:rPr>
        <w:t>）推荐模式清单中的</w:t>
      </w:r>
      <w:r>
        <w:rPr>
          <w:rFonts w:eastAsia="Times New Roman"/>
          <w:color w:val="auto"/>
          <w:highlight w:val="none"/>
        </w:rPr>
        <w:t>AERSCREEN</w:t>
      </w:r>
      <w:r>
        <w:rPr>
          <w:color w:val="auto"/>
          <w:highlight w:val="none"/>
        </w:rPr>
        <w:t>模型进行预测，计算预测因子</w:t>
      </w:r>
      <w:r>
        <w:rPr>
          <w:rFonts w:eastAsia="Times New Roman"/>
          <w:color w:val="auto"/>
          <w:highlight w:val="none"/>
        </w:rPr>
        <w:t>NH</w:t>
      </w:r>
      <w:r>
        <w:rPr>
          <w:rFonts w:eastAsia="Times New Roman"/>
          <w:color w:val="auto"/>
          <w:highlight w:val="none"/>
          <w:vertAlign w:val="subscript"/>
        </w:rPr>
        <w:t>3</w:t>
      </w:r>
      <w:r>
        <w:rPr>
          <w:color w:val="auto"/>
          <w:highlight w:val="none"/>
        </w:rPr>
        <w:t>和</w:t>
      </w:r>
      <w:r>
        <w:rPr>
          <w:rFonts w:eastAsia="Times New Roman"/>
          <w:color w:val="auto"/>
          <w:highlight w:val="none"/>
        </w:rPr>
        <w:t>H</w:t>
      </w:r>
      <w:r>
        <w:rPr>
          <w:rFonts w:eastAsia="Times New Roman"/>
          <w:color w:val="auto"/>
          <w:highlight w:val="none"/>
          <w:vertAlign w:val="subscript"/>
        </w:rPr>
        <w:t>2</w:t>
      </w:r>
      <w:r>
        <w:rPr>
          <w:rFonts w:eastAsia="Times New Roman"/>
          <w:color w:val="auto"/>
          <w:highlight w:val="none"/>
        </w:rPr>
        <w:t>S</w:t>
      </w:r>
      <w:r>
        <w:rPr>
          <w:color w:val="auto"/>
          <w:highlight w:val="none"/>
        </w:rPr>
        <w:t>的地面浓度贡献值；经计算得出</w:t>
      </w:r>
      <w:r>
        <w:rPr>
          <w:rFonts w:eastAsia="Times New Roman"/>
          <w:color w:val="auto"/>
          <w:highlight w:val="none"/>
        </w:rPr>
        <w:t>NH</w:t>
      </w:r>
      <w:r>
        <w:rPr>
          <w:rFonts w:eastAsia="Times New Roman"/>
          <w:color w:val="auto"/>
          <w:highlight w:val="none"/>
          <w:vertAlign w:val="subscript"/>
        </w:rPr>
        <w:t>3</w:t>
      </w:r>
      <w:r>
        <w:rPr>
          <w:color w:val="auto"/>
          <w:highlight w:val="none"/>
        </w:rPr>
        <w:t>和</w:t>
      </w:r>
      <w:r>
        <w:rPr>
          <w:rFonts w:eastAsia="Times New Roman"/>
          <w:color w:val="auto"/>
          <w:highlight w:val="none"/>
        </w:rPr>
        <w:t>H</w:t>
      </w:r>
      <w:r>
        <w:rPr>
          <w:rFonts w:eastAsia="Times New Roman"/>
          <w:color w:val="auto"/>
          <w:highlight w:val="none"/>
          <w:vertAlign w:val="subscript"/>
        </w:rPr>
        <w:t>2</w:t>
      </w:r>
      <w:r>
        <w:rPr>
          <w:rFonts w:eastAsia="Times New Roman"/>
          <w:color w:val="auto"/>
          <w:highlight w:val="none"/>
        </w:rPr>
        <w:t>S</w:t>
      </w:r>
      <w:r>
        <w:rPr>
          <w:color w:val="auto"/>
          <w:highlight w:val="none"/>
        </w:rPr>
        <w:t>的最大小时落地浓度分别为</w:t>
      </w:r>
      <w:r>
        <w:rPr>
          <w:rFonts w:hint="eastAsia"/>
          <w:color w:val="auto"/>
          <w:highlight w:val="none"/>
          <w:lang w:eastAsia="zh-CN"/>
        </w:rPr>
        <w:t>0.00185</w:t>
      </w:r>
      <w:r>
        <w:rPr>
          <w:rFonts w:eastAsia="Times New Roman"/>
          <w:color w:val="auto"/>
          <w:highlight w:val="none"/>
        </w:rPr>
        <w:t>mg/m</w:t>
      </w:r>
      <w:r>
        <w:rPr>
          <w:rFonts w:eastAsia="Times New Roman"/>
          <w:color w:val="auto"/>
          <w:highlight w:val="none"/>
          <w:vertAlign w:val="superscript"/>
        </w:rPr>
        <w:t xml:space="preserve">3 </w:t>
      </w:r>
      <w:r>
        <w:rPr>
          <w:color w:val="auto"/>
          <w:highlight w:val="none"/>
        </w:rPr>
        <w:t>和</w:t>
      </w:r>
      <w:r>
        <w:rPr>
          <w:rFonts w:eastAsia="Times New Roman"/>
          <w:color w:val="auto"/>
          <w:highlight w:val="none"/>
        </w:rPr>
        <w:t>0.000</w:t>
      </w:r>
      <w:r>
        <w:rPr>
          <w:rFonts w:eastAsiaTheme="minorEastAsia"/>
          <w:color w:val="auto"/>
          <w:highlight w:val="none"/>
        </w:rPr>
        <w:t>073</w:t>
      </w:r>
      <w:r>
        <w:rPr>
          <w:rFonts w:eastAsia="Times New Roman"/>
          <w:color w:val="auto"/>
          <w:highlight w:val="none"/>
        </w:rPr>
        <w:t>mg/m</w:t>
      </w:r>
      <w:r>
        <w:rPr>
          <w:rFonts w:eastAsia="Times New Roman"/>
          <w:color w:val="auto"/>
          <w:highlight w:val="none"/>
          <w:vertAlign w:val="superscript"/>
        </w:rPr>
        <w:t>3</w:t>
      </w:r>
      <w:r>
        <w:rPr>
          <w:color w:val="auto"/>
          <w:highlight w:val="none"/>
        </w:rPr>
        <w:t>，均满足环境质量标准要求；同时，</w:t>
      </w:r>
      <w:r>
        <w:rPr>
          <w:rFonts w:eastAsia="Times New Roman"/>
          <w:color w:val="auto"/>
          <w:highlight w:val="none"/>
        </w:rPr>
        <w:t>NH</w:t>
      </w:r>
      <w:r>
        <w:rPr>
          <w:rFonts w:eastAsia="Times New Roman"/>
          <w:color w:val="auto"/>
          <w:highlight w:val="none"/>
          <w:vertAlign w:val="subscript"/>
        </w:rPr>
        <w:t>3</w:t>
      </w:r>
      <w:r>
        <w:rPr>
          <w:color w:val="auto"/>
          <w:highlight w:val="none"/>
        </w:rPr>
        <w:t>和</w:t>
      </w:r>
      <w:r>
        <w:rPr>
          <w:rFonts w:eastAsia="Times New Roman"/>
          <w:color w:val="auto"/>
          <w:highlight w:val="none"/>
        </w:rPr>
        <w:t>H</w:t>
      </w:r>
      <w:r>
        <w:rPr>
          <w:rFonts w:eastAsia="Times New Roman"/>
          <w:color w:val="auto"/>
          <w:highlight w:val="none"/>
          <w:vertAlign w:val="subscript"/>
        </w:rPr>
        <w:t>2</w:t>
      </w:r>
      <w:r>
        <w:rPr>
          <w:rFonts w:eastAsia="Times New Roman"/>
          <w:color w:val="auto"/>
          <w:highlight w:val="none"/>
        </w:rPr>
        <w:t>S</w:t>
      </w:r>
      <w:r>
        <w:rPr>
          <w:color w:val="auto"/>
          <w:highlight w:val="none"/>
        </w:rPr>
        <w:t>的最大小时落地浓度也均小于其嗅阈值（氨、硫化氢醇嗅阈值分别为</w:t>
      </w:r>
      <w:r>
        <w:rPr>
          <w:rFonts w:eastAsia="Times New Roman"/>
          <w:color w:val="auto"/>
          <w:highlight w:val="none"/>
        </w:rPr>
        <w:t>0.028mg/m</w:t>
      </w:r>
      <w:r>
        <w:rPr>
          <w:rFonts w:eastAsia="Times New Roman"/>
          <w:color w:val="auto"/>
          <w:highlight w:val="none"/>
          <w:vertAlign w:val="superscript"/>
        </w:rPr>
        <w:t xml:space="preserve">3 </w:t>
      </w:r>
      <w:r>
        <w:rPr>
          <w:color w:val="auto"/>
          <w:highlight w:val="none"/>
        </w:rPr>
        <w:t>及</w:t>
      </w:r>
      <w:r>
        <w:rPr>
          <w:rFonts w:eastAsia="Times New Roman"/>
          <w:color w:val="auto"/>
          <w:highlight w:val="none"/>
        </w:rPr>
        <w:t>0.008mg/m</w:t>
      </w:r>
      <w:r>
        <w:rPr>
          <w:rFonts w:eastAsia="Times New Roman"/>
          <w:color w:val="auto"/>
          <w:highlight w:val="none"/>
          <w:vertAlign w:val="superscript"/>
        </w:rPr>
        <w:t>3</w:t>
      </w:r>
      <w:r>
        <w:rPr>
          <w:color w:val="auto"/>
          <w:highlight w:val="none"/>
        </w:rPr>
        <w:t>）。</w:t>
      </w:r>
    </w:p>
    <w:p w14:paraId="49971CA4">
      <w:pPr>
        <w:ind w:firstLine="480" w:firstLineChars="200"/>
        <w:rPr>
          <w:color w:val="auto"/>
          <w:highlight w:val="none"/>
        </w:rPr>
      </w:pPr>
      <w:r>
        <w:rPr>
          <w:color w:val="auto"/>
          <w:highlight w:val="none"/>
        </w:rPr>
        <w:t>本项目污水处理站位于航站区下风向，且项目采用一体化MBR污水处理设备，并设置于污水处理设备用房内，恶臭气体产生量较小，对本项目航站区的影响较小。因此，污水处理站产生的</w:t>
      </w:r>
      <w:r>
        <w:rPr>
          <w:rFonts w:eastAsia="Times New Roman"/>
          <w:color w:val="auto"/>
          <w:highlight w:val="none"/>
        </w:rPr>
        <w:t>NH</w:t>
      </w:r>
      <w:r>
        <w:rPr>
          <w:rFonts w:eastAsia="Times New Roman"/>
          <w:color w:val="auto"/>
          <w:highlight w:val="none"/>
          <w:vertAlign w:val="subscript"/>
        </w:rPr>
        <w:t>3</w:t>
      </w:r>
      <w:r>
        <w:rPr>
          <w:color w:val="auto"/>
          <w:highlight w:val="none"/>
        </w:rPr>
        <w:t>和</w:t>
      </w:r>
      <w:r>
        <w:rPr>
          <w:rFonts w:eastAsia="Times New Roman"/>
          <w:color w:val="auto"/>
          <w:highlight w:val="none"/>
        </w:rPr>
        <w:t>H</w:t>
      </w:r>
      <w:r>
        <w:rPr>
          <w:rFonts w:eastAsia="Times New Roman"/>
          <w:color w:val="auto"/>
          <w:highlight w:val="none"/>
          <w:vertAlign w:val="subscript"/>
        </w:rPr>
        <w:t>2</w:t>
      </w:r>
      <w:r>
        <w:rPr>
          <w:rFonts w:eastAsia="Times New Roman"/>
          <w:color w:val="auto"/>
          <w:highlight w:val="none"/>
        </w:rPr>
        <w:t>S</w:t>
      </w:r>
      <w:r>
        <w:rPr>
          <w:color w:val="auto"/>
          <w:highlight w:val="none"/>
        </w:rPr>
        <w:t>对周围环境影响较小。</w:t>
      </w:r>
    </w:p>
    <w:p w14:paraId="57291146">
      <w:pPr>
        <w:ind w:firstLine="480" w:firstLineChars="200"/>
        <w:rPr>
          <w:color w:val="auto"/>
          <w:highlight w:val="none"/>
        </w:rPr>
      </w:pPr>
      <w:r>
        <w:rPr>
          <w:color w:val="auto"/>
          <w:highlight w:val="none"/>
        </w:rPr>
        <w:t>（5）食堂油烟</w:t>
      </w:r>
    </w:p>
    <w:p w14:paraId="5155791E">
      <w:pPr>
        <w:ind w:firstLine="480" w:firstLineChars="200"/>
        <w:rPr>
          <w:color w:val="auto"/>
          <w:highlight w:val="none"/>
        </w:rPr>
      </w:pPr>
      <w:r>
        <w:rPr>
          <w:color w:val="auto"/>
          <w:highlight w:val="none"/>
        </w:rPr>
        <w:t>项目设职工食堂，就餐人数约3</w:t>
      </w:r>
      <w:r>
        <w:rPr>
          <w:rFonts w:hint="eastAsia"/>
          <w:color w:val="auto"/>
          <w:highlight w:val="none"/>
          <w:lang w:val="en-US" w:eastAsia="zh-CN"/>
        </w:rPr>
        <w:t>0</w:t>
      </w:r>
      <w:r>
        <w:rPr>
          <w:color w:val="auto"/>
          <w:highlight w:val="none"/>
        </w:rPr>
        <w:t>人</w:t>
      </w:r>
      <w:r>
        <w:rPr>
          <w:rFonts w:eastAsia="Times New Roman"/>
          <w:color w:val="auto"/>
          <w:highlight w:val="none"/>
        </w:rPr>
        <w:t>/d</w:t>
      </w:r>
      <w:r>
        <w:rPr>
          <w:color w:val="auto"/>
          <w:highlight w:val="none"/>
        </w:rPr>
        <w:t>，食堂安装净化效率不低于</w:t>
      </w:r>
      <w:r>
        <w:rPr>
          <w:rFonts w:eastAsia="Times New Roman"/>
          <w:color w:val="auto"/>
          <w:highlight w:val="none"/>
        </w:rPr>
        <w:t>60%</w:t>
      </w:r>
      <w:r>
        <w:rPr>
          <w:color w:val="auto"/>
          <w:highlight w:val="none"/>
        </w:rPr>
        <w:t>的油烟净化器，年排放油烟量为</w:t>
      </w:r>
      <w:r>
        <w:rPr>
          <w:rFonts w:eastAsia="Times New Roman"/>
          <w:color w:val="auto"/>
          <w:highlight w:val="none"/>
        </w:rPr>
        <w:t>0.0</w:t>
      </w:r>
      <w:r>
        <w:rPr>
          <w:rFonts w:eastAsiaTheme="minorEastAsia"/>
          <w:color w:val="auto"/>
          <w:highlight w:val="none"/>
        </w:rPr>
        <w:t>05</w:t>
      </w:r>
      <w:r>
        <w:rPr>
          <w:rFonts w:eastAsia="Times New Roman"/>
          <w:color w:val="auto"/>
          <w:highlight w:val="none"/>
        </w:rPr>
        <w:t>t/a</w:t>
      </w:r>
      <w:r>
        <w:rPr>
          <w:color w:val="auto"/>
          <w:highlight w:val="none"/>
        </w:rPr>
        <w:t>，排放浓度为1.24</w:t>
      </w:r>
      <w:r>
        <w:rPr>
          <w:rFonts w:eastAsia="Times New Roman"/>
          <w:color w:val="auto"/>
          <w:highlight w:val="none"/>
        </w:rPr>
        <w:t>mg/m</w:t>
      </w:r>
      <w:r>
        <w:rPr>
          <w:rFonts w:eastAsia="Times New Roman"/>
          <w:color w:val="auto"/>
          <w:highlight w:val="none"/>
          <w:vertAlign w:val="superscript"/>
        </w:rPr>
        <w:t>3</w:t>
      </w:r>
      <w:r>
        <w:rPr>
          <w:rFonts w:hint="eastAsia"/>
          <w:color w:val="auto"/>
          <w:highlight w:val="none"/>
        </w:rPr>
        <w:t>，可以</w:t>
      </w:r>
      <w:r>
        <w:rPr>
          <w:color w:val="auto"/>
          <w:highlight w:val="none"/>
        </w:rPr>
        <w:t>满足《饮食业油烟排放标准》（</w:t>
      </w:r>
      <w:r>
        <w:rPr>
          <w:rFonts w:eastAsia="Times New Roman"/>
          <w:color w:val="auto"/>
          <w:highlight w:val="none"/>
        </w:rPr>
        <w:t>GB18483-2001</w:t>
      </w:r>
      <w:r>
        <w:rPr>
          <w:color w:val="auto"/>
          <w:highlight w:val="none"/>
        </w:rPr>
        <w:t xml:space="preserve">）中饮食单位油烟的最高允许排放浓度 </w:t>
      </w:r>
      <w:r>
        <w:rPr>
          <w:rFonts w:eastAsia="Times New Roman"/>
          <w:color w:val="auto"/>
          <w:highlight w:val="none"/>
        </w:rPr>
        <w:t>2.0mg/m</w:t>
      </w:r>
      <w:r>
        <w:rPr>
          <w:rFonts w:eastAsia="Times New Roman"/>
          <w:color w:val="auto"/>
          <w:highlight w:val="none"/>
          <w:vertAlign w:val="superscript"/>
        </w:rPr>
        <w:t xml:space="preserve">3 </w:t>
      </w:r>
      <w:r>
        <w:rPr>
          <w:color w:val="auto"/>
          <w:highlight w:val="none"/>
        </w:rPr>
        <w:t>的标准限值要求</w:t>
      </w:r>
      <w:r>
        <w:rPr>
          <w:rFonts w:hint="eastAsia"/>
          <w:color w:val="auto"/>
          <w:highlight w:val="none"/>
        </w:rPr>
        <w:t>，</w:t>
      </w:r>
      <w:r>
        <w:rPr>
          <w:color w:val="auto"/>
          <w:highlight w:val="none"/>
        </w:rPr>
        <w:t>对周围大气环境影响较小。</w:t>
      </w:r>
    </w:p>
    <w:p w14:paraId="3079952A">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污染物排放量核算</w:t>
      </w:r>
    </w:p>
    <w:p w14:paraId="61EC074C">
      <w:pPr>
        <w:tabs>
          <w:tab w:val="left" w:pos="3663"/>
        </w:tabs>
        <w:spacing w:before="39" w:line="240" w:lineRule="auto"/>
        <w:jc w:val="center"/>
        <w:rPr>
          <w:bCs/>
          <w:color w:val="auto"/>
          <w:sz w:val="21"/>
          <w:szCs w:val="21"/>
          <w:highlight w:val="none"/>
        </w:rPr>
      </w:pPr>
      <w:r>
        <w:rPr>
          <w:rFonts w:eastAsia="黑体"/>
          <w:bCs/>
          <w:color w:val="auto"/>
          <w:sz w:val="21"/>
          <w:szCs w:val="21"/>
          <w:highlight w:val="none"/>
        </w:rPr>
        <w:t>表5-3-7 项目大气污染物年排放量核算</w:t>
      </w:r>
      <w:r>
        <w:rPr>
          <w:bCs/>
          <w:color w:val="auto"/>
          <w:sz w:val="21"/>
          <w:szCs w:val="21"/>
          <w:highlight w:val="none"/>
        </w:rPr>
        <w:t xml:space="preserve"> </w:t>
      </w:r>
    </w:p>
    <w:tbl>
      <w:tblPr>
        <w:tblStyle w:val="40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5"/>
        <w:gridCol w:w="3580"/>
        <w:gridCol w:w="2574"/>
      </w:tblGrid>
      <w:tr w14:paraId="068F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1" w:type="pct"/>
            <w:vAlign w:val="center"/>
          </w:tcPr>
          <w:p w14:paraId="4000DD4D">
            <w:pPr>
              <w:pStyle w:val="912"/>
              <w:keepNext w:val="0"/>
              <w:keepLines w:val="0"/>
              <w:suppressLineNumbers w:val="0"/>
              <w:spacing w:before="31" w:beforeAutospacing="0" w:after="0" w:afterAutospacing="0"/>
              <w:ind w:left="12" w:right="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序号</w:t>
            </w:r>
          </w:p>
        </w:tc>
        <w:tc>
          <w:tcPr>
            <w:tcW w:w="2053" w:type="pct"/>
            <w:vAlign w:val="center"/>
          </w:tcPr>
          <w:p w14:paraId="7A1230E9">
            <w:pPr>
              <w:pStyle w:val="912"/>
              <w:keepNext w:val="0"/>
              <w:keepLines w:val="0"/>
              <w:suppressLineNumbers w:val="0"/>
              <w:spacing w:before="31" w:beforeAutospacing="0" w:after="0" w:afterAutospacing="0"/>
              <w:ind w:left="12" w:right="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污染物</w:t>
            </w:r>
          </w:p>
        </w:tc>
        <w:tc>
          <w:tcPr>
            <w:tcW w:w="1476" w:type="pct"/>
            <w:vAlign w:val="center"/>
          </w:tcPr>
          <w:p w14:paraId="1AFF4FBD">
            <w:pPr>
              <w:pStyle w:val="912"/>
              <w:keepNext w:val="0"/>
              <w:keepLines w:val="0"/>
              <w:suppressLineNumbers w:val="0"/>
              <w:spacing w:before="31" w:beforeAutospacing="0" w:after="0" w:afterAutospacing="0"/>
              <w:ind w:left="12" w:right="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年排放量/（t/a）</w:t>
            </w:r>
          </w:p>
        </w:tc>
      </w:tr>
      <w:tr w14:paraId="3153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1" w:type="pct"/>
            <w:vAlign w:val="center"/>
          </w:tcPr>
          <w:p w14:paraId="5F0EBBC3">
            <w:pPr>
              <w:pStyle w:val="912"/>
              <w:keepNext w:val="0"/>
              <w:keepLines w:val="0"/>
              <w:suppressLineNumbers w:val="0"/>
              <w:spacing w:before="31" w:beforeAutospacing="0" w:after="0" w:afterAutospacing="0"/>
              <w:ind w:left="12" w:right="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1</w:t>
            </w:r>
          </w:p>
        </w:tc>
        <w:tc>
          <w:tcPr>
            <w:tcW w:w="2053" w:type="pct"/>
            <w:vAlign w:val="center"/>
          </w:tcPr>
          <w:p w14:paraId="7B518630">
            <w:pPr>
              <w:pStyle w:val="912"/>
              <w:keepNext w:val="0"/>
              <w:keepLines w:val="0"/>
              <w:suppressLineNumbers w:val="0"/>
              <w:spacing w:before="31" w:beforeAutospacing="0" w:after="0" w:afterAutospacing="0"/>
              <w:ind w:left="12" w:right="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N</w:t>
            </w:r>
            <w:r>
              <w:rPr>
                <w:rFonts w:hint="default" w:ascii="Times New Roman" w:hAnsi="Times New Roman" w:eastAsia="宋体" w:cs="Times New Roman"/>
                <w:color w:val="auto"/>
                <w:sz w:val="21"/>
                <w:szCs w:val="21"/>
                <w:highlight w:val="none"/>
                <w:lang w:eastAsia="zh-CN"/>
              </w:rPr>
              <w:t>MHC</w:t>
            </w:r>
          </w:p>
        </w:tc>
        <w:tc>
          <w:tcPr>
            <w:tcW w:w="1476" w:type="pct"/>
            <w:vAlign w:val="center"/>
          </w:tcPr>
          <w:p w14:paraId="752C1225">
            <w:pPr>
              <w:pStyle w:val="912"/>
              <w:keepNext w:val="0"/>
              <w:keepLines w:val="0"/>
              <w:suppressLineNumbers w:val="0"/>
              <w:spacing w:before="31" w:beforeAutospacing="0" w:after="0" w:afterAutospacing="0"/>
              <w:ind w:left="12" w:right="0"/>
              <w:jc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eastAsia="zh-CN"/>
              </w:rPr>
              <w:t>0.04</w:t>
            </w:r>
            <w:r>
              <w:rPr>
                <w:rFonts w:hint="eastAsia" w:ascii="Times New Roman" w:hAnsi="Times New Roman" w:eastAsia="宋体" w:cs="Times New Roman"/>
                <w:color w:val="auto"/>
                <w:sz w:val="21"/>
                <w:szCs w:val="21"/>
                <w:highlight w:val="none"/>
                <w:lang w:val="en-US" w:eastAsia="zh-CN"/>
              </w:rPr>
              <w:t>6</w:t>
            </w:r>
          </w:p>
        </w:tc>
      </w:tr>
      <w:tr w14:paraId="2EA24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1" w:type="pct"/>
            <w:vAlign w:val="center"/>
          </w:tcPr>
          <w:p w14:paraId="1CC0EDFC">
            <w:pPr>
              <w:pStyle w:val="912"/>
              <w:keepNext w:val="0"/>
              <w:keepLines w:val="0"/>
              <w:suppressLineNumbers w:val="0"/>
              <w:spacing w:before="31" w:beforeAutospacing="0" w:after="0" w:afterAutospacing="0"/>
              <w:ind w:left="12" w:right="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2</w:t>
            </w:r>
          </w:p>
        </w:tc>
        <w:tc>
          <w:tcPr>
            <w:tcW w:w="2053" w:type="pct"/>
            <w:vAlign w:val="center"/>
          </w:tcPr>
          <w:p w14:paraId="4A6D3802">
            <w:pPr>
              <w:pStyle w:val="912"/>
              <w:keepNext w:val="0"/>
              <w:keepLines w:val="0"/>
              <w:suppressLineNumbers w:val="0"/>
              <w:spacing w:before="31" w:beforeAutospacing="0" w:after="0" w:afterAutospacing="0"/>
              <w:ind w:left="12" w:right="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NH</w:t>
            </w:r>
            <w:r>
              <w:rPr>
                <w:rFonts w:hint="default" w:ascii="Times New Roman" w:hAnsi="Times New Roman" w:eastAsia="宋体" w:cs="Times New Roman"/>
                <w:color w:val="auto"/>
                <w:sz w:val="21"/>
                <w:szCs w:val="21"/>
                <w:highlight w:val="none"/>
                <w:vertAlign w:val="subscript"/>
              </w:rPr>
              <w:t>3</w:t>
            </w:r>
          </w:p>
        </w:tc>
        <w:tc>
          <w:tcPr>
            <w:tcW w:w="1476" w:type="pct"/>
            <w:vAlign w:val="center"/>
          </w:tcPr>
          <w:p w14:paraId="38F55961">
            <w:pPr>
              <w:pStyle w:val="912"/>
              <w:keepNext w:val="0"/>
              <w:keepLines w:val="0"/>
              <w:suppressLineNumbers w:val="0"/>
              <w:spacing w:before="31" w:beforeAutospacing="0" w:after="0" w:afterAutospacing="0"/>
              <w:ind w:left="12"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0.00</w:t>
            </w:r>
            <w:r>
              <w:rPr>
                <w:rFonts w:hint="eastAsia" w:ascii="Times New Roman" w:hAnsi="Times New Roman" w:eastAsia="宋体" w:cs="Times New Roman"/>
                <w:color w:val="auto"/>
                <w:sz w:val="21"/>
                <w:szCs w:val="21"/>
                <w:highlight w:val="none"/>
                <w:lang w:val="en-US" w:eastAsia="zh-CN"/>
              </w:rPr>
              <w:t>19</w:t>
            </w:r>
          </w:p>
        </w:tc>
      </w:tr>
      <w:tr w14:paraId="5B22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1" w:type="pct"/>
            <w:vAlign w:val="center"/>
          </w:tcPr>
          <w:p w14:paraId="6C82E592">
            <w:pPr>
              <w:pStyle w:val="912"/>
              <w:keepNext w:val="0"/>
              <w:keepLines w:val="0"/>
              <w:suppressLineNumbers w:val="0"/>
              <w:spacing w:before="31" w:beforeAutospacing="0" w:after="0" w:afterAutospacing="0"/>
              <w:ind w:left="12" w:right="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3</w:t>
            </w:r>
          </w:p>
        </w:tc>
        <w:tc>
          <w:tcPr>
            <w:tcW w:w="2053" w:type="pct"/>
            <w:vAlign w:val="center"/>
          </w:tcPr>
          <w:p w14:paraId="7096CFDC">
            <w:pPr>
              <w:pStyle w:val="912"/>
              <w:keepNext w:val="0"/>
              <w:keepLines w:val="0"/>
              <w:suppressLineNumbers w:val="0"/>
              <w:spacing w:before="31" w:beforeAutospacing="0" w:after="0" w:afterAutospacing="0"/>
              <w:ind w:left="12" w:right="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H</w:t>
            </w:r>
            <w:r>
              <w:rPr>
                <w:rFonts w:hint="default" w:ascii="Times New Roman" w:hAnsi="Times New Roman" w:eastAsia="宋体" w:cs="Times New Roman"/>
                <w:color w:val="auto"/>
                <w:sz w:val="21"/>
                <w:szCs w:val="21"/>
                <w:highlight w:val="none"/>
                <w:vertAlign w:val="subscript"/>
              </w:rPr>
              <w:t>2</w:t>
            </w:r>
            <w:r>
              <w:rPr>
                <w:rFonts w:hint="default" w:ascii="Times New Roman" w:hAnsi="Times New Roman" w:eastAsia="宋体" w:cs="Times New Roman"/>
                <w:color w:val="auto"/>
                <w:sz w:val="21"/>
                <w:szCs w:val="21"/>
                <w:highlight w:val="none"/>
              </w:rPr>
              <w:t>S</w:t>
            </w:r>
          </w:p>
        </w:tc>
        <w:tc>
          <w:tcPr>
            <w:tcW w:w="1476" w:type="pct"/>
            <w:vAlign w:val="center"/>
          </w:tcPr>
          <w:p w14:paraId="268ECB05">
            <w:pPr>
              <w:pStyle w:val="912"/>
              <w:keepNext w:val="0"/>
              <w:keepLines w:val="0"/>
              <w:suppressLineNumbers w:val="0"/>
              <w:spacing w:before="31" w:beforeAutospacing="0" w:after="0" w:afterAutospacing="0"/>
              <w:ind w:left="12" w:right="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0.000</w:t>
            </w:r>
            <w:r>
              <w:rPr>
                <w:rFonts w:hint="eastAsia" w:ascii="Times New Roman" w:hAnsi="Times New Roman" w:eastAsia="宋体" w:cs="Times New Roman"/>
                <w:color w:val="auto"/>
                <w:sz w:val="21"/>
                <w:szCs w:val="21"/>
                <w:highlight w:val="none"/>
                <w:lang w:val="en-US" w:eastAsia="zh-CN"/>
              </w:rPr>
              <w:t>1</w:t>
            </w:r>
          </w:p>
        </w:tc>
      </w:tr>
      <w:tr w14:paraId="5B69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1" w:type="pct"/>
            <w:vAlign w:val="center"/>
          </w:tcPr>
          <w:p w14:paraId="65DC2100">
            <w:pPr>
              <w:pStyle w:val="912"/>
              <w:keepNext w:val="0"/>
              <w:keepLines w:val="0"/>
              <w:suppressLineNumbers w:val="0"/>
              <w:spacing w:before="31" w:beforeAutospacing="0" w:after="0" w:afterAutospacing="0"/>
              <w:ind w:left="12"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4</w:t>
            </w:r>
          </w:p>
        </w:tc>
        <w:tc>
          <w:tcPr>
            <w:tcW w:w="2053" w:type="pct"/>
            <w:vAlign w:val="center"/>
          </w:tcPr>
          <w:p w14:paraId="75D92C71">
            <w:pPr>
              <w:pStyle w:val="912"/>
              <w:keepNext w:val="0"/>
              <w:keepLines w:val="0"/>
              <w:suppressLineNumbers w:val="0"/>
              <w:spacing w:before="31" w:beforeAutospacing="0" w:after="0" w:afterAutospacing="0"/>
              <w:ind w:left="12" w:right="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油烟</w:t>
            </w:r>
          </w:p>
        </w:tc>
        <w:tc>
          <w:tcPr>
            <w:tcW w:w="1476" w:type="pct"/>
            <w:vAlign w:val="center"/>
          </w:tcPr>
          <w:p w14:paraId="0CC02C7F">
            <w:pPr>
              <w:pStyle w:val="912"/>
              <w:keepNext w:val="0"/>
              <w:keepLines w:val="0"/>
              <w:suppressLineNumbers w:val="0"/>
              <w:spacing w:before="31" w:beforeAutospacing="0" w:after="0" w:afterAutospacing="0"/>
              <w:ind w:left="12" w:right="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0.0</w:t>
            </w:r>
            <w:r>
              <w:rPr>
                <w:rFonts w:hint="default" w:ascii="Times New Roman" w:hAnsi="Times New Roman" w:eastAsia="宋体" w:cs="Times New Roman"/>
                <w:color w:val="auto"/>
                <w:sz w:val="21"/>
                <w:szCs w:val="21"/>
                <w:highlight w:val="none"/>
                <w:lang w:eastAsia="zh-CN"/>
              </w:rPr>
              <w:t>05</w:t>
            </w:r>
          </w:p>
        </w:tc>
      </w:tr>
    </w:tbl>
    <w:p w14:paraId="6283B88F">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环境防护距离确定</w:t>
      </w:r>
    </w:p>
    <w:p w14:paraId="4B38E3D0">
      <w:pPr>
        <w:ind w:firstLine="480" w:firstLineChars="200"/>
        <w:rPr>
          <w:color w:val="auto"/>
          <w:highlight w:val="none"/>
        </w:rPr>
      </w:pPr>
      <w:r>
        <w:rPr>
          <w:color w:val="auto"/>
          <w:highlight w:val="none"/>
        </w:rPr>
        <w:t>《环境影响评价技术导则</w:t>
      </w:r>
      <w:r>
        <w:rPr>
          <w:rFonts w:eastAsia="Times New Roman"/>
          <w:color w:val="auto"/>
          <w:highlight w:val="none"/>
        </w:rPr>
        <w:t xml:space="preserve"> </w:t>
      </w:r>
      <w:r>
        <w:rPr>
          <w:color w:val="auto"/>
          <w:highlight w:val="none"/>
        </w:rPr>
        <w:t>大气环境》</w:t>
      </w:r>
      <w:r>
        <w:rPr>
          <w:rFonts w:hint="eastAsia" w:ascii="宋体" w:hAnsi="宋体" w:cs="宋体"/>
          <w:color w:val="auto"/>
          <w:highlight w:val="none"/>
        </w:rPr>
        <w:t>（</w:t>
      </w:r>
      <w:r>
        <w:rPr>
          <w:rFonts w:eastAsia="Times New Roman"/>
          <w:color w:val="auto"/>
          <w:highlight w:val="none"/>
        </w:rPr>
        <w:t>HJ2.2-2018</w:t>
      </w:r>
      <w:r>
        <w:rPr>
          <w:rFonts w:hint="eastAsia" w:ascii="宋体" w:hAnsi="宋体" w:cs="宋体"/>
          <w:color w:val="auto"/>
          <w:highlight w:val="none"/>
        </w:rPr>
        <w:t>）</w:t>
      </w:r>
      <w:r>
        <w:rPr>
          <w:color w:val="auto"/>
          <w:highlight w:val="none"/>
        </w:rPr>
        <w:t>规定，对于厂界浓度满足大气污染物厂界浓度限值，但厂界外大气污染物短期贡献浓度超过环境质量浓度限值的，可以自厂界向外设置一定范围的大气环境防护区域，以确保大气环境防护区域外的污染物贡献浓度满足环境质量标准。对于项目厂界浓度超过大气污染物厂界浓度限值的，应要求削减排放源强或调整项目布局，待满足厂界浓度限值后，再核算大气环境防护距离。</w:t>
      </w:r>
    </w:p>
    <w:p w14:paraId="05102981">
      <w:pPr>
        <w:ind w:firstLine="480" w:firstLineChars="200"/>
        <w:rPr>
          <w:color w:val="auto"/>
          <w:highlight w:val="none"/>
        </w:rPr>
      </w:pPr>
      <w:r>
        <w:rPr>
          <w:color w:val="auto"/>
          <w:highlight w:val="none"/>
        </w:rPr>
        <w:t>根据估算模式下的计算结果，各污染物自厂界起的最大落地浓度占标率均小于</w:t>
      </w:r>
      <w:r>
        <w:rPr>
          <w:rFonts w:eastAsia="Times New Roman"/>
          <w:color w:val="auto"/>
          <w:highlight w:val="none"/>
        </w:rPr>
        <w:t>10%</w:t>
      </w:r>
      <w:r>
        <w:rPr>
          <w:color w:val="auto"/>
          <w:highlight w:val="none"/>
        </w:rPr>
        <w:t>，无超标点，即项目不需要设置大气环境防护距离。</w:t>
      </w:r>
    </w:p>
    <w:p w14:paraId="7CA9C138">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小结</w:t>
      </w:r>
    </w:p>
    <w:p w14:paraId="0CE74A22">
      <w:pPr>
        <w:ind w:firstLine="480" w:firstLineChars="200"/>
        <w:rPr>
          <w:rFonts w:eastAsia="Times New Roman"/>
          <w:color w:val="auto"/>
          <w:highlight w:val="none"/>
        </w:rPr>
      </w:pPr>
      <w:r>
        <w:rPr>
          <w:color w:val="auto"/>
          <w:highlight w:val="none"/>
        </w:rPr>
        <w:t>综上所述，正常工况项目废气污染物对周围环境影响较小，项目无组织排放污染物均能够做到厂界达标。本项目不需要设防护距离，本项目建设从大气环境保护角度考虑，环境影响可接受。</w:t>
      </w:r>
    </w:p>
    <w:p w14:paraId="62584A00">
      <w:pPr>
        <w:ind w:firstLine="480" w:firstLineChars="200"/>
        <w:rPr>
          <w:color w:val="auto"/>
          <w:highlight w:val="none"/>
        </w:rPr>
      </w:pPr>
      <w:r>
        <w:rPr>
          <w:color w:val="auto"/>
          <w:highlight w:val="none"/>
        </w:rPr>
        <w:t>建设项目大气环境影响评价自查表</w:t>
      </w:r>
      <w:r>
        <w:rPr>
          <w:rFonts w:hint="eastAsia"/>
          <w:color w:val="auto"/>
          <w:highlight w:val="none"/>
          <w:lang w:eastAsia="zh-CN"/>
        </w:rPr>
        <w:t>详见</w:t>
      </w:r>
      <w:r>
        <w:rPr>
          <w:color w:val="auto"/>
          <w:highlight w:val="none"/>
        </w:rPr>
        <w:t>表5-3-8。</w:t>
      </w:r>
    </w:p>
    <w:p w14:paraId="53256FD9">
      <w:pPr>
        <w:rPr>
          <w:rFonts w:eastAsia="黑体"/>
          <w:bCs/>
          <w:color w:val="auto"/>
          <w:sz w:val="21"/>
          <w:szCs w:val="21"/>
          <w:highlight w:val="none"/>
        </w:rPr>
      </w:pPr>
      <w:r>
        <w:rPr>
          <w:rFonts w:eastAsia="黑体"/>
          <w:bCs/>
          <w:color w:val="auto"/>
          <w:sz w:val="21"/>
          <w:szCs w:val="21"/>
          <w:highlight w:val="none"/>
        </w:rPr>
        <w:br w:type="page"/>
      </w:r>
    </w:p>
    <w:p w14:paraId="5FF9E329">
      <w:pPr>
        <w:tabs>
          <w:tab w:val="left" w:pos="3663"/>
        </w:tabs>
        <w:spacing w:before="39" w:line="240" w:lineRule="auto"/>
        <w:jc w:val="center"/>
        <w:rPr>
          <w:rFonts w:eastAsia="黑体"/>
          <w:bCs/>
          <w:color w:val="auto"/>
          <w:sz w:val="21"/>
          <w:szCs w:val="21"/>
          <w:highlight w:val="none"/>
        </w:rPr>
      </w:pPr>
      <w:r>
        <w:rPr>
          <w:rFonts w:eastAsia="黑体"/>
          <w:bCs/>
          <w:color w:val="auto"/>
          <w:sz w:val="21"/>
          <w:szCs w:val="21"/>
          <w:highlight w:val="none"/>
        </w:rPr>
        <w:t>表5-3-8  建设项目大气环境影响评价自查表</w:t>
      </w:r>
    </w:p>
    <w:tbl>
      <w:tblPr>
        <w:tblStyle w:val="40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179"/>
        <w:gridCol w:w="814"/>
        <w:gridCol w:w="396"/>
        <w:gridCol w:w="380"/>
        <w:gridCol w:w="1110"/>
        <w:gridCol w:w="144"/>
        <w:gridCol w:w="209"/>
        <w:gridCol w:w="1437"/>
        <w:gridCol w:w="583"/>
        <w:gridCol w:w="285"/>
        <w:gridCol w:w="578"/>
        <w:gridCol w:w="147"/>
        <w:gridCol w:w="660"/>
      </w:tblGrid>
      <w:tr w14:paraId="2650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3" w:type="pct"/>
            <w:gridSpan w:val="2"/>
            <w:vAlign w:val="center"/>
          </w:tcPr>
          <w:p w14:paraId="1837862C">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工作内容</w:t>
            </w:r>
          </w:p>
        </w:tc>
        <w:tc>
          <w:tcPr>
            <w:tcW w:w="3866" w:type="pct"/>
            <w:gridSpan w:val="12"/>
            <w:vAlign w:val="center"/>
          </w:tcPr>
          <w:p w14:paraId="79A0D86F">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自查项目</w:t>
            </w:r>
          </w:p>
        </w:tc>
      </w:tr>
      <w:tr w14:paraId="3989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restart"/>
            <w:vAlign w:val="center"/>
          </w:tcPr>
          <w:p w14:paraId="5093307B">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评价等级与范围</w:t>
            </w:r>
          </w:p>
        </w:tc>
        <w:tc>
          <w:tcPr>
            <w:tcW w:w="676" w:type="pct"/>
            <w:vAlign w:val="center"/>
          </w:tcPr>
          <w:p w14:paraId="78EE3F8F">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评价等级</w:t>
            </w:r>
          </w:p>
        </w:tc>
        <w:tc>
          <w:tcPr>
            <w:tcW w:w="1548" w:type="pct"/>
            <w:gridSpan w:val="4"/>
            <w:vAlign w:val="center"/>
          </w:tcPr>
          <w:p w14:paraId="40B1D506">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一级□</w:t>
            </w:r>
          </w:p>
        </w:tc>
        <w:tc>
          <w:tcPr>
            <w:tcW w:w="1026" w:type="pct"/>
            <w:gridSpan w:val="3"/>
            <w:vAlign w:val="center"/>
          </w:tcPr>
          <w:p w14:paraId="60F8D96A">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二级</w:t>
            </w:r>
            <w:r>
              <w:rPr>
                <w:rFonts w:hint="default"/>
                <w:color w:val="auto"/>
                <w:spacing w:val="-1"/>
                <w:kern w:val="0"/>
                <w:sz w:val="18"/>
                <w:szCs w:val="18"/>
                <w:highlight w:val="none"/>
              </w:rPr>
              <w:sym w:font="Wingdings 2" w:char="0052"/>
            </w:r>
          </w:p>
        </w:tc>
        <w:tc>
          <w:tcPr>
            <w:tcW w:w="1292" w:type="pct"/>
            <w:gridSpan w:val="5"/>
            <w:vAlign w:val="center"/>
          </w:tcPr>
          <w:p w14:paraId="30407D3B">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三级□</w:t>
            </w:r>
          </w:p>
        </w:tc>
      </w:tr>
      <w:tr w14:paraId="2F2C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continue"/>
            <w:vAlign w:val="center"/>
          </w:tcPr>
          <w:p w14:paraId="603F9A8F">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p>
        </w:tc>
        <w:tc>
          <w:tcPr>
            <w:tcW w:w="676" w:type="pct"/>
            <w:vAlign w:val="center"/>
          </w:tcPr>
          <w:p w14:paraId="27FEF179">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评价范围</w:t>
            </w:r>
          </w:p>
        </w:tc>
        <w:tc>
          <w:tcPr>
            <w:tcW w:w="1548" w:type="pct"/>
            <w:gridSpan w:val="4"/>
            <w:vAlign w:val="center"/>
          </w:tcPr>
          <w:p w14:paraId="185A9006">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边长=50km□</w:t>
            </w:r>
          </w:p>
        </w:tc>
        <w:tc>
          <w:tcPr>
            <w:tcW w:w="1026" w:type="pct"/>
            <w:gridSpan w:val="3"/>
            <w:vAlign w:val="center"/>
          </w:tcPr>
          <w:p w14:paraId="48F717AC">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边长5～50km</w:t>
            </w:r>
            <w:r>
              <w:rPr>
                <w:rFonts w:hint="default"/>
                <w:color w:val="auto"/>
                <w:spacing w:val="-1"/>
                <w:kern w:val="0"/>
                <w:sz w:val="18"/>
                <w:szCs w:val="18"/>
                <w:highlight w:val="none"/>
              </w:rPr>
              <w:sym w:font="Wingdings 2" w:char="0052"/>
            </w:r>
          </w:p>
        </w:tc>
        <w:tc>
          <w:tcPr>
            <w:tcW w:w="1292" w:type="pct"/>
            <w:gridSpan w:val="5"/>
            <w:vAlign w:val="center"/>
          </w:tcPr>
          <w:p w14:paraId="1CC08267">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边长=5km□</w:t>
            </w:r>
          </w:p>
        </w:tc>
      </w:tr>
      <w:tr w14:paraId="76EB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restart"/>
            <w:vAlign w:val="center"/>
          </w:tcPr>
          <w:p w14:paraId="64FB1242">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评价因子</w:t>
            </w:r>
          </w:p>
        </w:tc>
        <w:tc>
          <w:tcPr>
            <w:tcW w:w="676" w:type="pct"/>
            <w:vAlign w:val="center"/>
          </w:tcPr>
          <w:p w14:paraId="5E690F84">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SO</w:t>
            </w:r>
            <w:r>
              <w:rPr>
                <w:rFonts w:hint="default"/>
                <w:color w:val="auto"/>
                <w:kern w:val="0"/>
                <w:sz w:val="18"/>
                <w:szCs w:val="18"/>
                <w:highlight w:val="none"/>
                <w:vertAlign w:val="subscript"/>
              </w:rPr>
              <w:t>2</w:t>
            </w:r>
            <w:r>
              <w:rPr>
                <w:rFonts w:hint="default"/>
                <w:color w:val="auto"/>
                <w:kern w:val="0"/>
                <w:sz w:val="18"/>
                <w:szCs w:val="18"/>
                <w:highlight w:val="none"/>
              </w:rPr>
              <w:t>+NO</w:t>
            </w:r>
            <w:r>
              <w:rPr>
                <w:rFonts w:hint="default"/>
                <w:color w:val="auto"/>
                <w:kern w:val="0"/>
                <w:sz w:val="18"/>
                <w:szCs w:val="18"/>
                <w:highlight w:val="none"/>
                <w:vertAlign w:val="subscript"/>
              </w:rPr>
              <w:t>x</w:t>
            </w:r>
            <w:r>
              <w:rPr>
                <w:rFonts w:hint="default"/>
                <w:color w:val="auto"/>
                <w:kern w:val="0"/>
                <w:sz w:val="18"/>
                <w:szCs w:val="18"/>
                <w:highlight w:val="none"/>
              </w:rPr>
              <w:t>排放量</w:t>
            </w:r>
          </w:p>
        </w:tc>
        <w:tc>
          <w:tcPr>
            <w:tcW w:w="1548" w:type="pct"/>
            <w:gridSpan w:val="4"/>
            <w:vAlign w:val="center"/>
          </w:tcPr>
          <w:p w14:paraId="7B0B7635">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≥2000t/a□</w:t>
            </w:r>
          </w:p>
        </w:tc>
        <w:tc>
          <w:tcPr>
            <w:tcW w:w="1026" w:type="pct"/>
            <w:gridSpan w:val="3"/>
            <w:vAlign w:val="center"/>
          </w:tcPr>
          <w:p w14:paraId="355AA06C">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500</w:t>
            </w:r>
            <w:r>
              <w:rPr>
                <w:rFonts w:hint="eastAsia"/>
                <w:color w:val="auto"/>
                <w:kern w:val="0"/>
                <w:sz w:val="18"/>
                <w:szCs w:val="18"/>
                <w:highlight w:val="none"/>
                <w:lang w:eastAsia="zh-CN"/>
              </w:rPr>
              <w:t>~</w:t>
            </w:r>
            <w:r>
              <w:rPr>
                <w:rFonts w:hint="default"/>
                <w:color w:val="auto"/>
                <w:kern w:val="0"/>
                <w:sz w:val="18"/>
                <w:szCs w:val="18"/>
                <w:highlight w:val="none"/>
              </w:rPr>
              <w:t>2000t/a□</w:t>
            </w:r>
          </w:p>
        </w:tc>
        <w:tc>
          <w:tcPr>
            <w:tcW w:w="1292" w:type="pct"/>
            <w:gridSpan w:val="5"/>
            <w:vAlign w:val="center"/>
          </w:tcPr>
          <w:p w14:paraId="2C31A97B">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eastAsia"/>
                <w:color w:val="auto"/>
                <w:kern w:val="0"/>
                <w:sz w:val="18"/>
                <w:szCs w:val="18"/>
                <w:highlight w:val="none"/>
                <w:lang w:eastAsia="zh-CN"/>
              </w:rPr>
              <w:t>&lt;</w:t>
            </w:r>
            <w:r>
              <w:rPr>
                <w:rFonts w:hint="default"/>
                <w:color w:val="auto"/>
                <w:kern w:val="0"/>
                <w:sz w:val="18"/>
                <w:szCs w:val="18"/>
                <w:highlight w:val="none"/>
              </w:rPr>
              <w:t>500t/a</w:t>
            </w:r>
            <w:r>
              <w:rPr>
                <w:rFonts w:hint="default"/>
                <w:color w:val="auto"/>
                <w:spacing w:val="-1"/>
                <w:kern w:val="0"/>
                <w:sz w:val="18"/>
                <w:szCs w:val="18"/>
                <w:highlight w:val="none"/>
              </w:rPr>
              <w:sym w:font="Wingdings 2" w:char="0052"/>
            </w:r>
          </w:p>
        </w:tc>
      </w:tr>
      <w:tr w14:paraId="2F19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continue"/>
            <w:vAlign w:val="center"/>
          </w:tcPr>
          <w:p w14:paraId="549CF1B4">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p>
        </w:tc>
        <w:tc>
          <w:tcPr>
            <w:tcW w:w="676" w:type="pct"/>
            <w:vAlign w:val="center"/>
          </w:tcPr>
          <w:p w14:paraId="0B615752">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评价因子</w:t>
            </w:r>
          </w:p>
        </w:tc>
        <w:tc>
          <w:tcPr>
            <w:tcW w:w="2574" w:type="pct"/>
            <w:gridSpan w:val="7"/>
            <w:vAlign w:val="center"/>
          </w:tcPr>
          <w:p w14:paraId="54AE60A9">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基本污染物（SO</w:t>
            </w:r>
            <w:r>
              <w:rPr>
                <w:rFonts w:hint="default"/>
                <w:color w:val="auto"/>
                <w:kern w:val="0"/>
                <w:sz w:val="18"/>
                <w:szCs w:val="18"/>
                <w:highlight w:val="none"/>
                <w:vertAlign w:val="subscript"/>
              </w:rPr>
              <w:t>2</w:t>
            </w:r>
            <w:r>
              <w:rPr>
                <w:rFonts w:hint="default"/>
                <w:color w:val="auto"/>
                <w:kern w:val="0"/>
                <w:sz w:val="18"/>
                <w:szCs w:val="18"/>
                <w:highlight w:val="none"/>
              </w:rPr>
              <w:t>、NO</w:t>
            </w:r>
            <w:r>
              <w:rPr>
                <w:rFonts w:hint="default"/>
                <w:color w:val="auto"/>
                <w:kern w:val="0"/>
                <w:sz w:val="18"/>
                <w:szCs w:val="18"/>
                <w:highlight w:val="none"/>
                <w:vertAlign w:val="subscript"/>
              </w:rPr>
              <w:t>2</w:t>
            </w:r>
            <w:r>
              <w:rPr>
                <w:rFonts w:hint="default"/>
                <w:color w:val="auto"/>
                <w:kern w:val="0"/>
                <w:sz w:val="18"/>
                <w:szCs w:val="18"/>
                <w:highlight w:val="none"/>
              </w:rPr>
              <w:t>、PM</w:t>
            </w:r>
            <w:r>
              <w:rPr>
                <w:rFonts w:hint="default"/>
                <w:color w:val="auto"/>
                <w:kern w:val="0"/>
                <w:sz w:val="18"/>
                <w:szCs w:val="18"/>
                <w:highlight w:val="none"/>
                <w:vertAlign w:val="subscript"/>
              </w:rPr>
              <w:t>10</w:t>
            </w:r>
            <w:r>
              <w:rPr>
                <w:rFonts w:hint="default"/>
                <w:color w:val="auto"/>
                <w:kern w:val="0"/>
                <w:sz w:val="18"/>
                <w:szCs w:val="18"/>
                <w:highlight w:val="none"/>
              </w:rPr>
              <w:t>、PM</w:t>
            </w:r>
            <w:r>
              <w:rPr>
                <w:rFonts w:hint="default"/>
                <w:color w:val="auto"/>
                <w:kern w:val="0"/>
                <w:sz w:val="18"/>
                <w:szCs w:val="18"/>
                <w:highlight w:val="none"/>
                <w:vertAlign w:val="subscript"/>
              </w:rPr>
              <w:t>2.5</w:t>
            </w:r>
            <w:r>
              <w:rPr>
                <w:rFonts w:hint="default"/>
                <w:color w:val="auto"/>
                <w:kern w:val="0"/>
                <w:sz w:val="18"/>
                <w:szCs w:val="18"/>
                <w:highlight w:val="none"/>
              </w:rPr>
              <w:t>、CO、O</w:t>
            </w:r>
            <w:r>
              <w:rPr>
                <w:rFonts w:hint="default"/>
                <w:color w:val="auto"/>
                <w:kern w:val="0"/>
                <w:sz w:val="18"/>
                <w:szCs w:val="18"/>
                <w:highlight w:val="none"/>
                <w:vertAlign w:val="subscript"/>
              </w:rPr>
              <w:t>3</w:t>
            </w:r>
            <w:r>
              <w:rPr>
                <w:rFonts w:hint="default"/>
                <w:color w:val="auto"/>
                <w:kern w:val="0"/>
                <w:sz w:val="18"/>
                <w:szCs w:val="18"/>
                <w:highlight w:val="none"/>
              </w:rPr>
              <w:t>）</w:t>
            </w:r>
          </w:p>
          <w:p w14:paraId="6818773C">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其他污染物（NMHC、H</w:t>
            </w:r>
            <w:r>
              <w:rPr>
                <w:rFonts w:hint="default"/>
                <w:color w:val="auto"/>
                <w:kern w:val="0"/>
                <w:sz w:val="18"/>
                <w:szCs w:val="18"/>
                <w:highlight w:val="none"/>
                <w:vertAlign w:val="subscript"/>
              </w:rPr>
              <w:t>2</w:t>
            </w:r>
            <w:r>
              <w:rPr>
                <w:rFonts w:hint="default"/>
                <w:color w:val="auto"/>
                <w:kern w:val="0"/>
                <w:sz w:val="18"/>
                <w:szCs w:val="18"/>
                <w:highlight w:val="none"/>
              </w:rPr>
              <w:t>S、NH</w:t>
            </w:r>
            <w:r>
              <w:rPr>
                <w:rFonts w:hint="default"/>
                <w:color w:val="auto"/>
                <w:kern w:val="0"/>
                <w:sz w:val="18"/>
                <w:szCs w:val="18"/>
                <w:highlight w:val="none"/>
                <w:vertAlign w:val="subscript"/>
              </w:rPr>
              <w:t>3</w:t>
            </w:r>
            <w:r>
              <w:rPr>
                <w:rFonts w:hint="default"/>
                <w:color w:val="auto"/>
                <w:kern w:val="0"/>
                <w:sz w:val="18"/>
                <w:szCs w:val="18"/>
                <w:highlight w:val="none"/>
              </w:rPr>
              <w:t>）</w:t>
            </w:r>
          </w:p>
        </w:tc>
        <w:tc>
          <w:tcPr>
            <w:tcW w:w="1292" w:type="pct"/>
            <w:gridSpan w:val="5"/>
            <w:vAlign w:val="center"/>
          </w:tcPr>
          <w:p w14:paraId="4E33D87E">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包括二次PM2.5□</w:t>
            </w:r>
          </w:p>
          <w:p w14:paraId="4F3A5657">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不包括二次PM2.5</w:t>
            </w:r>
            <w:r>
              <w:rPr>
                <w:rFonts w:hint="default"/>
                <w:color w:val="auto"/>
                <w:spacing w:val="-1"/>
                <w:kern w:val="0"/>
                <w:sz w:val="18"/>
                <w:szCs w:val="18"/>
                <w:highlight w:val="none"/>
              </w:rPr>
              <w:sym w:font="Wingdings 2" w:char="0052"/>
            </w:r>
          </w:p>
        </w:tc>
      </w:tr>
      <w:tr w14:paraId="06E2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Align w:val="center"/>
          </w:tcPr>
          <w:p w14:paraId="47CB65EB">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评价标准</w:t>
            </w:r>
          </w:p>
        </w:tc>
        <w:tc>
          <w:tcPr>
            <w:tcW w:w="676" w:type="pct"/>
            <w:vAlign w:val="center"/>
          </w:tcPr>
          <w:p w14:paraId="41131646">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评价标准</w:t>
            </w:r>
          </w:p>
        </w:tc>
        <w:tc>
          <w:tcPr>
            <w:tcW w:w="1548" w:type="pct"/>
            <w:gridSpan w:val="4"/>
            <w:vAlign w:val="center"/>
          </w:tcPr>
          <w:p w14:paraId="10340D8A">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国家标准</w:t>
            </w:r>
            <w:r>
              <w:rPr>
                <w:rFonts w:hint="default"/>
                <w:color w:val="auto"/>
                <w:spacing w:val="-1"/>
                <w:kern w:val="0"/>
                <w:sz w:val="18"/>
                <w:szCs w:val="18"/>
                <w:highlight w:val="none"/>
              </w:rPr>
              <w:sym w:font="Wingdings 2" w:char="0052"/>
            </w:r>
          </w:p>
        </w:tc>
        <w:tc>
          <w:tcPr>
            <w:tcW w:w="1026" w:type="pct"/>
            <w:gridSpan w:val="3"/>
            <w:vAlign w:val="center"/>
          </w:tcPr>
          <w:p w14:paraId="68270AB2">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地方标准□</w:t>
            </w:r>
          </w:p>
        </w:tc>
        <w:tc>
          <w:tcPr>
            <w:tcW w:w="829" w:type="pct"/>
            <w:gridSpan w:val="3"/>
            <w:vAlign w:val="center"/>
          </w:tcPr>
          <w:p w14:paraId="737F73C4">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附录D</w:t>
            </w:r>
            <w:r>
              <w:rPr>
                <w:rFonts w:hint="default"/>
                <w:color w:val="auto"/>
                <w:spacing w:val="-1"/>
                <w:kern w:val="0"/>
                <w:sz w:val="18"/>
                <w:szCs w:val="18"/>
                <w:highlight w:val="none"/>
              </w:rPr>
              <w:sym w:font="Wingdings 2" w:char="0052"/>
            </w:r>
          </w:p>
        </w:tc>
        <w:tc>
          <w:tcPr>
            <w:tcW w:w="462" w:type="pct"/>
            <w:gridSpan w:val="2"/>
            <w:vAlign w:val="center"/>
          </w:tcPr>
          <w:p w14:paraId="48E82EAF">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其他标准□</w:t>
            </w:r>
          </w:p>
        </w:tc>
      </w:tr>
      <w:tr w14:paraId="4527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restart"/>
            <w:vAlign w:val="center"/>
          </w:tcPr>
          <w:p w14:paraId="177FDB63">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现状评价</w:t>
            </w:r>
          </w:p>
        </w:tc>
        <w:tc>
          <w:tcPr>
            <w:tcW w:w="676" w:type="pct"/>
            <w:vAlign w:val="center"/>
          </w:tcPr>
          <w:p w14:paraId="678305E9">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环境功能区</w:t>
            </w:r>
          </w:p>
        </w:tc>
        <w:tc>
          <w:tcPr>
            <w:tcW w:w="1548" w:type="pct"/>
            <w:gridSpan w:val="4"/>
            <w:vAlign w:val="center"/>
          </w:tcPr>
          <w:p w14:paraId="717C2F43">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一类区□</w:t>
            </w:r>
          </w:p>
        </w:tc>
        <w:tc>
          <w:tcPr>
            <w:tcW w:w="1026" w:type="pct"/>
            <w:gridSpan w:val="3"/>
            <w:vAlign w:val="center"/>
          </w:tcPr>
          <w:p w14:paraId="784C3E6F">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二类区</w:t>
            </w:r>
            <w:r>
              <w:rPr>
                <w:rFonts w:hint="default"/>
                <w:color w:val="auto"/>
                <w:spacing w:val="-1"/>
                <w:kern w:val="0"/>
                <w:sz w:val="18"/>
                <w:szCs w:val="18"/>
                <w:highlight w:val="none"/>
              </w:rPr>
              <w:sym w:font="Wingdings 2" w:char="0052"/>
            </w:r>
          </w:p>
        </w:tc>
        <w:tc>
          <w:tcPr>
            <w:tcW w:w="1292" w:type="pct"/>
            <w:gridSpan w:val="5"/>
            <w:vAlign w:val="center"/>
          </w:tcPr>
          <w:p w14:paraId="57F0F63F">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一类区和二类区□</w:t>
            </w:r>
          </w:p>
        </w:tc>
      </w:tr>
      <w:tr w14:paraId="5FC0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continue"/>
            <w:vAlign w:val="center"/>
          </w:tcPr>
          <w:p w14:paraId="2BC9EBEF">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p>
        </w:tc>
        <w:tc>
          <w:tcPr>
            <w:tcW w:w="676" w:type="pct"/>
            <w:vAlign w:val="center"/>
          </w:tcPr>
          <w:p w14:paraId="0692AEFD">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评价基准年</w:t>
            </w:r>
          </w:p>
        </w:tc>
        <w:tc>
          <w:tcPr>
            <w:tcW w:w="3866" w:type="pct"/>
            <w:gridSpan w:val="12"/>
            <w:vAlign w:val="center"/>
          </w:tcPr>
          <w:p w14:paraId="19470052">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（202</w:t>
            </w:r>
            <w:r>
              <w:rPr>
                <w:rFonts w:hint="eastAsia"/>
                <w:color w:val="auto"/>
                <w:kern w:val="0"/>
                <w:sz w:val="18"/>
                <w:szCs w:val="18"/>
                <w:highlight w:val="none"/>
                <w:lang w:val="en-US" w:eastAsia="zh-CN"/>
              </w:rPr>
              <w:t>4</w:t>
            </w:r>
            <w:r>
              <w:rPr>
                <w:rFonts w:hint="default"/>
                <w:color w:val="auto"/>
                <w:kern w:val="0"/>
                <w:sz w:val="18"/>
                <w:szCs w:val="18"/>
                <w:highlight w:val="none"/>
              </w:rPr>
              <w:t>）年</w:t>
            </w:r>
          </w:p>
        </w:tc>
      </w:tr>
      <w:tr w14:paraId="039E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continue"/>
            <w:vAlign w:val="center"/>
          </w:tcPr>
          <w:p w14:paraId="7119E6CF">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p>
        </w:tc>
        <w:tc>
          <w:tcPr>
            <w:tcW w:w="676" w:type="pct"/>
            <w:vAlign w:val="center"/>
          </w:tcPr>
          <w:p w14:paraId="781EBD83">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环境空气质量现状调查数据来源</w:t>
            </w:r>
          </w:p>
        </w:tc>
        <w:tc>
          <w:tcPr>
            <w:tcW w:w="1548" w:type="pct"/>
            <w:gridSpan w:val="4"/>
            <w:vAlign w:val="center"/>
          </w:tcPr>
          <w:p w14:paraId="54FB1790">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长期例行监测数据□</w:t>
            </w:r>
          </w:p>
        </w:tc>
        <w:tc>
          <w:tcPr>
            <w:tcW w:w="1026" w:type="pct"/>
            <w:gridSpan w:val="3"/>
            <w:vAlign w:val="center"/>
          </w:tcPr>
          <w:p w14:paraId="484BEE6D">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主管部门发布的数据</w:t>
            </w:r>
            <w:r>
              <w:rPr>
                <w:rFonts w:hint="default"/>
                <w:color w:val="auto"/>
                <w:spacing w:val="-1"/>
                <w:kern w:val="0"/>
                <w:sz w:val="18"/>
                <w:szCs w:val="18"/>
                <w:highlight w:val="none"/>
              </w:rPr>
              <w:sym w:font="Wingdings 2" w:char="0052"/>
            </w:r>
          </w:p>
        </w:tc>
        <w:tc>
          <w:tcPr>
            <w:tcW w:w="1292" w:type="pct"/>
            <w:gridSpan w:val="5"/>
            <w:vAlign w:val="center"/>
          </w:tcPr>
          <w:p w14:paraId="2A3EAE23">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现状补充监测</w:t>
            </w:r>
            <w:r>
              <w:rPr>
                <w:rFonts w:hint="default"/>
                <w:color w:val="auto"/>
                <w:spacing w:val="-1"/>
                <w:kern w:val="0"/>
                <w:sz w:val="18"/>
                <w:szCs w:val="18"/>
                <w:highlight w:val="none"/>
              </w:rPr>
              <w:sym w:font="Wingdings 2" w:char="0052"/>
            </w:r>
          </w:p>
        </w:tc>
      </w:tr>
      <w:tr w14:paraId="3551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continue"/>
            <w:vAlign w:val="center"/>
          </w:tcPr>
          <w:p w14:paraId="0BFB245A">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p>
        </w:tc>
        <w:tc>
          <w:tcPr>
            <w:tcW w:w="676" w:type="pct"/>
            <w:vAlign w:val="center"/>
          </w:tcPr>
          <w:p w14:paraId="3AF0D27D">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现状评价</w:t>
            </w:r>
          </w:p>
        </w:tc>
        <w:tc>
          <w:tcPr>
            <w:tcW w:w="2574" w:type="pct"/>
            <w:gridSpan w:val="7"/>
            <w:vAlign w:val="center"/>
          </w:tcPr>
          <w:p w14:paraId="19C994DF">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达标区</w:t>
            </w:r>
            <w:r>
              <w:rPr>
                <w:rFonts w:hint="default"/>
                <w:color w:val="auto"/>
                <w:spacing w:val="-1"/>
                <w:kern w:val="0"/>
                <w:sz w:val="18"/>
                <w:szCs w:val="18"/>
                <w:highlight w:val="none"/>
              </w:rPr>
              <w:sym w:font="Wingdings 2" w:char="0052"/>
            </w:r>
          </w:p>
        </w:tc>
        <w:tc>
          <w:tcPr>
            <w:tcW w:w="1292" w:type="pct"/>
            <w:gridSpan w:val="5"/>
            <w:vAlign w:val="center"/>
          </w:tcPr>
          <w:p w14:paraId="40312DCE">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不达标区</w:t>
            </w:r>
            <w:r>
              <w:rPr>
                <w:rFonts w:hint="eastAsia"/>
                <w:color w:val="auto"/>
                <w:spacing w:val="-1"/>
                <w:kern w:val="0"/>
                <w:sz w:val="18"/>
                <w:szCs w:val="18"/>
                <w:highlight w:val="none"/>
              </w:rPr>
              <w:t>□</w:t>
            </w:r>
          </w:p>
        </w:tc>
      </w:tr>
      <w:tr w14:paraId="748F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Align w:val="center"/>
          </w:tcPr>
          <w:p w14:paraId="362CF47A">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污染源</w:t>
            </w:r>
          </w:p>
          <w:p w14:paraId="0B3D5449">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调查</w:t>
            </w:r>
          </w:p>
        </w:tc>
        <w:tc>
          <w:tcPr>
            <w:tcW w:w="676" w:type="pct"/>
            <w:vAlign w:val="center"/>
          </w:tcPr>
          <w:p w14:paraId="514D905C">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调查内容</w:t>
            </w:r>
          </w:p>
        </w:tc>
        <w:tc>
          <w:tcPr>
            <w:tcW w:w="1548" w:type="pct"/>
            <w:gridSpan w:val="4"/>
            <w:vAlign w:val="center"/>
          </w:tcPr>
          <w:p w14:paraId="1E59BA68">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本项目正常排放源</w:t>
            </w:r>
            <w:r>
              <w:rPr>
                <w:rFonts w:hint="default"/>
                <w:color w:val="auto"/>
                <w:spacing w:val="-1"/>
                <w:kern w:val="0"/>
                <w:sz w:val="18"/>
                <w:szCs w:val="18"/>
                <w:highlight w:val="none"/>
              </w:rPr>
              <w:sym w:font="Wingdings 2" w:char="0052"/>
            </w:r>
          </w:p>
          <w:p w14:paraId="33BB6D56">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spacing w:val="-10"/>
                <w:kern w:val="0"/>
                <w:sz w:val="18"/>
                <w:szCs w:val="18"/>
                <w:highlight w:val="none"/>
              </w:rPr>
              <w:t>本项目非正常排放源</w:t>
            </w:r>
            <w:r>
              <w:rPr>
                <w:rFonts w:hint="default"/>
                <w:color w:val="auto"/>
                <w:kern w:val="0"/>
                <w:sz w:val="18"/>
                <w:szCs w:val="18"/>
                <w:highlight w:val="none"/>
              </w:rPr>
              <w:t>□</w:t>
            </w:r>
          </w:p>
          <w:p w14:paraId="0136A1A3">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现有污染源□</w:t>
            </w:r>
          </w:p>
        </w:tc>
        <w:tc>
          <w:tcPr>
            <w:tcW w:w="1026" w:type="pct"/>
            <w:gridSpan w:val="3"/>
            <w:vAlign w:val="center"/>
          </w:tcPr>
          <w:p w14:paraId="76578A4B">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拟替代的污染源□</w:t>
            </w:r>
          </w:p>
        </w:tc>
        <w:tc>
          <w:tcPr>
            <w:tcW w:w="829" w:type="pct"/>
            <w:gridSpan w:val="3"/>
            <w:vAlign w:val="center"/>
          </w:tcPr>
          <w:p w14:paraId="3F003696">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其他在建、拟建项目污染源□</w:t>
            </w:r>
          </w:p>
        </w:tc>
        <w:tc>
          <w:tcPr>
            <w:tcW w:w="462" w:type="pct"/>
            <w:gridSpan w:val="2"/>
            <w:vAlign w:val="center"/>
          </w:tcPr>
          <w:p w14:paraId="05BBE7ED">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区域污染源□</w:t>
            </w:r>
          </w:p>
        </w:tc>
      </w:tr>
      <w:tr w14:paraId="4737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restart"/>
            <w:vAlign w:val="center"/>
          </w:tcPr>
          <w:p w14:paraId="69C9C476">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大气环境影响预测与评价</w:t>
            </w:r>
          </w:p>
        </w:tc>
        <w:tc>
          <w:tcPr>
            <w:tcW w:w="676" w:type="pct"/>
            <w:vAlign w:val="center"/>
          </w:tcPr>
          <w:p w14:paraId="7F0BBA20">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预测模型</w:t>
            </w:r>
          </w:p>
        </w:tc>
        <w:tc>
          <w:tcPr>
            <w:tcW w:w="466" w:type="pct"/>
            <w:vAlign w:val="center"/>
          </w:tcPr>
          <w:p w14:paraId="17BDFB88">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AERMOD□</w:t>
            </w:r>
          </w:p>
        </w:tc>
        <w:tc>
          <w:tcPr>
            <w:tcW w:w="445" w:type="pct"/>
            <w:gridSpan w:val="2"/>
            <w:vAlign w:val="center"/>
          </w:tcPr>
          <w:p w14:paraId="7AE526BA">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ADMS</w:t>
            </w:r>
          </w:p>
          <w:p w14:paraId="084880AB">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w:t>
            </w:r>
          </w:p>
        </w:tc>
        <w:tc>
          <w:tcPr>
            <w:tcW w:w="838" w:type="pct"/>
            <w:gridSpan w:val="3"/>
            <w:vAlign w:val="center"/>
          </w:tcPr>
          <w:p w14:paraId="712A156C">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AUSTAL2000□</w:t>
            </w:r>
          </w:p>
        </w:tc>
        <w:tc>
          <w:tcPr>
            <w:tcW w:w="824" w:type="pct"/>
            <w:vAlign w:val="center"/>
          </w:tcPr>
          <w:p w14:paraId="62714186">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EDMS/AEDT□</w:t>
            </w:r>
          </w:p>
        </w:tc>
        <w:tc>
          <w:tcPr>
            <w:tcW w:w="497" w:type="pct"/>
            <w:gridSpan w:val="2"/>
            <w:vAlign w:val="center"/>
          </w:tcPr>
          <w:p w14:paraId="7723C209">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CALPUFF□</w:t>
            </w:r>
          </w:p>
        </w:tc>
        <w:tc>
          <w:tcPr>
            <w:tcW w:w="415" w:type="pct"/>
            <w:gridSpan w:val="2"/>
            <w:vAlign w:val="center"/>
          </w:tcPr>
          <w:p w14:paraId="7220EDA6">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网格模型□</w:t>
            </w:r>
          </w:p>
        </w:tc>
        <w:tc>
          <w:tcPr>
            <w:tcW w:w="378" w:type="pct"/>
            <w:vAlign w:val="center"/>
          </w:tcPr>
          <w:p w14:paraId="17EF2905">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其他</w:t>
            </w:r>
          </w:p>
          <w:p w14:paraId="3CE1A512">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spacing w:val="-1"/>
                <w:kern w:val="0"/>
                <w:sz w:val="18"/>
                <w:szCs w:val="18"/>
                <w:highlight w:val="none"/>
              </w:rPr>
              <w:sym w:font="Wingdings 2" w:char="0052"/>
            </w:r>
          </w:p>
        </w:tc>
      </w:tr>
      <w:tr w14:paraId="6313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continue"/>
            <w:vAlign w:val="center"/>
          </w:tcPr>
          <w:p w14:paraId="35842732">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p>
        </w:tc>
        <w:tc>
          <w:tcPr>
            <w:tcW w:w="676" w:type="pct"/>
            <w:vAlign w:val="center"/>
          </w:tcPr>
          <w:p w14:paraId="30CEF752">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预测范围</w:t>
            </w:r>
          </w:p>
        </w:tc>
        <w:tc>
          <w:tcPr>
            <w:tcW w:w="911" w:type="pct"/>
            <w:gridSpan w:val="3"/>
            <w:vAlign w:val="center"/>
          </w:tcPr>
          <w:p w14:paraId="5A22CBA1">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边长≥50km□</w:t>
            </w:r>
          </w:p>
        </w:tc>
        <w:tc>
          <w:tcPr>
            <w:tcW w:w="1663" w:type="pct"/>
            <w:gridSpan w:val="4"/>
            <w:vAlign w:val="center"/>
          </w:tcPr>
          <w:p w14:paraId="21A92806">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边长5～50km□</w:t>
            </w:r>
          </w:p>
        </w:tc>
        <w:tc>
          <w:tcPr>
            <w:tcW w:w="1292" w:type="pct"/>
            <w:gridSpan w:val="5"/>
            <w:vAlign w:val="center"/>
          </w:tcPr>
          <w:p w14:paraId="72DC6D79">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边长=5km</w:t>
            </w:r>
            <w:r>
              <w:rPr>
                <w:rFonts w:hint="default"/>
                <w:color w:val="auto"/>
                <w:spacing w:val="-1"/>
                <w:kern w:val="0"/>
                <w:sz w:val="18"/>
                <w:szCs w:val="18"/>
                <w:highlight w:val="none"/>
              </w:rPr>
              <w:sym w:font="Wingdings 2" w:char="0052"/>
            </w:r>
          </w:p>
        </w:tc>
      </w:tr>
      <w:tr w14:paraId="3B364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continue"/>
            <w:vAlign w:val="center"/>
          </w:tcPr>
          <w:p w14:paraId="7C685C06">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p>
        </w:tc>
        <w:tc>
          <w:tcPr>
            <w:tcW w:w="676" w:type="pct"/>
            <w:vAlign w:val="center"/>
          </w:tcPr>
          <w:p w14:paraId="7F468084">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预测因子</w:t>
            </w:r>
          </w:p>
        </w:tc>
        <w:tc>
          <w:tcPr>
            <w:tcW w:w="2574" w:type="pct"/>
            <w:gridSpan w:val="7"/>
            <w:vAlign w:val="center"/>
          </w:tcPr>
          <w:p w14:paraId="3E578315">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预测因子（NMHC、NH</w:t>
            </w:r>
            <w:r>
              <w:rPr>
                <w:rFonts w:hint="default"/>
                <w:color w:val="auto"/>
                <w:kern w:val="0"/>
                <w:sz w:val="18"/>
                <w:szCs w:val="18"/>
                <w:highlight w:val="none"/>
                <w:vertAlign w:val="subscript"/>
              </w:rPr>
              <w:t>3</w:t>
            </w:r>
            <w:r>
              <w:rPr>
                <w:rFonts w:hint="eastAsia"/>
                <w:color w:val="auto"/>
                <w:kern w:val="0"/>
                <w:sz w:val="18"/>
                <w:szCs w:val="18"/>
                <w:highlight w:val="none"/>
              </w:rPr>
              <w:t>、</w:t>
            </w:r>
            <w:r>
              <w:rPr>
                <w:rFonts w:hint="default"/>
                <w:color w:val="auto"/>
                <w:kern w:val="0"/>
                <w:sz w:val="18"/>
                <w:szCs w:val="18"/>
                <w:highlight w:val="none"/>
              </w:rPr>
              <w:t>H</w:t>
            </w:r>
            <w:r>
              <w:rPr>
                <w:rFonts w:hint="default"/>
                <w:color w:val="auto"/>
                <w:kern w:val="0"/>
                <w:sz w:val="18"/>
                <w:szCs w:val="18"/>
                <w:highlight w:val="none"/>
                <w:vertAlign w:val="subscript"/>
              </w:rPr>
              <w:t>2</w:t>
            </w:r>
            <w:r>
              <w:rPr>
                <w:rFonts w:hint="default"/>
                <w:color w:val="auto"/>
                <w:kern w:val="0"/>
                <w:sz w:val="18"/>
                <w:szCs w:val="18"/>
                <w:highlight w:val="none"/>
              </w:rPr>
              <w:t>S）</w:t>
            </w:r>
          </w:p>
        </w:tc>
        <w:tc>
          <w:tcPr>
            <w:tcW w:w="1292" w:type="pct"/>
            <w:gridSpan w:val="5"/>
            <w:vAlign w:val="center"/>
          </w:tcPr>
          <w:p w14:paraId="1099DF9A">
            <w:pPr>
              <w:keepNext w:val="0"/>
              <w:keepLines w:val="0"/>
              <w:widowControl/>
              <w:suppressLineNumbers w:val="0"/>
              <w:spacing w:before="0" w:beforeAutospacing="0" w:after="0" w:afterAutospacing="0" w:line="240" w:lineRule="exact"/>
              <w:ind w:left="0" w:right="0" w:firstLine="0"/>
              <w:jc w:val="center"/>
              <w:rPr>
                <w:rFonts w:hint="default"/>
                <w:b/>
                <w:color w:val="auto"/>
                <w:kern w:val="0"/>
                <w:sz w:val="18"/>
                <w:szCs w:val="18"/>
                <w:highlight w:val="none"/>
              </w:rPr>
            </w:pPr>
            <w:r>
              <w:rPr>
                <w:rFonts w:hint="default"/>
                <w:color w:val="auto"/>
                <w:kern w:val="0"/>
                <w:sz w:val="18"/>
                <w:szCs w:val="18"/>
                <w:highlight w:val="none"/>
              </w:rPr>
              <w:t>包括二次PM2.5□</w:t>
            </w:r>
          </w:p>
          <w:p w14:paraId="3845484E">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不包括二次PM2.5</w:t>
            </w:r>
            <w:r>
              <w:rPr>
                <w:rFonts w:hint="default"/>
                <w:color w:val="auto"/>
                <w:spacing w:val="-1"/>
                <w:kern w:val="0"/>
                <w:sz w:val="18"/>
                <w:szCs w:val="18"/>
                <w:highlight w:val="none"/>
              </w:rPr>
              <w:sym w:font="Wingdings 2" w:char="0052"/>
            </w:r>
          </w:p>
        </w:tc>
      </w:tr>
      <w:tr w14:paraId="1186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continue"/>
            <w:vAlign w:val="center"/>
          </w:tcPr>
          <w:p w14:paraId="56C0F93B">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p>
        </w:tc>
        <w:tc>
          <w:tcPr>
            <w:tcW w:w="676" w:type="pct"/>
            <w:vAlign w:val="center"/>
          </w:tcPr>
          <w:p w14:paraId="7DE91988">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正常排放短期浓度贡献值</w:t>
            </w:r>
          </w:p>
        </w:tc>
        <w:tc>
          <w:tcPr>
            <w:tcW w:w="2574" w:type="pct"/>
            <w:gridSpan w:val="7"/>
            <w:vAlign w:val="center"/>
          </w:tcPr>
          <w:p w14:paraId="13946F18">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C</w:t>
            </w:r>
            <w:r>
              <w:rPr>
                <w:rFonts w:hint="default"/>
                <w:color w:val="auto"/>
                <w:kern w:val="0"/>
                <w:sz w:val="18"/>
                <w:szCs w:val="18"/>
                <w:highlight w:val="none"/>
                <w:vertAlign w:val="subscript"/>
              </w:rPr>
              <w:t>本项目</w:t>
            </w:r>
            <w:r>
              <w:rPr>
                <w:rFonts w:hint="default"/>
                <w:color w:val="auto"/>
                <w:kern w:val="0"/>
                <w:sz w:val="18"/>
                <w:szCs w:val="18"/>
                <w:highlight w:val="none"/>
              </w:rPr>
              <w:t>最大占标率≤100%</w:t>
            </w:r>
            <w:r>
              <w:rPr>
                <w:rFonts w:hint="default"/>
                <w:color w:val="auto"/>
                <w:spacing w:val="-1"/>
                <w:kern w:val="0"/>
                <w:sz w:val="18"/>
                <w:szCs w:val="18"/>
                <w:highlight w:val="none"/>
              </w:rPr>
              <w:sym w:font="Wingdings 2" w:char="0052"/>
            </w:r>
          </w:p>
        </w:tc>
        <w:tc>
          <w:tcPr>
            <w:tcW w:w="1292" w:type="pct"/>
            <w:gridSpan w:val="5"/>
            <w:vAlign w:val="center"/>
          </w:tcPr>
          <w:p w14:paraId="75C7A5FD">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C</w:t>
            </w:r>
            <w:r>
              <w:rPr>
                <w:rFonts w:hint="default"/>
                <w:color w:val="auto"/>
                <w:kern w:val="0"/>
                <w:sz w:val="18"/>
                <w:szCs w:val="18"/>
                <w:highlight w:val="none"/>
                <w:vertAlign w:val="subscript"/>
              </w:rPr>
              <w:t>本项目</w:t>
            </w:r>
            <w:r>
              <w:rPr>
                <w:rFonts w:hint="default"/>
                <w:color w:val="auto"/>
                <w:kern w:val="0"/>
                <w:sz w:val="18"/>
                <w:szCs w:val="18"/>
                <w:highlight w:val="none"/>
              </w:rPr>
              <w:t>最大占标率＞100%□</w:t>
            </w:r>
          </w:p>
        </w:tc>
      </w:tr>
      <w:tr w14:paraId="590E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continue"/>
            <w:vAlign w:val="center"/>
          </w:tcPr>
          <w:p w14:paraId="2924D60D">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p>
        </w:tc>
        <w:tc>
          <w:tcPr>
            <w:tcW w:w="676" w:type="pct"/>
            <w:vMerge w:val="restart"/>
            <w:vAlign w:val="center"/>
          </w:tcPr>
          <w:p w14:paraId="1BA310EA">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正常排放年均浓度贡献值</w:t>
            </w:r>
          </w:p>
        </w:tc>
        <w:tc>
          <w:tcPr>
            <w:tcW w:w="466" w:type="pct"/>
            <w:vAlign w:val="center"/>
          </w:tcPr>
          <w:p w14:paraId="2701DAF7">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一类区</w:t>
            </w:r>
          </w:p>
        </w:tc>
        <w:tc>
          <w:tcPr>
            <w:tcW w:w="2108" w:type="pct"/>
            <w:gridSpan w:val="6"/>
            <w:vAlign w:val="center"/>
          </w:tcPr>
          <w:p w14:paraId="0CF49C93">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C</w:t>
            </w:r>
            <w:r>
              <w:rPr>
                <w:rFonts w:hint="default"/>
                <w:color w:val="auto"/>
                <w:kern w:val="0"/>
                <w:sz w:val="18"/>
                <w:szCs w:val="18"/>
                <w:highlight w:val="none"/>
                <w:vertAlign w:val="subscript"/>
              </w:rPr>
              <w:t>本项目</w:t>
            </w:r>
            <w:r>
              <w:rPr>
                <w:rFonts w:hint="default"/>
                <w:color w:val="auto"/>
                <w:kern w:val="0"/>
                <w:sz w:val="18"/>
                <w:szCs w:val="18"/>
                <w:highlight w:val="none"/>
              </w:rPr>
              <w:t>最大占标率≤10%□</w:t>
            </w:r>
          </w:p>
        </w:tc>
        <w:tc>
          <w:tcPr>
            <w:tcW w:w="1292" w:type="pct"/>
            <w:gridSpan w:val="5"/>
            <w:vAlign w:val="center"/>
          </w:tcPr>
          <w:p w14:paraId="19817C16">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C</w:t>
            </w:r>
            <w:r>
              <w:rPr>
                <w:rFonts w:hint="default"/>
                <w:color w:val="auto"/>
                <w:kern w:val="0"/>
                <w:sz w:val="18"/>
                <w:szCs w:val="18"/>
                <w:highlight w:val="none"/>
                <w:vertAlign w:val="subscript"/>
              </w:rPr>
              <w:t>本项目</w:t>
            </w:r>
            <w:r>
              <w:rPr>
                <w:rFonts w:hint="default"/>
                <w:color w:val="auto"/>
                <w:kern w:val="0"/>
                <w:sz w:val="18"/>
                <w:szCs w:val="18"/>
                <w:highlight w:val="none"/>
              </w:rPr>
              <w:t>最大占标率＞10%□</w:t>
            </w:r>
          </w:p>
        </w:tc>
      </w:tr>
      <w:tr w14:paraId="6553F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continue"/>
            <w:vAlign w:val="center"/>
          </w:tcPr>
          <w:p w14:paraId="6D5D3466">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p>
        </w:tc>
        <w:tc>
          <w:tcPr>
            <w:tcW w:w="676" w:type="pct"/>
            <w:vMerge w:val="continue"/>
            <w:vAlign w:val="center"/>
          </w:tcPr>
          <w:p w14:paraId="733D7AFD">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p>
        </w:tc>
        <w:tc>
          <w:tcPr>
            <w:tcW w:w="466" w:type="pct"/>
            <w:vAlign w:val="center"/>
          </w:tcPr>
          <w:p w14:paraId="550A0B10">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二类区</w:t>
            </w:r>
          </w:p>
        </w:tc>
        <w:tc>
          <w:tcPr>
            <w:tcW w:w="2108" w:type="pct"/>
            <w:gridSpan w:val="6"/>
            <w:vAlign w:val="center"/>
          </w:tcPr>
          <w:p w14:paraId="72D95D94">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C</w:t>
            </w:r>
            <w:r>
              <w:rPr>
                <w:rFonts w:hint="default"/>
                <w:color w:val="auto"/>
                <w:kern w:val="0"/>
                <w:sz w:val="18"/>
                <w:szCs w:val="18"/>
                <w:highlight w:val="none"/>
                <w:vertAlign w:val="subscript"/>
              </w:rPr>
              <w:t>本项目</w:t>
            </w:r>
            <w:r>
              <w:rPr>
                <w:rFonts w:hint="default"/>
                <w:color w:val="auto"/>
                <w:kern w:val="0"/>
                <w:sz w:val="18"/>
                <w:szCs w:val="18"/>
                <w:highlight w:val="none"/>
              </w:rPr>
              <w:t>最大占标率≤30%□</w:t>
            </w:r>
          </w:p>
        </w:tc>
        <w:tc>
          <w:tcPr>
            <w:tcW w:w="1292" w:type="pct"/>
            <w:gridSpan w:val="5"/>
            <w:vAlign w:val="center"/>
          </w:tcPr>
          <w:p w14:paraId="3C3BC4BD">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C</w:t>
            </w:r>
            <w:r>
              <w:rPr>
                <w:rFonts w:hint="default"/>
                <w:color w:val="auto"/>
                <w:kern w:val="0"/>
                <w:sz w:val="18"/>
                <w:szCs w:val="18"/>
                <w:highlight w:val="none"/>
                <w:vertAlign w:val="subscript"/>
              </w:rPr>
              <w:t>本项目</w:t>
            </w:r>
            <w:r>
              <w:rPr>
                <w:rFonts w:hint="default"/>
                <w:color w:val="auto"/>
                <w:kern w:val="0"/>
                <w:sz w:val="18"/>
                <w:szCs w:val="18"/>
                <w:highlight w:val="none"/>
              </w:rPr>
              <w:t>最大占标率＞30%□</w:t>
            </w:r>
          </w:p>
        </w:tc>
      </w:tr>
      <w:tr w14:paraId="69EB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continue"/>
            <w:vAlign w:val="center"/>
          </w:tcPr>
          <w:p w14:paraId="13C4426F">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p>
        </w:tc>
        <w:tc>
          <w:tcPr>
            <w:tcW w:w="676" w:type="pct"/>
            <w:vAlign w:val="center"/>
          </w:tcPr>
          <w:p w14:paraId="518B2DE7">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非正常排放1h浓度贡献值</w:t>
            </w:r>
          </w:p>
        </w:tc>
        <w:tc>
          <w:tcPr>
            <w:tcW w:w="911" w:type="pct"/>
            <w:gridSpan w:val="3"/>
            <w:vAlign w:val="center"/>
          </w:tcPr>
          <w:p w14:paraId="0FA77B0E">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非正常持续时长（）h</w:t>
            </w:r>
          </w:p>
        </w:tc>
        <w:tc>
          <w:tcPr>
            <w:tcW w:w="1663" w:type="pct"/>
            <w:gridSpan w:val="4"/>
            <w:vAlign w:val="center"/>
          </w:tcPr>
          <w:p w14:paraId="46077490">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c</w:t>
            </w:r>
            <w:r>
              <w:rPr>
                <w:rFonts w:hint="default"/>
                <w:color w:val="auto"/>
                <w:kern w:val="0"/>
                <w:sz w:val="18"/>
                <w:szCs w:val="18"/>
                <w:highlight w:val="none"/>
                <w:vertAlign w:val="subscript"/>
              </w:rPr>
              <w:t>非正常</w:t>
            </w:r>
            <w:r>
              <w:rPr>
                <w:rFonts w:hint="default"/>
                <w:color w:val="auto"/>
                <w:kern w:val="0"/>
                <w:sz w:val="18"/>
                <w:szCs w:val="18"/>
                <w:highlight w:val="none"/>
              </w:rPr>
              <w:t>占标率≤100%□</w:t>
            </w:r>
          </w:p>
        </w:tc>
        <w:tc>
          <w:tcPr>
            <w:tcW w:w="1292" w:type="pct"/>
            <w:gridSpan w:val="5"/>
            <w:vAlign w:val="center"/>
          </w:tcPr>
          <w:p w14:paraId="1CA20779">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c</w:t>
            </w:r>
            <w:r>
              <w:rPr>
                <w:rFonts w:hint="default"/>
                <w:color w:val="auto"/>
                <w:kern w:val="0"/>
                <w:sz w:val="18"/>
                <w:szCs w:val="18"/>
                <w:highlight w:val="none"/>
                <w:vertAlign w:val="subscript"/>
              </w:rPr>
              <w:t>非正常</w:t>
            </w:r>
            <w:r>
              <w:rPr>
                <w:rFonts w:hint="default"/>
                <w:color w:val="auto"/>
                <w:kern w:val="0"/>
                <w:sz w:val="18"/>
                <w:szCs w:val="18"/>
                <w:highlight w:val="none"/>
              </w:rPr>
              <w:t>占标率＞100%□</w:t>
            </w:r>
          </w:p>
        </w:tc>
      </w:tr>
      <w:tr w14:paraId="5304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continue"/>
            <w:vAlign w:val="center"/>
          </w:tcPr>
          <w:p w14:paraId="12EBA2C0">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p>
        </w:tc>
        <w:tc>
          <w:tcPr>
            <w:tcW w:w="676" w:type="pct"/>
            <w:vAlign w:val="center"/>
          </w:tcPr>
          <w:p w14:paraId="3E0C59B6">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保证率日平均浓度和年平均浓度叠加值</w:t>
            </w:r>
          </w:p>
        </w:tc>
        <w:tc>
          <w:tcPr>
            <w:tcW w:w="2574" w:type="pct"/>
            <w:gridSpan w:val="7"/>
            <w:vAlign w:val="center"/>
          </w:tcPr>
          <w:p w14:paraId="3049D20A">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C</w:t>
            </w:r>
            <w:r>
              <w:rPr>
                <w:rFonts w:hint="default"/>
                <w:color w:val="auto"/>
                <w:kern w:val="0"/>
                <w:sz w:val="18"/>
                <w:szCs w:val="18"/>
                <w:highlight w:val="none"/>
                <w:vertAlign w:val="subscript"/>
              </w:rPr>
              <w:t>叠加</w:t>
            </w:r>
            <w:r>
              <w:rPr>
                <w:rFonts w:hint="default"/>
                <w:color w:val="auto"/>
                <w:kern w:val="0"/>
                <w:sz w:val="18"/>
                <w:szCs w:val="18"/>
                <w:highlight w:val="none"/>
              </w:rPr>
              <w:t>达标□</w:t>
            </w:r>
          </w:p>
        </w:tc>
        <w:tc>
          <w:tcPr>
            <w:tcW w:w="1292" w:type="pct"/>
            <w:gridSpan w:val="5"/>
            <w:vAlign w:val="center"/>
          </w:tcPr>
          <w:p w14:paraId="09F8C311">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C</w:t>
            </w:r>
            <w:r>
              <w:rPr>
                <w:rFonts w:hint="default"/>
                <w:color w:val="auto"/>
                <w:kern w:val="0"/>
                <w:sz w:val="18"/>
                <w:szCs w:val="18"/>
                <w:highlight w:val="none"/>
                <w:vertAlign w:val="subscript"/>
              </w:rPr>
              <w:t>叠加</w:t>
            </w:r>
            <w:r>
              <w:rPr>
                <w:rFonts w:hint="default"/>
                <w:color w:val="auto"/>
                <w:kern w:val="0"/>
                <w:sz w:val="18"/>
                <w:szCs w:val="18"/>
                <w:highlight w:val="none"/>
              </w:rPr>
              <w:t>不达标□</w:t>
            </w:r>
          </w:p>
        </w:tc>
      </w:tr>
      <w:tr w14:paraId="5018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continue"/>
            <w:vAlign w:val="center"/>
          </w:tcPr>
          <w:p w14:paraId="79E920FD">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p>
        </w:tc>
        <w:tc>
          <w:tcPr>
            <w:tcW w:w="676" w:type="pct"/>
            <w:vAlign w:val="center"/>
          </w:tcPr>
          <w:p w14:paraId="29E63EA5">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区域环境质量的整体变化情况</w:t>
            </w:r>
          </w:p>
        </w:tc>
        <w:tc>
          <w:tcPr>
            <w:tcW w:w="2574" w:type="pct"/>
            <w:gridSpan w:val="7"/>
            <w:vAlign w:val="center"/>
          </w:tcPr>
          <w:p w14:paraId="1FDC1410">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k≤-20%□</w:t>
            </w:r>
          </w:p>
        </w:tc>
        <w:tc>
          <w:tcPr>
            <w:tcW w:w="1292" w:type="pct"/>
            <w:gridSpan w:val="5"/>
            <w:vAlign w:val="center"/>
          </w:tcPr>
          <w:p w14:paraId="7A6F9C09">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k</w:t>
            </w:r>
            <w:r>
              <w:rPr>
                <w:rFonts w:hint="eastAsia"/>
                <w:color w:val="auto"/>
                <w:kern w:val="0"/>
                <w:sz w:val="18"/>
                <w:szCs w:val="18"/>
                <w:highlight w:val="none"/>
                <w:lang w:eastAsia="zh-CN"/>
              </w:rPr>
              <w:t>&gt;</w:t>
            </w:r>
            <w:r>
              <w:rPr>
                <w:rFonts w:hint="default"/>
                <w:color w:val="auto"/>
                <w:kern w:val="0"/>
                <w:sz w:val="18"/>
                <w:szCs w:val="18"/>
                <w:highlight w:val="none"/>
              </w:rPr>
              <w:t>-20%□</w:t>
            </w:r>
          </w:p>
        </w:tc>
      </w:tr>
      <w:tr w14:paraId="0E44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restart"/>
            <w:vAlign w:val="center"/>
          </w:tcPr>
          <w:p w14:paraId="3F4DA7CE">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环境监测计划</w:t>
            </w:r>
          </w:p>
        </w:tc>
        <w:tc>
          <w:tcPr>
            <w:tcW w:w="676" w:type="pct"/>
            <w:vAlign w:val="center"/>
          </w:tcPr>
          <w:p w14:paraId="00813C00">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污染源监测</w:t>
            </w:r>
          </w:p>
        </w:tc>
        <w:tc>
          <w:tcPr>
            <w:tcW w:w="1630" w:type="pct"/>
            <w:gridSpan w:val="5"/>
            <w:vAlign w:val="center"/>
          </w:tcPr>
          <w:p w14:paraId="24D3CF25">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监测因子：（NMHC、NH</w:t>
            </w:r>
            <w:r>
              <w:rPr>
                <w:rFonts w:hint="default"/>
                <w:color w:val="auto"/>
                <w:kern w:val="0"/>
                <w:sz w:val="18"/>
                <w:szCs w:val="18"/>
                <w:highlight w:val="none"/>
                <w:vertAlign w:val="subscript"/>
              </w:rPr>
              <w:t>3</w:t>
            </w:r>
            <w:r>
              <w:rPr>
                <w:rFonts w:hint="eastAsia"/>
                <w:color w:val="auto"/>
                <w:kern w:val="0"/>
                <w:sz w:val="18"/>
                <w:szCs w:val="18"/>
                <w:highlight w:val="none"/>
              </w:rPr>
              <w:t>、</w:t>
            </w:r>
            <w:r>
              <w:rPr>
                <w:rFonts w:hint="default"/>
                <w:color w:val="auto"/>
                <w:kern w:val="0"/>
                <w:sz w:val="18"/>
                <w:szCs w:val="18"/>
                <w:highlight w:val="none"/>
              </w:rPr>
              <w:t>H</w:t>
            </w:r>
            <w:r>
              <w:rPr>
                <w:rFonts w:hint="default"/>
                <w:color w:val="auto"/>
                <w:kern w:val="0"/>
                <w:sz w:val="18"/>
                <w:szCs w:val="18"/>
                <w:highlight w:val="none"/>
                <w:vertAlign w:val="subscript"/>
              </w:rPr>
              <w:t>2</w:t>
            </w:r>
            <w:r>
              <w:rPr>
                <w:rFonts w:hint="default"/>
                <w:color w:val="auto"/>
                <w:kern w:val="0"/>
                <w:sz w:val="18"/>
                <w:szCs w:val="18"/>
                <w:highlight w:val="none"/>
              </w:rPr>
              <w:t>S）</w:t>
            </w:r>
          </w:p>
        </w:tc>
        <w:tc>
          <w:tcPr>
            <w:tcW w:w="1278" w:type="pct"/>
            <w:gridSpan w:val="3"/>
            <w:vAlign w:val="center"/>
          </w:tcPr>
          <w:p w14:paraId="1217D1D1">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有组织废气监测□</w:t>
            </w:r>
          </w:p>
          <w:p w14:paraId="7AD5DC6E">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无组织废气监测</w:t>
            </w:r>
            <w:r>
              <w:rPr>
                <w:rFonts w:hint="default"/>
                <w:color w:val="auto"/>
                <w:spacing w:val="-1"/>
                <w:kern w:val="0"/>
                <w:sz w:val="18"/>
                <w:szCs w:val="18"/>
                <w:highlight w:val="none"/>
              </w:rPr>
              <w:sym w:font="Wingdings 2" w:char="0052"/>
            </w:r>
          </w:p>
        </w:tc>
        <w:tc>
          <w:tcPr>
            <w:tcW w:w="957" w:type="pct"/>
            <w:gridSpan w:val="4"/>
            <w:vAlign w:val="center"/>
          </w:tcPr>
          <w:p w14:paraId="6D0CAD74">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无监测□</w:t>
            </w:r>
          </w:p>
        </w:tc>
      </w:tr>
      <w:tr w14:paraId="6420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continue"/>
            <w:vAlign w:val="center"/>
          </w:tcPr>
          <w:p w14:paraId="477E0227">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p>
        </w:tc>
        <w:tc>
          <w:tcPr>
            <w:tcW w:w="676" w:type="pct"/>
            <w:vAlign w:val="center"/>
          </w:tcPr>
          <w:p w14:paraId="5885C732">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环境质量监测</w:t>
            </w:r>
          </w:p>
        </w:tc>
        <w:tc>
          <w:tcPr>
            <w:tcW w:w="1630" w:type="pct"/>
            <w:gridSpan w:val="5"/>
            <w:vAlign w:val="center"/>
          </w:tcPr>
          <w:p w14:paraId="4D4A8288">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监测因子：（）</w:t>
            </w:r>
          </w:p>
        </w:tc>
        <w:tc>
          <w:tcPr>
            <w:tcW w:w="1278" w:type="pct"/>
            <w:gridSpan w:val="3"/>
            <w:vAlign w:val="center"/>
          </w:tcPr>
          <w:p w14:paraId="0B682A43">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监测点位数（）</w:t>
            </w:r>
          </w:p>
        </w:tc>
        <w:tc>
          <w:tcPr>
            <w:tcW w:w="957" w:type="pct"/>
            <w:gridSpan w:val="4"/>
            <w:vAlign w:val="center"/>
          </w:tcPr>
          <w:p w14:paraId="72DD2360">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无监测□</w:t>
            </w:r>
          </w:p>
        </w:tc>
      </w:tr>
      <w:tr w14:paraId="7A90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restart"/>
            <w:vAlign w:val="center"/>
          </w:tcPr>
          <w:p w14:paraId="46193020">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评价结论</w:t>
            </w:r>
          </w:p>
        </w:tc>
        <w:tc>
          <w:tcPr>
            <w:tcW w:w="676" w:type="pct"/>
            <w:vAlign w:val="center"/>
          </w:tcPr>
          <w:p w14:paraId="56DC774B">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环境影响</w:t>
            </w:r>
          </w:p>
        </w:tc>
        <w:tc>
          <w:tcPr>
            <w:tcW w:w="3866" w:type="pct"/>
            <w:gridSpan w:val="12"/>
            <w:vAlign w:val="center"/>
          </w:tcPr>
          <w:p w14:paraId="505C9DD4">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可以接受</w:t>
            </w:r>
            <w:r>
              <w:rPr>
                <w:rFonts w:hint="default"/>
                <w:color w:val="auto"/>
                <w:spacing w:val="-1"/>
                <w:kern w:val="0"/>
                <w:sz w:val="18"/>
                <w:szCs w:val="18"/>
                <w:highlight w:val="none"/>
              </w:rPr>
              <w:sym w:font="Wingdings 2" w:char="0052"/>
            </w:r>
            <w:r>
              <w:rPr>
                <w:rFonts w:hint="default"/>
                <w:color w:val="auto"/>
                <w:kern w:val="0"/>
                <w:sz w:val="18"/>
                <w:szCs w:val="18"/>
                <w:highlight w:val="none"/>
              </w:rPr>
              <w:t xml:space="preserve">     不可以接受□</w:t>
            </w:r>
          </w:p>
        </w:tc>
      </w:tr>
      <w:tr w14:paraId="7A95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continue"/>
            <w:vAlign w:val="center"/>
          </w:tcPr>
          <w:p w14:paraId="15598F0A">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p>
        </w:tc>
        <w:tc>
          <w:tcPr>
            <w:tcW w:w="676" w:type="pct"/>
            <w:vAlign w:val="center"/>
          </w:tcPr>
          <w:p w14:paraId="0FE7DB14">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大气环境防护距离</w:t>
            </w:r>
          </w:p>
        </w:tc>
        <w:tc>
          <w:tcPr>
            <w:tcW w:w="3866" w:type="pct"/>
            <w:gridSpan w:val="12"/>
            <w:vAlign w:val="center"/>
          </w:tcPr>
          <w:p w14:paraId="5E6D6B6B">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距厂界最远（0）m</w:t>
            </w:r>
          </w:p>
        </w:tc>
      </w:tr>
      <w:tr w14:paraId="3DB2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pct"/>
            <w:vMerge w:val="continue"/>
            <w:vAlign w:val="center"/>
          </w:tcPr>
          <w:p w14:paraId="6F69681A">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p>
        </w:tc>
        <w:tc>
          <w:tcPr>
            <w:tcW w:w="676" w:type="pct"/>
            <w:vAlign w:val="center"/>
          </w:tcPr>
          <w:p w14:paraId="32D16BF2">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污染源</w:t>
            </w:r>
          </w:p>
          <w:p w14:paraId="1BF9E269">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年排放量</w:t>
            </w:r>
          </w:p>
        </w:tc>
        <w:tc>
          <w:tcPr>
            <w:tcW w:w="693" w:type="pct"/>
            <w:gridSpan w:val="2"/>
            <w:vAlign w:val="center"/>
          </w:tcPr>
          <w:p w14:paraId="43AF46F0">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SO</w:t>
            </w:r>
            <w:r>
              <w:rPr>
                <w:rFonts w:hint="default"/>
                <w:color w:val="auto"/>
                <w:kern w:val="0"/>
                <w:sz w:val="18"/>
                <w:szCs w:val="18"/>
                <w:highlight w:val="none"/>
                <w:vertAlign w:val="subscript"/>
              </w:rPr>
              <w:t>2</w:t>
            </w:r>
            <w:r>
              <w:rPr>
                <w:rFonts w:hint="default"/>
                <w:color w:val="auto"/>
                <w:kern w:val="0"/>
                <w:sz w:val="18"/>
                <w:szCs w:val="18"/>
                <w:highlight w:val="none"/>
              </w:rPr>
              <w:t>：（）t/a</w:t>
            </w:r>
          </w:p>
        </w:tc>
        <w:tc>
          <w:tcPr>
            <w:tcW w:w="937" w:type="pct"/>
            <w:gridSpan w:val="3"/>
            <w:vAlign w:val="center"/>
          </w:tcPr>
          <w:p w14:paraId="3C415AB6">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NO</w:t>
            </w:r>
            <w:r>
              <w:rPr>
                <w:rFonts w:hint="default"/>
                <w:color w:val="auto"/>
                <w:kern w:val="0"/>
                <w:sz w:val="18"/>
                <w:szCs w:val="18"/>
                <w:highlight w:val="none"/>
                <w:vertAlign w:val="subscript"/>
              </w:rPr>
              <w:t>x</w:t>
            </w:r>
            <w:r>
              <w:rPr>
                <w:rFonts w:hint="default"/>
                <w:color w:val="auto"/>
                <w:kern w:val="0"/>
                <w:sz w:val="18"/>
                <w:szCs w:val="18"/>
                <w:highlight w:val="none"/>
              </w:rPr>
              <w:t>：（）t/a</w:t>
            </w:r>
          </w:p>
        </w:tc>
        <w:tc>
          <w:tcPr>
            <w:tcW w:w="943" w:type="pct"/>
            <w:gridSpan w:val="2"/>
            <w:vAlign w:val="center"/>
          </w:tcPr>
          <w:p w14:paraId="0C81733E">
            <w:pPr>
              <w:keepNext w:val="0"/>
              <w:keepLines w:val="0"/>
              <w:widowControl/>
              <w:suppressLineNumbers w:val="0"/>
              <w:spacing w:before="0" w:beforeAutospacing="0" w:after="0" w:afterAutospacing="0" w:line="240" w:lineRule="exact"/>
              <w:ind w:left="0" w:right="0" w:firstLine="0"/>
              <w:jc w:val="center"/>
              <w:rPr>
                <w:rFonts w:hint="default"/>
                <w:color w:val="auto"/>
                <w:kern w:val="0"/>
                <w:sz w:val="18"/>
                <w:szCs w:val="18"/>
                <w:highlight w:val="none"/>
              </w:rPr>
            </w:pPr>
            <w:r>
              <w:rPr>
                <w:rFonts w:hint="default"/>
                <w:color w:val="auto"/>
                <w:kern w:val="0"/>
                <w:sz w:val="18"/>
                <w:szCs w:val="18"/>
                <w:highlight w:val="none"/>
              </w:rPr>
              <w:t>颗粒物：（）t/a</w:t>
            </w:r>
          </w:p>
        </w:tc>
        <w:tc>
          <w:tcPr>
            <w:tcW w:w="1292" w:type="pct"/>
            <w:gridSpan w:val="5"/>
            <w:vAlign w:val="center"/>
          </w:tcPr>
          <w:p w14:paraId="5E2C7114">
            <w:pPr>
              <w:keepNext w:val="0"/>
              <w:keepLines w:val="0"/>
              <w:suppressLineNumbers w:val="0"/>
              <w:spacing w:before="0" w:beforeAutospacing="0" w:after="0" w:afterAutospacing="0" w:line="300" w:lineRule="exact"/>
              <w:ind w:left="0" w:right="0" w:firstLine="0"/>
              <w:jc w:val="center"/>
              <w:textAlignment w:val="center"/>
              <w:rPr>
                <w:rFonts w:hint="default"/>
                <w:color w:val="auto"/>
                <w:sz w:val="18"/>
                <w:szCs w:val="18"/>
                <w:highlight w:val="none"/>
              </w:rPr>
            </w:pPr>
            <w:r>
              <w:rPr>
                <w:rFonts w:hint="default"/>
                <w:color w:val="auto"/>
                <w:sz w:val="18"/>
                <w:szCs w:val="18"/>
                <w:highlight w:val="none"/>
              </w:rPr>
              <w:t>VOCs：（0.04</w:t>
            </w:r>
            <w:r>
              <w:rPr>
                <w:rFonts w:hint="eastAsia"/>
                <w:color w:val="auto"/>
                <w:sz w:val="18"/>
                <w:szCs w:val="18"/>
                <w:highlight w:val="none"/>
                <w:lang w:val="en-US" w:eastAsia="zh-CN"/>
              </w:rPr>
              <w:t>6)</w:t>
            </w:r>
            <w:r>
              <w:rPr>
                <w:rFonts w:hint="default"/>
                <w:color w:val="auto"/>
                <w:sz w:val="18"/>
                <w:szCs w:val="18"/>
                <w:highlight w:val="none"/>
              </w:rPr>
              <w:t>t/a</w:t>
            </w:r>
          </w:p>
          <w:p w14:paraId="429A0A54">
            <w:pPr>
              <w:keepNext w:val="0"/>
              <w:keepLines w:val="0"/>
              <w:widowControl/>
              <w:suppressLineNumbers w:val="0"/>
              <w:spacing w:before="0" w:beforeAutospacing="0" w:after="0" w:afterAutospacing="0" w:line="240" w:lineRule="exact"/>
              <w:ind w:left="0" w:right="0" w:firstLine="0"/>
              <w:jc w:val="center"/>
              <w:rPr>
                <w:rFonts w:hint="default"/>
                <w:color w:val="auto"/>
                <w:sz w:val="18"/>
                <w:szCs w:val="18"/>
                <w:highlight w:val="none"/>
              </w:rPr>
            </w:pPr>
            <w:r>
              <w:rPr>
                <w:rFonts w:hint="default"/>
                <w:color w:val="auto"/>
                <w:kern w:val="0"/>
                <w:sz w:val="18"/>
                <w:szCs w:val="18"/>
                <w:highlight w:val="none"/>
              </w:rPr>
              <w:t>H</w:t>
            </w:r>
            <w:r>
              <w:rPr>
                <w:rFonts w:hint="default"/>
                <w:color w:val="auto"/>
                <w:kern w:val="0"/>
                <w:sz w:val="18"/>
                <w:szCs w:val="18"/>
                <w:highlight w:val="none"/>
                <w:vertAlign w:val="subscript"/>
              </w:rPr>
              <w:t>2</w:t>
            </w:r>
            <w:r>
              <w:rPr>
                <w:rFonts w:hint="default"/>
                <w:color w:val="auto"/>
                <w:kern w:val="0"/>
                <w:sz w:val="18"/>
                <w:szCs w:val="18"/>
                <w:highlight w:val="none"/>
              </w:rPr>
              <w:t>S</w:t>
            </w:r>
            <w:r>
              <w:rPr>
                <w:rFonts w:hint="default"/>
                <w:color w:val="auto"/>
                <w:sz w:val="18"/>
                <w:szCs w:val="18"/>
                <w:highlight w:val="none"/>
              </w:rPr>
              <w:t>:（0.000</w:t>
            </w:r>
            <w:r>
              <w:rPr>
                <w:rFonts w:hint="eastAsia"/>
                <w:color w:val="auto"/>
                <w:sz w:val="18"/>
                <w:szCs w:val="18"/>
                <w:highlight w:val="none"/>
                <w:lang w:val="en-US" w:eastAsia="zh-CN"/>
              </w:rPr>
              <w:t>1)</w:t>
            </w:r>
            <w:r>
              <w:rPr>
                <w:rFonts w:hint="default"/>
                <w:color w:val="auto"/>
                <w:sz w:val="18"/>
                <w:szCs w:val="18"/>
                <w:highlight w:val="none"/>
              </w:rPr>
              <w:t>t/a</w:t>
            </w:r>
          </w:p>
          <w:p w14:paraId="625B53A7">
            <w:pPr>
              <w:keepNext w:val="0"/>
              <w:keepLines w:val="0"/>
              <w:widowControl/>
              <w:suppressLineNumbers w:val="0"/>
              <w:spacing w:before="0" w:beforeAutospacing="0" w:after="0" w:afterAutospacing="0" w:line="240" w:lineRule="exact"/>
              <w:ind w:left="0" w:right="0" w:firstLine="0"/>
              <w:jc w:val="center"/>
              <w:rPr>
                <w:rFonts w:hint="default"/>
                <w:color w:val="auto"/>
                <w:sz w:val="18"/>
                <w:szCs w:val="18"/>
                <w:highlight w:val="none"/>
              </w:rPr>
            </w:pPr>
            <w:r>
              <w:rPr>
                <w:rFonts w:hint="default"/>
                <w:color w:val="auto"/>
                <w:kern w:val="0"/>
                <w:sz w:val="18"/>
                <w:szCs w:val="18"/>
                <w:highlight w:val="none"/>
              </w:rPr>
              <w:t>NH</w:t>
            </w:r>
            <w:r>
              <w:rPr>
                <w:rFonts w:hint="default"/>
                <w:color w:val="auto"/>
                <w:kern w:val="0"/>
                <w:sz w:val="18"/>
                <w:szCs w:val="18"/>
                <w:highlight w:val="none"/>
                <w:vertAlign w:val="subscript"/>
              </w:rPr>
              <w:t>3</w:t>
            </w:r>
            <w:r>
              <w:rPr>
                <w:rFonts w:hint="default"/>
                <w:color w:val="auto"/>
                <w:sz w:val="18"/>
                <w:szCs w:val="18"/>
                <w:highlight w:val="none"/>
              </w:rPr>
              <w:t>:（0.00</w:t>
            </w:r>
            <w:r>
              <w:rPr>
                <w:rFonts w:hint="eastAsia"/>
                <w:color w:val="auto"/>
                <w:sz w:val="18"/>
                <w:szCs w:val="18"/>
                <w:highlight w:val="none"/>
                <w:lang w:val="en-US" w:eastAsia="zh-CN"/>
              </w:rPr>
              <w:t>19)</w:t>
            </w:r>
            <w:r>
              <w:rPr>
                <w:rFonts w:hint="default"/>
                <w:color w:val="auto"/>
                <w:sz w:val="18"/>
                <w:szCs w:val="18"/>
                <w:highlight w:val="none"/>
              </w:rPr>
              <w:t>t/a</w:t>
            </w:r>
          </w:p>
        </w:tc>
      </w:tr>
    </w:tbl>
    <w:p w14:paraId="3B69B3D8">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74" w:name="_Toc14689"/>
      <w:bookmarkStart w:id="275" w:name="_Toc135735454"/>
      <w:r>
        <w:rPr>
          <w:rFonts w:hint="eastAsia" w:ascii="Times New Roman" w:hAnsi="Times New Roman" w:eastAsia="黑体" w:cs="Times New Roman"/>
          <w:bCs/>
          <w:color w:val="auto"/>
          <w:spacing w:val="0"/>
          <w:w w:val="100"/>
          <w:kern w:val="28"/>
          <w:sz w:val="30"/>
          <w:szCs w:val="30"/>
          <w:highlight w:val="none"/>
          <w:lang w:val="en-US" w:eastAsia="zh-CN" w:bidi="ar-SA"/>
        </w:rPr>
        <w:t>地表水环境影响预测与评价</w:t>
      </w:r>
      <w:bookmarkEnd w:id="274"/>
    </w:p>
    <w:bookmarkEnd w:id="275"/>
    <w:p w14:paraId="6365AC93">
      <w:pPr>
        <w:ind w:firstLine="480" w:firstLineChars="200"/>
        <w:rPr>
          <w:color w:val="auto"/>
          <w:highlight w:val="none"/>
        </w:rPr>
      </w:pPr>
      <w:r>
        <w:rPr>
          <w:rFonts w:hint="eastAsia"/>
          <w:color w:val="auto"/>
          <w:highlight w:val="none"/>
        </w:rPr>
        <w:t>按照《环境影响评价技术导则</w:t>
      </w:r>
      <w:r>
        <w:rPr>
          <w:rFonts w:hint="eastAsia" w:ascii="Times New Roman" w:eastAsia="宋体"/>
          <w:color w:val="auto"/>
          <w:highlight w:val="none"/>
          <w:lang w:val="en-US" w:eastAsia="zh-CN"/>
        </w:rPr>
        <w:t xml:space="preserve"> </w:t>
      </w:r>
      <w:r>
        <w:rPr>
          <w:rFonts w:hint="eastAsia"/>
          <w:color w:val="auto"/>
          <w:highlight w:val="none"/>
        </w:rPr>
        <w:t>地表水环境》（HJ2.3-2018）中表1水污染影响型建设项目评价等级判定，判定本项目地表水环境评价等级为三级B。重点论证项目废水综合利用不外排的可行性和可靠性。</w:t>
      </w:r>
    </w:p>
    <w:p w14:paraId="3626F38C">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施工期水环境影响分析</w:t>
      </w:r>
    </w:p>
    <w:p w14:paraId="1C4A85C1">
      <w:pPr>
        <w:ind w:firstLine="480" w:firstLineChars="200"/>
        <w:rPr>
          <w:color w:val="auto"/>
          <w:szCs w:val="22"/>
          <w:highlight w:val="none"/>
        </w:rPr>
      </w:pPr>
      <w:r>
        <w:rPr>
          <w:rFonts w:hint="eastAsia"/>
          <w:color w:val="auto"/>
          <w:highlight w:val="none"/>
        </w:rPr>
        <w:t>精河</w:t>
      </w:r>
      <w:r>
        <w:rPr>
          <w:color w:val="auto"/>
          <w:szCs w:val="22"/>
          <w:highlight w:val="none"/>
        </w:rPr>
        <w:t>机场施工期废水主要为施工机械跑、冒、滴、漏和施工机械洗涤或被雨水冲刷后排放一定量的含油污水。施工过程中会产生少量的泥浆水等生产废水，主要污染物是</w:t>
      </w:r>
      <w:r>
        <w:rPr>
          <w:rFonts w:eastAsia="Times New Roman"/>
          <w:color w:val="auto"/>
          <w:szCs w:val="22"/>
          <w:highlight w:val="none"/>
        </w:rPr>
        <w:t>SS</w:t>
      </w:r>
      <w:r>
        <w:rPr>
          <w:color w:val="auto"/>
          <w:szCs w:val="22"/>
          <w:highlight w:val="none"/>
        </w:rPr>
        <w:t>，施工场地修建沉淀池，将排水引入沉淀池内沉淀后上层清水可用于施工现场降尘、车辆清洗等作业冲洗砂石料、混凝土搅拌及输送设备的冲洗废水可进入沉淀池循环使用不外排。</w:t>
      </w:r>
    </w:p>
    <w:p w14:paraId="3990E496">
      <w:pPr>
        <w:widowControl/>
        <w:ind w:firstLine="480" w:firstLineChars="200"/>
        <w:rPr>
          <w:color w:val="auto"/>
          <w:szCs w:val="22"/>
          <w:highlight w:val="none"/>
        </w:rPr>
      </w:pPr>
      <w:r>
        <w:rPr>
          <w:color w:val="auto"/>
          <w:szCs w:val="22"/>
          <w:highlight w:val="none"/>
        </w:rPr>
        <w:t>此外，由于建设期间将需要大量的施工人员，在施工期间，施工人员的日常生活将产生一定量的生活污水。生活污水主要含有</w:t>
      </w:r>
      <w:r>
        <w:rPr>
          <w:rFonts w:eastAsia="Times New Roman"/>
          <w:color w:val="auto"/>
          <w:szCs w:val="22"/>
          <w:highlight w:val="none"/>
        </w:rPr>
        <w:t>COD</w:t>
      </w:r>
      <w:r>
        <w:rPr>
          <w:color w:val="auto"/>
          <w:szCs w:val="22"/>
          <w:highlight w:val="none"/>
        </w:rPr>
        <w:t>、</w:t>
      </w:r>
      <w:r>
        <w:rPr>
          <w:rFonts w:eastAsia="Times New Roman"/>
          <w:color w:val="auto"/>
          <w:szCs w:val="22"/>
          <w:highlight w:val="none"/>
        </w:rPr>
        <w:t>BOD</w:t>
      </w:r>
      <w:r>
        <w:rPr>
          <w:rFonts w:hint="eastAsia" w:eastAsia="宋体"/>
          <w:color w:val="auto"/>
          <w:szCs w:val="22"/>
          <w:highlight w:val="none"/>
          <w:vertAlign w:val="subscript"/>
          <w:lang w:val="en-US" w:eastAsia="zh-CN"/>
        </w:rPr>
        <w:t>5</w:t>
      </w:r>
      <w:r>
        <w:rPr>
          <w:color w:val="auto"/>
          <w:szCs w:val="22"/>
          <w:highlight w:val="none"/>
        </w:rPr>
        <w:t>、</w:t>
      </w:r>
      <w:r>
        <w:rPr>
          <w:rFonts w:eastAsia="Times New Roman"/>
          <w:color w:val="auto"/>
          <w:szCs w:val="22"/>
          <w:highlight w:val="none"/>
        </w:rPr>
        <w:t>SS</w:t>
      </w:r>
      <w:r>
        <w:rPr>
          <w:color w:val="auto"/>
          <w:szCs w:val="22"/>
          <w:highlight w:val="none"/>
        </w:rPr>
        <w:t>、氨氮和油类等</w:t>
      </w:r>
      <w:r>
        <w:rPr>
          <w:rFonts w:hint="eastAsia" w:eastAsia="宋体"/>
          <w:color w:val="auto"/>
          <w:szCs w:val="22"/>
          <w:highlight w:val="none"/>
          <w:lang w:eastAsia="zh-CN"/>
        </w:rPr>
        <w:t>，</w:t>
      </w:r>
      <w:r>
        <w:rPr>
          <w:rFonts w:hint="eastAsia"/>
          <w:color w:val="auto"/>
          <w:szCs w:val="22"/>
          <w:highlight w:val="none"/>
          <w:lang w:eastAsia="zh-CN"/>
        </w:rPr>
        <w:t>委托</w:t>
      </w:r>
      <w:r>
        <w:rPr>
          <w:color w:val="auto"/>
          <w:szCs w:val="22"/>
          <w:highlight w:val="none"/>
        </w:rPr>
        <w:t>环卫部门定期清理。生活污水经过收集处理后，基本不对周围水体产生影响。</w:t>
      </w:r>
    </w:p>
    <w:p w14:paraId="1BA9C69A">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运营期地表水环境影响分析</w:t>
      </w:r>
    </w:p>
    <w:p w14:paraId="6B41165E">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机场污水排放影响分析</w:t>
      </w:r>
    </w:p>
    <w:p w14:paraId="4809606A">
      <w:pPr>
        <w:widowControl/>
        <w:ind w:firstLine="480" w:firstLineChars="200"/>
        <w:rPr>
          <w:color w:val="auto"/>
          <w:szCs w:val="22"/>
          <w:highlight w:val="none"/>
        </w:rPr>
      </w:pPr>
      <w:r>
        <w:rPr>
          <w:color w:val="auto"/>
          <w:szCs w:val="22"/>
          <w:highlight w:val="none"/>
        </w:rPr>
        <w:t>机场污水除少量含油生产废水和生活污水。</w:t>
      </w:r>
    </w:p>
    <w:p w14:paraId="50A2BF42">
      <w:pPr>
        <w:widowControl/>
        <w:ind w:firstLine="480" w:firstLineChars="200"/>
        <w:rPr>
          <w:color w:val="auto"/>
          <w:szCs w:val="22"/>
          <w:highlight w:val="none"/>
        </w:rPr>
      </w:pPr>
      <w:r>
        <w:rPr>
          <w:color w:val="auto"/>
          <w:szCs w:val="22"/>
          <w:highlight w:val="none"/>
        </w:rPr>
        <w:t>本期产生污水量约</w:t>
      </w:r>
      <w:r>
        <w:rPr>
          <w:rFonts w:hint="eastAsia"/>
          <w:color w:val="auto"/>
          <w:szCs w:val="22"/>
          <w:highlight w:val="none"/>
        </w:rPr>
        <w:t>11.484</w:t>
      </w:r>
      <w:r>
        <w:rPr>
          <w:rFonts w:eastAsia="Times New Roman"/>
          <w:color w:val="auto"/>
          <w:szCs w:val="22"/>
          <w:highlight w:val="none"/>
        </w:rPr>
        <w:t>m</w:t>
      </w:r>
      <w:r>
        <w:rPr>
          <w:rFonts w:eastAsia="Times New Roman"/>
          <w:color w:val="auto"/>
          <w:szCs w:val="22"/>
          <w:highlight w:val="none"/>
          <w:vertAlign w:val="superscript"/>
        </w:rPr>
        <w:t>3</w:t>
      </w:r>
      <w:r>
        <w:rPr>
          <w:rFonts w:eastAsia="Times New Roman"/>
          <w:color w:val="auto"/>
          <w:szCs w:val="22"/>
          <w:highlight w:val="none"/>
        </w:rPr>
        <w:t>/d</w:t>
      </w:r>
      <w:r>
        <w:rPr>
          <w:color w:val="auto"/>
          <w:szCs w:val="22"/>
          <w:highlight w:val="none"/>
        </w:rPr>
        <w:t>，其中食堂废水、生产废水</w:t>
      </w:r>
      <w:r>
        <w:rPr>
          <w:color w:val="auto"/>
          <w:kern w:val="24"/>
          <w:szCs w:val="20"/>
          <w:highlight w:val="none"/>
        </w:rPr>
        <w:t>经油水分离装置处理后排至场内生活污水管网，再与生活污水一起排至机场污水处理站。</w:t>
      </w:r>
      <w:r>
        <w:rPr>
          <w:color w:val="auto"/>
          <w:szCs w:val="22"/>
          <w:highlight w:val="none"/>
        </w:rPr>
        <w:t>本期新建污水处理</w:t>
      </w:r>
      <w:r>
        <w:rPr>
          <w:rFonts w:hint="eastAsia"/>
          <w:color w:val="auto"/>
          <w:szCs w:val="22"/>
          <w:highlight w:val="none"/>
          <w:lang w:val="en-US" w:eastAsia="zh-CN"/>
        </w:rPr>
        <w:t>站</w:t>
      </w:r>
      <w:r>
        <w:rPr>
          <w:rFonts w:eastAsia="Times New Roman"/>
          <w:color w:val="auto"/>
          <w:szCs w:val="22"/>
          <w:highlight w:val="none"/>
        </w:rPr>
        <w:t>1</w:t>
      </w:r>
      <w:r>
        <w:rPr>
          <w:color w:val="auto"/>
          <w:szCs w:val="22"/>
          <w:highlight w:val="none"/>
        </w:rPr>
        <w:t>座</w:t>
      </w:r>
      <w:r>
        <w:rPr>
          <w:rFonts w:hint="eastAsia"/>
          <w:color w:val="auto"/>
          <w:szCs w:val="22"/>
          <w:highlight w:val="none"/>
          <w:lang w:eastAsia="zh-CN"/>
        </w:rPr>
        <w:t>，</w:t>
      </w:r>
      <w:r>
        <w:rPr>
          <w:color w:val="auto"/>
          <w:szCs w:val="22"/>
          <w:highlight w:val="none"/>
        </w:rPr>
        <w:t>采用一套</w:t>
      </w:r>
      <w:r>
        <w:rPr>
          <w:rFonts w:hint="eastAsia" w:eastAsia="宋体"/>
          <w:color w:val="auto"/>
          <w:szCs w:val="22"/>
          <w:highlight w:val="none"/>
          <w:lang w:val="en-US" w:eastAsia="zh-CN"/>
        </w:rPr>
        <w:t>5</w:t>
      </w:r>
      <w:r>
        <w:rPr>
          <w:rFonts w:eastAsia="Times New Roman"/>
          <w:color w:val="auto"/>
          <w:szCs w:val="22"/>
          <w:highlight w:val="none"/>
        </w:rPr>
        <w:t>m</w:t>
      </w:r>
      <w:r>
        <w:rPr>
          <w:rFonts w:eastAsia="Times New Roman"/>
          <w:color w:val="auto"/>
          <w:szCs w:val="22"/>
          <w:highlight w:val="none"/>
          <w:vertAlign w:val="superscript"/>
        </w:rPr>
        <w:t>3</w:t>
      </w:r>
      <w:r>
        <w:rPr>
          <w:rFonts w:eastAsia="Times New Roman"/>
          <w:color w:val="auto"/>
          <w:szCs w:val="22"/>
          <w:highlight w:val="none"/>
        </w:rPr>
        <w:t>/h</w:t>
      </w:r>
      <w:r>
        <w:rPr>
          <w:color w:val="auto"/>
          <w:szCs w:val="22"/>
          <w:highlight w:val="none"/>
        </w:rPr>
        <w:t>地埋式污水处理设备，采用</w:t>
      </w:r>
      <w:r>
        <w:rPr>
          <w:rFonts w:eastAsia="Times New Roman"/>
          <w:color w:val="auto"/>
          <w:szCs w:val="22"/>
          <w:highlight w:val="none"/>
        </w:rPr>
        <w:t>M</w:t>
      </w:r>
      <w:r>
        <w:rPr>
          <w:rFonts w:eastAsia="等线"/>
          <w:color w:val="auto"/>
          <w:szCs w:val="22"/>
          <w:highlight w:val="none"/>
        </w:rPr>
        <w:t>BR</w:t>
      </w:r>
      <w:r>
        <w:rPr>
          <w:color w:val="auto"/>
          <w:szCs w:val="22"/>
          <w:highlight w:val="none"/>
        </w:rPr>
        <w:t>生物处理工艺。机场污水处理达到《城市污水再生利用 城市杂用水水质》（</w:t>
      </w:r>
      <w:r>
        <w:rPr>
          <w:rFonts w:eastAsia="Times New Roman"/>
          <w:color w:val="auto"/>
          <w:szCs w:val="22"/>
          <w:highlight w:val="none"/>
        </w:rPr>
        <w:t>GB/T18920-2020</w:t>
      </w:r>
      <w:r>
        <w:rPr>
          <w:color w:val="auto"/>
          <w:szCs w:val="22"/>
          <w:highlight w:val="none"/>
        </w:rPr>
        <w:t>）后，作为中水用于机场航站区广场、道路浇洒用水；冬季处理后的中水储存于中</w:t>
      </w:r>
      <w:r>
        <w:rPr>
          <w:rFonts w:hint="eastAsia" w:eastAsia="宋体"/>
          <w:color w:val="auto"/>
          <w:szCs w:val="22"/>
          <w:highlight w:val="none"/>
          <w:lang w:eastAsia="zh-CN"/>
        </w:rPr>
        <w:t>水池</w:t>
      </w:r>
      <w:r>
        <w:rPr>
          <w:color w:val="auto"/>
          <w:szCs w:val="22"/>
          <w:highlight w:val="none"/>
        </w:rPr>
        <w:t>中，待到下一年春夏季节进行使用。新建</w:t>
      </w:r>
      <w:r>
        <w:rPr>
          <w:rFonts w:hint="eastAsia"/>
          <w:color w:val="auto"/>
          <w:szCs w:val="22"/>
          <w:highlight w:val="none"/>
          <w:lang w:val="en-US" w:eastAsia="zh-CN"/>
        </w:rPr>
        <w:t>1</w:t>
      </w:r>
      <w:r>
        <w:rPr>
          <w:color w:val="auto"/>
          <w:szCs w:val="22"/>
          <w:highlight w:val="none"/>
        </w:rPr>
        <w:t>座</w:t>
      </w:r>
      <w:r>
        <w:rPr>
          <w:rFonts w:eastAsia="Times New Roman"/>
          <w:color w:val="auto"/>
          <w:szCs w:val="22"/>
          <w:highlight w:val="none"/>
        </w:rPr>
        <w:t>2000m</w:t>
      </w:r>
      <w:r>
        <w:rPr>
          <w:rFonts w:eastAsia="Times New Roman"/>
          <w:color w:val="auto"/>
          <w:szCs w:val="22"/>
          <w:highlight w:val="none"/>
          <w:vertAlign w:val="superscript"/>
        </w:rPr>
        <w:t>3</w:t>
      </w:r>
      <w:r>
        <w:rPr>
          <w:color w:val="auto"/>
          <w:szCs w:val="22"/>
          <w:highlight w:val="none"/>
        </w:rPr>
        <w:t>中</w:t>
      </w:r>
      <w:r>
        <w:rPr>
          <w:rFonts w:hint="eastAsia" w:eastAsia="宋体"/>
          <w:color w:val="auto"/>
          <w:szCs w:val="22"/>
          <w:highlight w:val="none"/>
          <w:lang w:eastAsia="zh-CN"/>
        </w:rPr>
        <w:t>水池</w:t>
      </w:r>
      <w:r>
        <w:rPr>
          <w:color w:val="auto"/>
          <w:szCs w:val="22"/>
          <w:highlight w:val="none"/>
        </w:rPr>
        <w:t>用以储存处理后的中水。拟建机场废水不外排，对其周围环境影响极为有限。</w:t>
      </w:r>
    </w:p>
    <w:p w14:paraId="747725E5">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场内雨水排放对水环境影响分析</w:t>
      </w:r>
    </w:p>
    <w:p w14:paraId="045293AB">
      <w:pPr>
        <w:widowControl/>
        <w:ind w:firstLine="480" w:firstLineChars="200"/>
        <w:rPr>
          <w:color w:val="auto"/>
          <w:szCs w:val="22"/>
          <w:highlight w:val="none"/>
        </w:rPr>
      </w:pPr>
      <w:r>
        <w:rPr>
          <w:color w:val="auto"/>
          <w:szCs w:val="22"/>
          <w:highlight w:val="none"/>
        </w:rPr>
        <w:t>机场建成后，</w:t>
      </w:r>
      <w:r>
        <w:rPr>
          <w:color w:val="auto"/>
          <w:spacing w:val="-1"/>
          <w:szCs w:val="21"/>
          <w:highlight w:val="none"/>
        </w:rPr>
        <w:t>在场内设置排水系统，</w:t>
      </w:r>
      <w:r>
        <w:rPr>
          <w:color w:val="auto"/>
          <w:szCs w:val="21"/>
          <w:highlight w:val="none"/>
        </w:rPr>
        <w:t>雨</w:t>
      </w:r>
      <w:r>
        <w:rPr>
          <w:color w:val="auto"/>
          <w:spacing w:val="-1"/>
          <w:szCs w:val="21"/>
          <w:highlight w:val="none"/>
        </w:rPr>
        <w:t>水经排水系统收集后排至场外，并在排水沟末端设置</w:t>
      </w:r>
      <w:r>
        <w:rPr>
          <w:color w:val="auto"/>
          <w:szCs w:val="21"/>
          <w:highlight w:val="none"/>
        </w:rPr>
        <w:t>蓄水池减小对场外的冲刷。</w:t>
      </w:r>
    </w:p>
    <w:p w14:paraId="7DCB6D76">
      <w:pPr>
        <w:widowControl/>
        <w:ind w:firstLine="480" w:firstLineChars="200"/>
        <w:rPr>
          <w:color w:val="auto"/>
          <w:szCs w:val="22"/>
          <w:highlight w:val="none"/>
        </w:rPr>
      </w:pPr>
      <w:r>
        <w:rPr>
          <w:color w:val="auto"/>
          <w:szCs w:val="22"/>
          <w:highlight w:val="none"/>
        </w:rPr>
        <w:t>机场内跑道、停机坪等区域的初期雨水主要以悬浮物为主要污染物，该部分区域因涉及范围较大，初期雨水收集存在困难，但此部分初期雨水中有害污染物含量较低，因此不</w:t>
      </w:r>
      <w:r>
        <w:rPr>
          <w:rFonts w:hint="eastAsia"/>
          <w:color w:val="auto"/>
          <w:szCs w:val="22"/>
          <w:highlight w:val="none"/>
          <w:lang w:eastAsia="zh-CN"/>
        </w:rPr>
        <w:t>纳入</w:t>
      </w:r>
      <w:r>
        <w:rPr>
          <w:color w:val="auto"/>
          <w:szCs w:val="22"/>
          <w:highlight w:val="none"/>
        </w:rPr>
        <w:t>污水系统中进行处理。</w:t>
      </w:r>
    </w:p>
    <w:p w14:paraId="3CA94371">
      <w:pPr>
        <w:widowControl/>
        <w:ind w:firstLine="480" w:firstLineChars="200"/>
        <w:rPr>
          <w:color w:val="auto"/>
          <w:szCs w:val="22"/>
          <w:highlight w:val="none"/>
        </w:rPr>
      </w:pPr>
      <w:r>
        <w:rPr>
          <w:color w:val="auto"/>
          <w:szCs w:val="22"/>
          <w:highlight w:val="none"/>
        </w:rPr>
        <w:t>此外，根据《海绵城市建设技术指南》及机场所处的干旱地区这一实际情况，提出如下措施：减少建筑屋面的雨水排放量；加大建筑小区内绿化面积，并将小区内的停车场等硬化路面做成透水铺装路面；建筑周边雨水可通过植草沟或雨水管将雨水引至对建筑物无影响的地区；结合地势及景观设计设置下沉绿地等。通过以上措施降低径流系数，增加调节能力，从而降低雨水量。</w:t>
      </w:r>
    </w:p>
    <w:p w14:paraId="3ED52783">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小结</w:t>
      </w:r>
    </w:p>
    <w:p w14:paraId="132E5A5D">
      <w:pPr>
        <w:kinsoku w:val="0"/>
        <w:overflowPunct w:val="0"/>
        <w:autoSpaceDE w:val="0"/>
        <w:autoSpaceDN w:val="0"/>
        <w:ind w:firstLine="480" w:firstLineChars="200"/>
        <w:rPr>
          <w:color w:val="auto"/>
          <w:highlight w:val="none"/>
        </w:rPr>
      </w:pPr>
      <w:r>
        <w:rPr>
          <w:color w:val="auto"/>
          <w:highlight w:val="none"/>
        </w:rPr>
        <w:t>项目施工期对施工废水及生活污水进行收集、处理，不外排。运营期</w:t>
      </w:r>
      <w:r>
        <w:rPr>
          <w:color w:val="auto"/>
          <w:szCs w:val="22"/>
          <w:highlight w:val="none"/>
        </w:rPr>
        <w:t>机场产生的污水主要为生产废水及生活污水，经机场自建污水处理站处理达</w:t>
      </w:r>
      <w:r>
        <w:rPr>
          <w:rFonts w:hint="eastAsia"/>
          <w:color w:val="auto"/>
          <w:szCs w:val="22"/>
          <w:highlight w:val="none"/>
          <w:lang w:val="en-US" w:eastAsia="zh-CN"/>
        </w:rPr>
        <w:t>到</w:t>
      </w:r>
      <w:r>
        <w:rPr>
          <w:rFonts w:hint="eastAsia"/>
          <w:color w:val="auto"/>
          <w:highlight w:val="none"/>
        </w:rPr>
        <w:t>《城市污水再生利用 城市杂用水水质》（GB/T18920-2020）后</w:t>
      </w:r>
      <w:r>
        <w:rPr>
          <w:color w:val="auto"/>
          <w:highlight w:val="none"/>
        </w:rPr>
        <w:t>用于场内绿化、洒水等。</w:t>
      </w:r>
    </w:p>
    <w:p w14:paraId="7D4A25A8">
      <w:pPr>
        <w:pageBreakBefore w:val="0"/>
        <w:widowControl/>
        <w:kinsoku/>
        <w:wordWrap/>
        <w:overflowPunct/>
        <w:bidi w:val="0"/>
        <w:ind w:firstLine="480" w:firstLineChars="200"/>
        <w:jc w:val="both"/>
        <w:rPr>
          <w:rFonts w:hint="eastAsia" w:cs="Times New Roman"/>
          <w:color w:val="auto"/>
          <w:szCs w:val="21"/>
          <w:highlight w:val="none"/>
          <w:lang w:eastAsia="zh-CN"/>
        </w:rPr>
      </w:pPr>
      <w:r>
        <w:rPr>
          <w:color w:val="auto"/>
          <w:szCs w:val="22"/>
          <w:highlight w:val="none"/>
        </w:rPr>
        <w:t>因此，本项目对地表水环境的影响可以接受</w:t>
      </w:r>
      <w:r>
        <w:rPr>
          <w:rFonts w:hint="eastAsia"/>
          <w:color w:val="auto"/>
          <w:szCs w:val="22"/>
          <w:highlight w:val="none"/>
          <w:lang w:eastAsia="zh-CN"/>
        </w:rPr>
        <w:t>。</w:t>
      </w:r>
    </w:p>
    <w:p w14:paraId="6CA3BCA3">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76" w:name="_Toc1404"/>
      <w:r>
        <w:rPr>
          <w:rFonts w:hint="eastAsia" w:ascii="Times New Roman" w:hAnsi="Times New Roman" w:eastAsia="黑体" w:cs="Times New Roman"/>
          <w:bCs/>
          <w:color w:val="auto"/>
          <w:spacing w:val="0"/>
          <w:w w:val="100"/>
          <w:kern w:val="28"/>
          <w:sz w:val="30"/>
          <w:szCs w:val="30"/>
          <w:highlight w:val="none"/>
          <w:lang w:val="en-US" w:eastAsia="zh-CN" w:bidi="ar-SA"/>
        </w:rPr>
        <w:t>地下水环境影响预测与评价</w:t>
      </w:r>
      <w:bookmarkEnd w:id="276"/>
    </w:p>
    <w:p w14:paraId="7BED655B">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评价区水文地质条件</w:t>
      </w:r>
    </w:p>
    <w:p w14:paraId="7F41041D">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地下水类型及含水层特征</w:t>
      </w:r>
    </w:p>
    <w:p w14:paraId="1208133E">
      <w:pPr>
        <w:keepNext w:val="0"/>
        <w:keepLines w:val="0"/>
        <w:pageBreakBefore w:val="0"/>
        <w:widowControl/>
        <w:kinsoku/>
        <w:wordWrap/>
        <w:overflowPunct/>
        <w:topLinePunct w:val="0"/>
        <w:autoSpaceDE/>
        <w:autoSpaceDN/>
        <w:bidi w:val="0"/>
        <w:adjustRightInd/>
        <w:snapToGrid/>
        <w:ind w:firstLine="480" w:firstLineChars="200"/>
        <w:textAlignment w:val="auto"/>
        <w:rPr>
          <w:color w:val="auto"/>
          <w:szCs w:val="22"/>
          <w:highlight w:val="none"/>
        </w:rPr>
      </w:pPr>
      <w:r>
        <w:rPr>
          <w:color w:val="auto"/>
          <w:szCs w:val="22"/>
          <w:highlight w:val="none"/>
        </w:rPr>
        <w:t>项目区位于艾比湖流域的平原区。艾比湖流域内地下水的赋存与分布受地质构造、地貌以及水文等因素的控制，水文地质分带明显。地下水类型包括基岩裂隙水、第四系松散岩类孔隙水。其中机场区所在的精河流域具有典型的山前平原型特征，山区形成的地表水直接补给山前平原地下水。山前倾斜平原以卵砾石为主，单一潜水，水质为重碳酸型水，地下水埋深由大于100m逐步变浅，岩性颗粒变细，至乌伊公路北溢出，含水层变为承压水—潜水互层结构，再往北进入冲湖积平原，含水层变为承压—潜水多层结构，垂向交替迅速，至艾比湖变为湖相沉积为主。评价区内广泛分布的地下水为第四系松散岩类孔隙水。根据埋藏条件可以划分为潜水和承压水。</w:t>
      </w:r>
    </w:p>
    <w:p w14:paraId="7739FEC5">
      <w:pPr>
        <w:widowControl/>
        <w:ind w:firstLine="480" w:firstLineChars="200"/>
        <w:rPr>
          <w:b w:val="0"/>
          <w:bCs/>
          <w:color w:val="auto"/>
          <w:szCs w:val="22"/>
          <w:highlight w:val="none"/>
        </w:rPr>
      </w:pPr>
      <w:r>
        <w:rPr>
          <w:b w:val="0"/>
          <w:bCs/>
          <w:color w:val="auto"/>
          <w:szCs w:val="22"/>
          <w:highlight w:val="none"/>
        </w:rPr>
        <w:t>（1）潜水</w:t>
      </w:r>
    </w:p>
    <w:p w14:paraId="1DF7781E">
      <w:pPr>
        <w:widowControl/>
        <w:ind w:firstLine="480" w:firstLineChars="200"/>
        <w:rPr>
          <w:color w:val="auto"/>
          <w:szCs w:val="20"/>
          <w:highlight w:val="none"/>
        </w:rPr>
      </w:pPr>
      <w:r>
        <w:rPr>
          <w:color w:val="auto"/>
          <w:szCs w:val="22"/>
          <w:highlight w:val="none"/>
        </w:rPr>
        <w:t>在项目所在平原区广泛分布，在流域山前洪积扇，含水层岩性为洪积卵砾石层，厚度一般100</w:t>
      </w:r>
      <w:r>
        <w:rPr>
          <w:rFonts w:hint="eastAsia"/>
          <w:color w:val="auto"/>
          <w:szCs w:val="22"/>
          <w:highlight w:val="none"/>
          <w:lang w:val="en-US" w:eastAsia="zh-CN"/>
        </w:rPr>
        <w:t>m</w:t>
      </w:r>
      <w:r>
        <w:rPr>
          <w:color w:val="auto"/>
          <w:szCs w:val="22"/>
          <w:highlight w:val="none"/>
        </w:rPr>
        <w:t>-400m，向前缘厚度减薄，地下水以水平运动为主，单井涌水量一般大于10-30L/s，矿化度一般小于1g/L。主要接受地表水渗漏补给，</w:t>
      </w:r>
      <w:r>
        <w:rPr>
          <w:color w:val="auto"/>
          <w:szCs w:val="20"/>
          <w:highlight w:val="none"/>
        </w:rPr>
        <w:t>逐渐向河流下游径流，部分在前缘以泉集河或片状沼泽溢出，部分进入深层循环，转化为平原地下水。潜水在洪积扇中上部埋深一般大于30m，最大180m。渗透系数K=64.6m/d，单井涌水量143.22l/s。在溢出带以下的冲积平原上，潜水含水层由砂土、亚粘土和粉细砂组成，厚度变化大，一般不超过20m，在局部沙漠地区厚度可达80m。渗透系数小。埋深多在3-10m。</w:t>
      </w:r>
    </w:p>
    <w:p w14:paraId="06D71C8B">
      <w:pPr>
        <w:widowControl/>
        <w:ind w:firstLine="480" w:firstLineChars="200"/>
        <w:jc w:val="left"/>
        <w:rPr>
          <w:b w:val="0"/>
          <w:bCs/>
          <w:color w:val="auto"/>
          <w:szCs w:val="22"/>
          <w:highlight w:val="none"/>
        </w:rPr>
      </w:pPr>
      <w:r>
        <w:rPr>
          <w:b w:val="0"/>
          <w:bCs/>
          <w:color w:val="auto"/>
          <w:szCs w:val="22"/>
          <w:highlight w:val="none"/>
        </w:rPr>
        <w:t>（2）承压水</w:t>
      </w:r>
    </w:p>
    <w:p w14:paraId="1876135D">
      <w:pPr>
        <w:widowControl/>
        <w:ind w:firstLine="480" w:firstLineChars="200"/>
        <w:rPr>
          <w:color w:val="auto"/>
          <w:szCs w:val="22"/>
          <w:highlight w:val="none"/>
        </w:rPr>
      </w:pPr>
      <w:r>
        <w:rPr>
          <w:color w:val="auto"/>
          <w:szCs w:val="22"/>
          <w:highlight w:val="none"/>
        </w:rPr>
        <w:t>分布在细土平原，西到五台-达勒特，南至精河-古尔图，北至阿拉山口-五道泉范围内，基本上连成一个整体，东部与天山北麓细土平原区相连。含水层主要由更新世-全新世冲积和洪积的亚砂土、亚粘土与砂砾石构成，总厚度约300m。承压水按照埋深大致可以划分为浅层、中层和深层，浅层承压水顶板埋深约30m，厚度2-20m，底板埋深40-60m，含水层岩性以砂为主，夹多层砾石，承压水位5m到+3m，在盆地中心局部水位高出地面，形成自流。中层承压水顶板埋深90-120m，厚度20-60m，岩性为含砾砂，夹亚砂土、亚粘土承压水位+2m到+15m，是目前主要的开采层，单井涌水量2000-5000m</w:t>
      </w:r>
      <w:r>
        <w:rPr>
          <w:color w:val="auto"/>
          <w:szCs w:val="22"/>
          <w:highlight w:val="none"/>
          <w:vertAlign w:val="superscript"/>
        </w:rPr>
        <w:t>3</w:t>
      </w:r>
      <w:r>
        <w:rPr>
          <w:color w:val="auto"/>
          <w:szCs w:val="22"/>
          <w:highlight w:val="none"/>
        </w:rPr>
        <w:t>/d，水质良好。深层承压水顶板埋深180-250m，含水层厚度30-100m，承压水位一般高出地面20m以上，单井涌水量3000-5000 m</w:t>
      </w:r>
      <w:r>
        <w:rPr>
          <w:color w:val="auto"/>
          <w:szCs w:val="22"/>
          <w:highlight w:val="none"/>
          <w:vertAlign w:val="superscript"/>
        </w:rPr>
        <w:t>3</w:t>
      </w:r>
      <w:r>
        <w:rPr>
          <w:color w:val="auto"/>
          <w:szCs w:val="22"/>
          <w:highlight w:val="none"/>
        </w:rPr>
        <w:t>/d，水质优良。承压水主要在洪积扇前缘接受潜水补给，向下游压力逐渐变大，下层向上层越流排泄。</w:t>
      </w:r>
    </w:p>
    <w:p w14:paraId="75395E72">
      <w:pPr>
        <w:widowControl/>
        <w:ind w:firstLine="480" w:firstLineChars="200"/>
        <w:rPr>
          <w:color w:val="auto"/>
          <w:szCs w:val="22"/>
          <w:highlight w:val="none"/>
        </w:rPr>
      </w:pPr>
      <w:r>
        <w:rPr>
          <w:color w:val="auto"/>
          <w:szCs w:val="22"/>
          <w:highlight w:val="none"/>
        </w:rPr>
        <w:t>项目区地下水为潜水-承压水结构，其中潜水水量中等，换算为井径8寸，降程5m的单井涌水量为2~20L/s，含水层岩性主要为砾砂和粗砂，承压水水量丰富，涌水量10~50L/s，含水层岩性主要为砾砂。</w:t>
      </w:r>
    </w:p>
    <w:p w14:paraId="1B102D63">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地下水补径排特征</w:t>
      </w:r>
    </w:p>
    <w:p w14:paraId="3C9B6806">
      <w:pPr>
        <w:widowControl/>
        <w:ind w:firstLine="480" w:firstLineChars="200"/>
        <w:rPr>
          <w:color w:val="auto"/>
          <w:szCs w:val="22"/>
          <w:highlight w:val="none"/>
        </w:rPr>
      </w:pPr>
      <w:r>
        <w:rPr>
          <w:color w:val="auto"/>
          <w:szCs w:val="22"/>
          <w:highlight w:val="none"/>
        </w:rPr>
        <w:t>（1）补给</w:t>
      </w:r>
    </w:p>
    <w:p w14:paraId="68D1DC61">
      <w:pPr>
        <w:widowControl/>
        <w:ind w:firstLine="480" w:firstLineChars="200"/>
        <w:rPr>
          <w:color w:val="auto"/>
          <w:szCs w:val="22"/>
          <w:highlight w:val="none"/>
        </w:rPr>
      </w:pPr>
      <w:r>
        <w:rPr>
          <w:color w:val="auto"/>
          <w:szCs w:val="22"/>
          <w:highlight w:val="none"/>
        </w:rPr>
        <w:t>评价区周边的山区为区内地下水的补给区，由于山区和山前地带降水远大于平原区，山区汇水面积较大，山区和山前地带降水形成的暴雨洪流对洪积平原地下水形成补给。</w:t>
      </w:r>
    </w:p>
    <w:p w14:paraId="4A7B7D95">
      <w:pPr>
        <w:widowControl/>
        <w:ind w:firstLine="480" w:firstLineChars="200"/>
        <w:rPr>
          <w:color w:val="auto"/>
          <w:szCs w:val="22"/>
          <w:highlight w:val="none"/>
        </w:rPr>
      </w:pPr>
      <w:r>
        <w:rPr>
          <w:color w:val="auto"/>
          <w:szCs w:val="22"/>
          <w:highlight w:val="none"/>
        </w:rPr>
        <w:t>平原区地下水的补给主要有河水入渗、河道潜流、山区及山前暴雨洪流入渗、降雨入渗、山区基岩裂隙水侧向径流补给、山前泉水入渗补给、渠系入渗补给、田间入渗补给、水库水入渗补给。区内洪积平原，颗粒粗大，孔隙发育，渗透性能极好，降水会对砾质平原产生补给，对细土平原带也会产生一定的补给。</w:t>
      </w:r>
    </w:p>
    <w:p w14:paraId="4C3F3216">
      <w:pPr>
        <w:widowControl/>
        <w:ind w:firstLine="480" w:firstLineChars="200"/>
        <w:rPr>
          <w:color w:val="auto"/>
          <w:szCs w:val="22"/>
          <w:highlight w:val="none"/>
        </w:rPr>
      </w:pPr>
      <w:r>
        <w:rPr>
          <w:color w:val="auto"/>
          <w:szCs w:val="22"/>
          <w:highlight w:val="none"/>
        </w:rPr>
        <w:t>本项目所在平原区的地下水补给源主要为地下水的侧向径流补给、渠系入渗补给、田间入渗补给。</w:t>
      </w:r>
    </w:p>
    <w:p w14:paraId="77F136F4">
      <w:pPr>
        <w:widowControl/>
        <w:ind w:firstLine="480" w:firstLineChars="200"/>
        <w:rPr>
          <w:color w:val="auto"/>
          <w:szCs w:val="22"/>
          <w:highlight w:val="none"/>
        </w:rPr>
      </w:pPr>
      <w:r>
        <w:rPr>
          <w:color w:val="auto"/>
          <w:szCs w:val="22"/>
          <w:highlight w:val="none"/>
        </w:rPr>
        <w:t>（2）径流</w:t>
      </w:r>
    </w:p>
    <w:p w14:paraId="32D3E0E9">
      <w:pPr>
        <w:widowControl/>
        <w:rPr>
          <w:color w:val="auto"/>
          <w:szCs w:val="22"/>
          <w:highlight w:val="none"/>
        </w:rPr>
      </w:pPr>
      <w:r>
        <w:rPr>
          <w:color w:val="auto"/>
          <w:szCs w:val="21"/>
          <w:highlight w:val="none"/>
        </w:rPr>
        <w:t>精河流域，地下水总体由南西向北东径流，最终进入艾比湖区。受含水层岩性颗粒的影响，水力坡度在山前地带为</w:t>
      </w:r>
      <w:r>
        <w:rPr>
          <w:color w:val="auto"/>
          <w:kern w:val="0"/>
          <w:szCs w:val="21"/>
          <w:highlight w:val="none"/>
        </w:rPr>
        <w:t>4.5</w:t>
      </w:r>
      <w:r>
        <w:rPr>
          <w:color w:val="auto"/>
          <w:szCs w:val="21"/>
          <w:highlight w:val="none"/>
        </w:rPr>
        <w:t>3</w:t>
      </w:r>
      <w:r>
        <w:rPr>
          <w:color w:val="auto"/>
          <w:kern w:val="0"/>
          <w:szCs w:val="21"/>
          <w:highlight w:val="none"/>
        </w:rPr>
        <w:t>‰，径流条件良好，地下水以水平径流为主；至北部细土平原一带降至3‰，上部潜水以垂向运动为主；而承压水无论在水平方向或垂直方向交替均比较弱，地下水径流条件较差。</w:t>
      </w:r>
    </w:p>
    <w:p w14:paraId="68AA60AC">
      <w:pPr>
        <w:widowControl/>
        <w:ind w:firstLine="480" w:firstLineChars="200"/>
        <w:rPr>
          <w:color w:val="auto"/>
          <w:szCs w:val="22"/>
          <w:highlight w:val="none"/>
        </w:rPr>
      </w:pPr>
      <w:r>
        <w:rPr>
          <w:color w:val="auto"/>
          <w:szCs w:val="22"/>
          <w:highlight w:val="none"/>
        </w:rPr>
        <w:t>项目区内地下水径流方向与地形坡度基本一致，</w:t>
      </w:r>
      <w:r>
        <w:rPr>
          <w:rFonts w:hint="eastAsia"/>
          <w:color w:val="auto"/>
          <w:szCs w:val="22"/>
          <w:highlight w:val="none"/>
          <w:lang w:eastAsia="zh-CN"/>
        </w:rPr>
        <w:t>大致</w:t>
      </w:r>
      <w:r>
        <w:rPr>
          <w:color w:val="auto"/>
          <w:szCs w:val="22"/>
          <w:highlight w:val="none"/>
        </w:rPr>
        <w:t>由南向北。</w:t>
      </w:r>
    </w:p>
    <w:p w14:paraId="037A92A8">
      <w:pPr>
        <w:widowControl/>
        <w:ind w:firstLine="480" w:firstLineChars="200"/>
        <w:rPr>
          <w:color w:val="auto"/>
          <w:szCs w:val="22"/>
          <w:highlight w:val="none"/>
        </w:rPr>
      </w:pPr>
      <w:r>
        <w:rPr>
          <w:color w:val="auto"/>
          <w:szCs w:val="22"/>
          <w:highlight w:val="none"/>
        </w:rPr>
        <w:t>（3）排泄</w:t>
      </w:r>
    </w:p>
    <w:p w14:paraId="459E6045">
      <w:pPr>
        <w:widowControl/>
        <w:ind w:firstLine="480" w:firstLineChars="200"/>
        <w:rPr>
          <w:color w:val="auto"/>
          <w:szCs w:val="22"/>
          <w:highlight w:val="none"/>
        </w:rPr>
      </w:pPr>
      <w:r>
        <w:rPr>
          <w:color w:val="auto"/>
          <w:szCs w:val="22"/>
          <w:highlight w:val="none"/>
        </w:rPr>
        <w:t>评价区内地下水以艾比湖为最终排泄中心，</w:t>
      </w:r>
      <w:r>
        <w:rPr>
          <w:color w:val="auto"/>
          <w:szCs w:val="21"/>
          <w:highlight w:val="none"/>
        </w:rPr>
        <w:t>排泄方式主要通过人工开采、蒸发蒸腾、向下游侧向径流等方式进行排泄</w:t>
      </w:r>
      <w:r>
        <w:rPr>
          <w:color w:val="auto"/>
          <w:szCs w:val="22"/>
          <w:highlight w:val="none"/>
        </w:rPr>
        <w:t>。</w:t>
      </w:r>
    </w:p>
    <w:p w14:paraId="621A04FD">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水化学特征</w:t>
      </w:r>
    </w:p>
    <w:p w14:paraId="0FAD25CB">
      <w:pPr>
        <w:widowControl/>
        <w:ind w:firstLine="480" w:firstLineChars="200"/>
        <w:rPr>
          <w:color w:val="auto"/>
          <w:szCs w:val="22"/>
          <w:highlight w:val="none"/>
        </w:rPr>
      </w:pPr>
      <w:r>
        <w:rPr>
          <w:color w:val="auto"/>
          <w:szCs w:val="22"/>
          <w:highlight w:val="none"/>
        </w:rPr>
        <w:t>地下水的水化学特征主要受岩性、气象等因素的综合影响。</w:t>
      </w:r>
    </w:p>
    <w:p w14:paraId="5FF46575">
      <w:pPr>
        <w:widowControl/>
        <w:ind w:firstLine="480" w:firstLineChars="200"/>
        <w:rPr>
          <w:color w:val="auto"/>
          <w:szCs w:val="20"/>
          <w:highlight w:val="none"/>
        </w:rPr>
      </w:pPr>
      <w:r>
        <w:rPr>
          <w:color w:val="auto"/>
          <w:szCs w:val="22"/>
          <w:highlight w:val="none"/>
        </w:rPr>
        <w:t>精河县南部的山前倾斜平原为单一结构孔隙潜水分布区，地下水主要接受河流入渗补给及山区基岩裂隙水侧向补给，由于含水层颗粒普遍较粗大，径流条件好，水化学类型以</w:t>
      </w:r>
      <w:r>
        <w:rPr>
          <w:color w:val="auto"/>
          <w:szCs w:val="20"/>
          <w:highlight w:val="none"/>
        </w:rPr>
        <w:t>矿化度多小于0.5g/L，水化学类型以HCO</w:t>
      </w:r>
      <w:r>
        <w:rPr>
          <w:color w:val="auto"/>
          <w:szCs w:val="20"/>
          <w:highlight w:val="none"/>
          <w:vertAlign w:val="subscript"/>
        </w:rPr>
        <w:t>3</w:t>
      </w:r>
      <w:r>
        <w:rPr>
          <w:color w:val="auto"/>
          <w:szCs w:val="20"/>
          <w:highlight w:val="none"/>
        </w:rPr>
        <w:t>-Ca·Mg、HCO</w:t>
      </w:r>
      <w:r>
        <w:rPr>
          <w:color w:val="auto"/>
          <w:szCs w:val="20"/>
          <w:highlight w:val="none"/>
          <w:vertAlign w:val="subscript"/>
        </w:rPr>
        <w:t>3</w:t>
      </w:r>
      <w:r>
        <w:rPr>
          <w:color w:val="auto"/>
          <w:szCs w:val="20"/>
          <w:highlight w:val="none"/>
        </w:rPr>
        <w:t>· SO</w:t>
      </w:r>
      <w:r>
        <w:rPr>
          <w:color w:val="auto"/>
          <w:szCs w:val="20"/>
          <w:highlight w:val="none"/>
          <w:vertAlign w:val="subscript"/>
        </w:rPr>
        <w:t>4</w:t>
      </w:r>
      <w:r>
        <w:rPr>
          <w:color w:val="auto"/>
          <w:szCs w:val="20"/>
          <w:highlight w:val="none"/>
        </w:rPr>
        <w:t>-Ca·Na 型为主，水中离子绝对含量较低，与河水水质相近；而在洪积扇中下部水位埋深逐渐变小，在洪积扇前缘溢出，矿化度小于1g/L，水化学类型为HCO</w:t>
      </w:r>
      <w:r>
        <w:rPr>
          <w:color w:val="auto"/>
          <w:szCs w:val="20"/>
          <w:highlight w:val="none"/>
          <w:vertAlign w:val="subscript"/>
        </w:rPr>
        <w:t>3</w:t>
      </w:r>
      <w:r>
        <w:rPr>
          <w:color w:val="auto"/>
          <w:szCs w:val="20"/>
          <w:highlight w:val="none"/>
        </w:rPr>
        <w:t>-Ca、HCO</w:t>
      </w:r>
      <w:r>
        <w:rPr>
          <w:color w:val="auto"/>
          <w:szCs w:val="20"/>
          <w:highlight w:val="none"/>
          <w:vertAlign w:val="subscript"/>
        </w:rPr>
        <w:t>3</w:t>
      </w:r>
      <w:r>
        <w:rPr>
          <w:color w:val="auto"/>
          <w:szCs w:val="20"/>
          <w:highlight w:val="none"/>
        </w:rPr>
        <w:t>-Ca·Na、HCO</w:t>
      </w:r>
      <w:r>
        <w:rPr>
          <w:color w:val="auto"/>
          <w:szCs w:val="20"/>
          <w:highlight w:val="none"/>
          <w:vertAlign w:val="subscript"/>
        </w:rPr>
        <w:t>3</w:t>
      </w:r>
      <w:r>
        <w:rPr>
          <w:color w:val="auto"/>
          <w:szCs w:val="20"/>
          <w:highlight w:val="none"/>
        </w:rPr>
        <w:t>.SO</w:t>
      </w:r>
      <w:r>
        <w:rPr>
          <w:color w:val="auto"/>
          <w:szCs w:val="20"/>
          <w:highlight w:val="none"/>
          <w:vertAlign w:val="subscript"/>
        </w:rPr>
        <w:t>4</w:t>
      </w:r>
      <w:r>
        <w:rPr>
          <w:color w:val="auto"/>
          <w:szCs w:val="20"/>
          <w:highlight w:val="none"/>
        </w:rPr>
        <w:t>- Ca·Na型，水质良好。</w:t>
      </w:r>
    </w:p>
    <w:p w14:paraId="59AA0108">
      <w:pPr>
        <w:widowControl/>
        <w:ind w:firstLine="480" w:firstLineChars="200"/>
        <w:rPr>
          <w:color w:val="auto"/>
          <w:szCs w:val="20"/>
          <w:highlight w:val="none"/>
        </w:rPr>
      </w:pPr>
      <w:r>
        <w:rPr>
          <w:color w:val="auto"/>
          <w:szCs w:val="22"/>
          <w:highlight w:val="none"/>
        </w:rPr>
        <w:t>随着潜水向北东运移，矿化作用不断加强，水质变差，到82团-大河沿子镇一带变为SO</w:t>
      </w:r>
      <w:r>
        <w:rPr>
          <w:color w:val="auto"/>
          <w:szCs w:val="22"/>
          <w:highlight w:val="none"/>
          <w:vertAlign w:val="subscript"/>
        </w:rPr>
        <w:t>4</w:t>
      </w:r>
      <w:r>
        <w:rPr>
          <w:color w:val="auto"/>
          <w:szCs w:val="22"/>
          <w:highlight w:val="none"/>
        </w:rPr>
        <w:t>·HCO</w:t>
      </w:r>
      <w:r>
        <w:rPr>
          <w:color w:val="auto"/>
          <w:szCs w:val="22"/>
          <w:highlight w:val="none"/>
          <w:vertAlign w:val="subscript"/>
        </w:rPr>
        <w:t>3</w:t>
      </w:r>
      <w:r>
        <w:rPr>
          <w:color w:val="auto"/>
          <w:szCs w:val="22"/>
          <w:highlight w:val="none"/>
        </w:rPr>
        <w:t>-Na·Ca 型，矿化度增大至1-3g/L，下伏承压水水质较好，水化学类型主要为HCO</w:t>
      </w:r>
      <w:r>
        <w:rPr>
          <w:color w:val="auto"/>
          <w:szCs w:val="22"/>
          <w:highlight w:val="none"/>
          <w:vertAlign w:val="subscript"/>
        </w:rPr>
        <w:t>3</w:t>
      </w:r>
      <w:r>
        <w:rPr>
          <w:color w:val="auto"/>
          <w:szCs w:val="22"/>
          <w:highlight w:val="none"/>
        </w:rPr>
        <w:t>-Ca、HCO</w:t>
      </w:r>
      <w:r>
        <w:rPr>
          <w:color w:val="auto"/>
          <w:szCs w:val="22"/>
          <w:highlight w:val="none"/>
          <w:vertAlign w:val="subscript"/>
        </w:rPr>
        <w:t>3</w:t>
      </w:r>
      <w:r>
        <w:rPr>
          <w:color w:val="auto"/>
          <w:szCs w:val="22"/>
          <w:highlight w:val="none"/>
        </w:rPr>
        <w:t>·SO</w:t>
      </w:r>
      <w:r>
        <w:rPr>
          <w:color w:val="auto"/>
          <w:szCs w:val="22"/>
          <w:highlight w:val="none"/>
          <w:vertAlign w:val="subscript"/>
        </w:rPr>
        <w:t>4</w:t>
      </w:r>
      <w:r>
        <w:rPr>
          <w:color w:val="auto"/>
          <w:szCs w:val="22"/>
          <w:highlight w:val="none"/>
        </w:rPr>
        <w:t>-Na· Ca 型水，矿化度&lt;1g/L；至下游</w:t>
      </w:r>
      <w:r>
        <w:rPr>
          <w:color w:val="auto"/>
          <w:szCs w:val="20"/>
          <w:highlight w:val="none"/>
        </w:rPr>
        <w:t>冲积平原区，矿化度多为1-3g/L，水化学类型为SO</w:t>
      </w:r>
      <w:r>
        <w:rPr>
          <w:color w:val="auto"/>
          <w:szCs w:val="20"/>
          <w:highlight w:val="none"/>
          <w:vertAlign w:val="subscript"/>
        </w:rPr>
        <w:t>4</w:t>
      </w:r>
      <w:r>
        <w:rPr>
          <w:color w:val="auto"/>
          <w:szCs w:val="20"/>
          <w:highlight w:val="none"/>
        </w:rPr>
        <w:t>.Cl或Cl.SO</w:t>
      </w:r>
      <w:r>
        <w:rPr>
          <w:color w:val="auto"/>
          <w:szCs w:val="20"/>
          <w:highlight w:val="none"/>
          <w:vertAlign w:val="subscript"/>
        </w:rPr>
        <w:t>4</w:t>
      </w:r>
      <w:r>
        <w:rPr>
          <w:color w:val="auto"/>
          <w:szCs w:val="20"/>
          <w:highlight w:val="none"/>
        </w:rPr>
        <w:t>型，接受大气降水、下伏承压水越流的补给，向下游和河谷径流，蒸发和植物蒸腾排泄。在艾比湖及其湖滨地带，地表土壤由湖积的亚粘土、粘土组成，矿化度达10g/L以上，地下水化学类型为HCO</w:t>
      </w:r>
      <w:r>
        <w:rPr>
          <w:color w:val="auto"/>
          <w:szCs w:val="20"/>
          <w:highlight w:val="none"/>
          <w:vertAlign w:val="subscript"/>
        </w:rPr>
        <w:t>3</w:t>
      </w:r>
      <w:r>
        <w:rPr>
          <w:color w:val="auto"/>
          <w:szCs w:val="20"/>
          <w:highlight w:val="none"/>
        </w:rPr>
        <w:t>-Na·Ca、SO</w:t>
      </w:r>
      <w:r>
        <w:rPr>
          <w:color w:val="auto"/>
          <w:szCs w:val="20"/>
          <w:highlight w:val="none"/>
          <w:vertAlign w:val="subscript"/>
        </w:rPr>
        <w:t>4</w:t>
      </w:r>
      <w:r>
        <w:rPr>
          <w:color w:val="auto"/>
          <w:szCs w:val="20"/>
          <w:highlight w:val="none"/>
        </w:rPr>
        <w:t>·HCO</w:t>
      </w:r>
      <w:r>
        <w:rPr>
          <w:color w:val="auto"/>
          <w:szCs w:val="20"/>
          <w:highlight w:val="none"/>
          <w:vertAlign w:val="subscript"/>
        </w:rPr>
        <w:t>3</w:t>
      </w:r>
      <w:r>
        <w:rPr>
          <w:color w:val="auto"/>
          <w:szCs w:val="20"/>
          <w:highlight w:val="none"/>
        </w:rPr>
        <w:t>-Na·Ca、SO</w:t>
      </w:r>
      <w:r>
        <w:rPr>
          <w:color w:val="auto"/>
          <w:szCs w:val="20"/>
          <w:highlight w:val="none"/>
          <w:vertAlign w:val="subscript"/>
        </w:rPr>
        <w:t>4</w:t>
      </w:r>
      <w:r>
        <w:rPr>
          <w:color w:val="auto"/>
          <w:szCs w:val="20"/>
          <w:highlight w:val="none"/>
        </w:rPr>
        <w:t>·Cl-Na·Ca 型水。</w:t>
      </w:r>
    </w:p>
    <w:p w14:paraId="5A37ECAB">
      <w:pPr>
        <w:widowControl/>
        <w:ind w:firstLine="480" w:firstLineChars="200"/>
        <w:rPr>
          <w:color w:val="auto"/>
          <w:szCs w:val="20"/>
          <w:highlight w:val="none"/>
        </w:rPr>
      </w:pPr>
      <w:r>
        <w:rPr>
          <w:color w:val="auto"/>
          <w:szCs w:val="20"/>
          <w:highlight w:val="none"/>
        </w:rPr>
        <w:t>根据《博州精河县通用机场工程岩土工程勘察报告》，项目区内地下水的水化学类型主要为SO</w:t>
      </w:r>
      <w:r>
        <w:rPr>
          <w:color w:val="auto"/>
          <w:szCs w:val="20"/>
          <w:highlight w:val="none"/>
          <w:vertAlign w:val="subscript"/>
        </w:rPr>
        <w:t>4</w:t>
      </w:r>
      <w:r>
        <w:rPr>
          <w:color w:val="auto"/>
          <w:szCs w:val="20"/>
          <w:highlight w:val="none"/>
        </w:rPr>
        <w:t>·Cl～K·Na型水。</w:t>
      </w:r>
    </w:p>
    <w:p w14:paraId="15CA0E14">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地下水动态特征</w:t>
      </w:r>
    </w:p>
    <w:p w14:paraId="02A35932">
      <w:pPr>
        <w:widowControl/>
        <w:ind w:firstLine="480" w:firstLineChars="200"/>
        <w:rPr>
          <w:color w:val="auto"/>
          <w:szCs w:val="22"/>
          <w:highlight w:val="none"/>
        </w:rPr>
      </w:pPr>
      <w:r>
        <w:rPr>
          <w:color w:val="auto"/>
          <w:szCs w:val="22"/>
          <w:highlight w:val="none"/>
        </w:rPr>
        <w:t>艾比湖流域地下水动态主要受气象、水文地质条件和人类活动的影响，区内范围广阔，地下水类型较多，不同地段、不同地下水类型的动态变化有所差异。根据影响因素可以将</w:t>
      </w:r>
      <w:r>
        <w:rPr>
          <w:rFonts w:hint="eastAsia"/>
          <w:color w:val="auto"/>
          <w:szCs w:val="22"/>
          <w:highlight w:val="none"/>
          <w:lang w:eastAsia="zh-CN"/>
        </w:rPr>
        <w:t>艾比湖</w:t>
      </w:r>
      <w:r>
        <w:rPr>
          <w:color w:val="auto"/>
          <w:szCs w:val="22"/>
          <w:highlight w:val="none"/>
        </w:rPr>
        <w:t>地下水系统的地下水动态划分为渗入-径流型、渗入-开采型、渗入-蒸发型、径流-开采型等类型。</w:t>
      </w:r>
    </w:p>
    <w:p w14:paraId="1E28AA93">
      <w:pPr>
        <w:widowControl/>
        <w:ind w:firstLine="480" w:firstLineChars="200"/>
        <w:rPr>
          <w:color w:val="auto"/>
          <w:szCs w:val="22"/>
          <w:highlight w:val="none"/>
        </w:rPr>
      </w:pPr>
      <w:r>
        <w:rPr>
          <w:color w:val="auto"/>
          <w:szCs w:val="22"/>
          <w:highlight w:val="none"/>
        </w:rPr>
        <w:t>本项目评价区的地下水动态类型为渗入-蒸发型，</w:t>
      </w:r>
      <w:r>
        <w:rPr>
          <w:color w:val="auto"/>
          <w:szCs w:val="21"/>
          <w:highlight w:val="none"/>
        </w:rPr>
        <w:t>该区地下水水位动态主要受季节性影响，夏季8-9月份，随着河流丰水期的来临，地表水入渗增加，而此时段为全年气温最高期，蒸发加强，两种因素的叠加使得地下水位上升幅度不大。春季3-4月，随着春融地表水入渗增加，下游细土平原春灌使得地下水获得新的补给来源，水位抬升，此季节气温较低，蒸发相对较弱，此时为全年高水位期。</w:t>
      </w:r>
    </w:p>
    <w:p w14:paraId="22424C27">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bookmarkStart w:id="277" w:name="_Hlk106625893"/>
      <w:r>
        <w:rPr>
          <w:rFonts w:hint="eastAsia" w:ascii="Times New Roman" w:hAnsi="Times New Roman" w:eastAsia="宋体" w:cs="Times New Roman"/>
          <w:b w:val="0"/>
          <w:bCs w:val="0"/>
          <w:color w:val="auto"/>
          <w:kern w:val="2"/>
          <w:sz w:val="24"/>
          <w:szCs w:val="24"/>
          <w:highlight w:val="none"/>
          <w:lang w:val="en-US" w:eastAsia="zh-CN" w:bidi="ar-SA"/>
        </w:rPr>
        <w:t>包气带特性</w:t>
      </w:r>
    </w:p>
    <w:p w14:paraId="39D70B7F">
      <w:pPr>
        <w:widowControl/>
        <w:ind w:firstLine="480" w:firstLineChars="200"/>
        <w:rPr>
          <w:color w:val="auto"/>
          <w:szCs w:val="22"/>
          <w:highlight w:val="none"/>
        </w:rPr>
      </w:pPr>
      <w:r>
        <w:rPr>
          <w:color w:val="auto"/>
          <w:szCs w:val="22"/>
          <w:highlight w:val="none"/>
        </w:rPr>
        <w:t>根据机场岩土勘察报告，勘察揭露深度范围内地层主要为拟建场地在勘察深度20m左右内，出露地层为第四系更新统、全新统洪积层（Q</w:t>
      </w:r>
      <w:r>
        <w:rPr>
          <w:color w:val="auto"/>
          <w:szCs w:val="22"/>
          <w:highlight w:val="none"/>
          <w:vertAlign w:val="subscript"/>
        </w:rPr>
        <w:t>3-4</w:t>
      </w:r>
      <w:r>
        <w:rPr>
          <w:color w:val="auto"/>
          <w:szCs w:val="22"/>
          <w:highlight w:val="none"/>
          <w:vertAlign w:val="superscript"/>
        </w:rPr>
        <w:t>pl</w:t>
      </w:r>
      <w:r>
        <w:rPr>
          <w:color w:val="auto"/>
          <w:szCs w:val="22"/>
          <w:highlight w:val="none"/>
        </w:rPr>
        <w:t>），包气带厚3m～7.00m，主要构成为：</w:t>
      </w:r>
      <w:r>
        <w:rPr>
          <w:rFonts w:hint="eastAsia" w:ascii="宋体" w:hAnsi="宋体" w:cs="宋体"/>
          <w:color w:val="auto"/>
          <w:szCs w:val="22"/>
          <w:highlight w:val="none"/>
        </w:rPr>
        <w:t>①</w:t>
      </w:r>
      <w:r>
        <w:rPr>
          <w:color w:val="auto"/>
          <w:szCs w:val="22"/>
          <w:highlight w:val="none"/>
        </w:rPr>
        <w:t>耕土、</w:t>
      </w:r>
      <w:r>
        <w:rPr>
          <w:rFonts w:hint="eastAsia" w:ascii="宋体" w:hAnsi="宋体" w:cs="宋体"/>
          <w:color w:val="auto"/>
          <w:szCs w:val="22"/>
          <w:highlight w:val="none"/>
        </w:rPr>
        <w:t>①</w:t>
      </w:r>
      <w:r>
        <w:rPr>
          <w:color w:val="auto"/>
          <w:szCs w:val="22"/>
          <w:highlight w:val="none"/>
        </w:rPr>
        <w:t>1软土、</w:t>
      </w:r>
      <w:r>
        <w:rPr>
          <w:rFonts w:hint="eastAsia" w:ascii="宋体" w:hAnsi="宋体" w:cs="宋体"/>
          <w:color w:val="auto"/>
          <w:szCs w:val="22"/>
          <w:highlight w:val="none"/>
        </w:rPr>
        <w:t>②</w:t>
      </w:r>
      <w:r>
        <w:rPr>
          <w:color w:val="auto"/>
          <w:szCs w:val="22"/>
          <w:highlight w:val="none"/>
        </w:rPr>
        <w:t>粉质黏土、</w:t>
      </w:r>
      <w:r>
        <w:rPr>
          <w:rFonts w:hint="eastAsia" w:ascii="宋体" w:hAnsi="宋体" w:cs="宋体"/>
          <w:color w:val="auto"/>
          <w:szCs w:val="22"/>
          <w:highlight w:val="none"/>
        </w:rPr>
        <w:t>②</w:t>
      </w:r>
      <w:r>
        <w:rPr>
          <w:color w:val="auto"/>
          <w:szCs w:val="22"/>
          <w:highlight w:val="none"/>
        </w:rPr>
        <w:t>1黄土状粉土、</w:t>
      </w:r>
      <w:r>
        <w:rPr>
          <w:rFonts w:hint="eastAsia" w:ascii="宋体" w:hAnsi="宋体" w:cs="宋体"/>
          <w:color w:val="auto"/>
          <w:szCs w:val="22"/>
          <w:highlight w:val="none"/>
        </w:rPr>
        <w:t>②</w:t>
      </w:r>
      <w:r>
        <w:rPr>
          <w:color w:val="auto"/>
          <w:szCs w:val="22"/>
          <w:highlight w:val="none"/>
        </w:rPr>
        <w:t>2 粉土、</w:t>
      </w:r>
      <w:r>
        <w:rPr>
          <w:rFonts w:hint="eastAsia" w:ascii="宋体" w:hAnsi="宋体" w:cs="宋体"/>
          <w:color w:val="auto"/>
          <w:szCs w:val="22"/>
          <w:highlight w:val="none"/>
        </w:rPr>
        <w:t>②</w:t>
      </w:r>
      <w:r>
        <w:rPr>
          <w:color w:val="auto"/>
          <w:szCs w:val="22"/>
          <w:highlight w:val="none"/>
        </w:rPr>
        <w:t>3 细砂、</w:t>
      </w:r>
      <w:r>
        <w:rPr>
          <w:rFonts w:hint="eastAsia" w:ascii="宋体" w:hAnsi="宋体" w:cs="宋体"/>
          <w:color w:val="auto"/>
          <w:szCs w:val="22"/>
          <w:highlight w:val="none"/>
        </w:rPr>
        <w:t>③</w:t>
      </w:r>
      <w:r>
        <w:rPr>
          <w:color w:val="auto"/>
          <w:szCs w:val="22"/>
          <w:highlight w:val="none"/>
        </w:rPr>
        <w:t>砾砂、</w:t>
      </w:r>
      <w:r>
        <w:rPr>
          <w:rFonts w:hint="eastAsia" w:ascii="宋体" w:hAnsi="宋体" w:cs="宋体"/>
          <w:color w:val="auto"/>
          <w:szCs w:val="22"/>
          <w:highlight w:val="none"/>
        </w:rPr>
        <w:t>④</w:t>
      </w:r>
      <w:r>
        <w:rPr>
          <w:color w:val="auto"/>
          <w:szCs w:val="22"/>
          <w:highlight w:val="none"/>
        </w:rPr>
        <w:t>圆砾、</w:t>
      </w:r>
      <w:r>
        <w:rPr>
          <w:rFonts w:hint="eastAsia" w:ascii="宋体" w:hAnsi="宋体" w:cs="宋体"/>
          <w:color w:val="auto"/>
          <w:szCs w:val="22"/>
          <w:highlight w:val="none"/>
        </w:rPr>
        <w:t>④</w:t>
      </w:r>
      <w:r>
        <w:rPr>
          <w:color w:val="auto"/>
          <w:szCs w:val="22"/>
          <w:highlight w:val="none"/>
        </w:rPr>
        <w:t>1细砂、</w:t>
      </w:r>
      <w:r>
        <w:rPr>
          <w:rFonts w:hint="eastAsia" w:ascii="宋体" w:hAnsi="宋体" w:cs="宋体"/>
          <w:color w:val="auto"/>
          <w:szCs w:val="22"/>
          <w:highlight w:val="none"/>
        </w:rPr>
        <w:t>④</w:t>
      </w:r>
      <w:r>
        <w:rPr>
          <w:color w:val="auto"/>
          <w:szCs w:val="22"/>
          <w:highlight w:val="none"/>
        </w:rPr>
        <w:t>2粉土、</w:t>
      </w:r>
      <w:r>
        <w:rPr>
          <w:rFonts w:hint="eastAsia" w:ascii="宋体" w:hAnsi="宋体" w:cs="宋体"/>
          <w:color w:val="auto"/>
          <w:szCs w:val="22"/>
          <w:highlight w:val="none"/>
        </w:rPr>
        <w:t>④</w:t>
      </w:r>
      <w:r>
        <w:rPr>
          <w:color w:val="auto"/>
          <w:szCs w:val="22"/>
          <w:highlight w:val="none"/>
        </w:rPr>
        <w:t>3砾砂。具体分布情况见图5.5-3项目区工程地质剖面图。</w:t>
      </w:r>
    </w:p>
    <w:bookmarkEnd w:id="277"/>
    <w:p w14:paraId="043D5FAC">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施工期地下水环境影响分析</w:t>
      </w:r>
    </w:p>
    <w:p w14:paraId="0DEF40FB">
      <w:pPr>
        <w:widowControl/>
        <w:autoSpaceDE w:val="0"/>
        <w:autoSpaceDN w:val="0"/>
        <w:adjustRightInd w:val="0"/>
        <w:ind w:firstLine="480" w:firstLineChars="200"/>
        <w:rPr>
          <w:color w:val="auto"/>
          <w:kern w:val="0"/>
          <w:szCs w:val="22"/>
          <w:highlight w:val="none"/>
          <w:lang w:bidi="ar"/>
        </w:rPr>
      </w:pPr>
      <w:r>
        <w:rPr>
          <w:color w:val="auto"/>
          <w:kern w:val="0"/>
          <w:szCs w:val="22"/>
          <w:highlight w:val="none"/>
          <w:lang w:bidi="ar"/>
        </w:rPr>
        <w:t>（1）地基处理</w:t>
      </w:r>
    </w:p>
    <w:p w14:paraId="1C32D1DD">
      <w:pPr>
        <w:widowControl/>
        <w:autoSpaceDE w:val="0"/>
        <w:autoSpaceDN w:val="0"/>
        <w:adjustRightInd w:val="0"/>
        <w:ind w:firstLine="480" w:firstLineChars="200"/>
        <w:rPr>
          <w:color w:val="auto"/>
          <w:kern w:val="0"/>
          <w:szCs w:val="22"/>
          <w:highlight w:val="none"/>
        </w:rPr>
      </w:pPr>
      <w:r>
        <w:rPr>
          <w:color w:val="auto"/>
          <w:kern w:val="0"/>
          <w:szCs w:val="22"/>
          <w:highlight w:val="none"/>
          <w:lang w:bidi="ar"/>
        </w:rPr>
        <w:t>根据可行性研究报告地基处理设计，本项目清除厚度暂按1.0m考虑，本次考虑对1.0m以下的耕土进行超挖处理（超挖深度暂按1.0m计），进行换填处理。</w:t>
      </w:r>
      <w:r>
        <w:rPr>
          <w:bCs/>
          <w:color w:val="auto"/>
          <w:szCs w:val="22"/>
          <w:highlight w:val="none"/>
          <w:lang w:bidi="ar"/>
        </w:rPr>
        <w:t>根据项目水文地质条件，项目区主要含水层为第四系孔隙水，地下水埋深大于3</w:t>
      </w:r>
      <w:r>
        <w:rPr>
          <w:color w:val="auto"/>
          <w:szCs w:val="22"/>
          <w:highlight w:val="none"/>
          <w:lang w:bidi="ar"/>
        </w:rPr>
        <w:t>m</w:t>
      </w:r>
      <w:r>
        <w:rPr>
          <w:bCs/>
          <w:color w:val="auto"/>
          <w:szCs w:val="22"/>
          <w:highlight w:val="none"/>
          <w:lang w:bidi="ar"/>
        </w:rPr>
        <w:t>，地基处理不会对地下水水质产生影响。</w:t>
      </w:r>
    </w:p>
    <w:p w14:paraId="4486E32B">
      <w:pPr>
        <w:widowControl/>
        <w:ind w:firstLine="480" w:firstLineChars="200"/>
        <w:rPr>
          <w:color w:val="auto"/>
          <w:szCs w:val="22"/>
          <w:highlight w:val="none"/>
        </w:rPr>
      </w:pPr>
      <w:r>
        <w:rPr>
          <w:color w:val="auto"/>
          <w:szCs w:val="22"/>
          <w:highlight w:val="none"/>
        </w:rPr>
        <w:t>（2）施工期污废水</w:t>
      </w:r>
    </w:p>
    <w:p w14:paraId="41067C6E">
      <w:pPr>
        <w:widowControl/>
        <w:ind w:firstLine="480" w:firstLineChars="200"/>
        <w:rPr>
          <w:rFonts w:eastAsia="Times New Roman"/>
          <w:color w:val="auto"/>
          <w:szCs w:val="22"/>
          <w:highlight w:val="none"/>
        </w:rPr>
      </w:pPr>
      <w:r>
        <w:rPr>
          <w:color w:val="auto"/>
          <w:szCs w:val="22"/>
          <w:highlight w:val="none"/>
        </w:rPr>
        <w:t>施工期地下水污染源主要为生活污水、施工废渣、施工废水和油等，污染物主要为石油类、</w:t>
      </w:r>
      <w:r>
        <w:rPr>
          <w:rFonts w:eastAsia="Times New Roman"/>
          <w:color w:val="auto"/>
          <w:szCs w:val="22"/>
          <w:highlight w:val="none"/>
        </w:rPr>
        <w:t>COD</w:t>
      </w:r>
      <w:r>
        <w:rPr>
          <w:color w:val="auto"/>
          <w:szCs w:val="22"/>
          <w:highlight w:val="none"/>
        </w:rPr>
        <w:t>、氨氮及</w:t>
      </w:r>
      <w:r>
        <w:rPr>
          <w:rFonts w:eastAsia="Times New Roman"/>
          <w:color w:val="auto"/>
          <w:szCs w:val="22"/>
          <w:highlight w:val="none"/>
        </w:rPr>
        <w:t>SS</w:t>
      </w:r>
      <w:r>
        <w:rPr>
          <w:color w:val="auto"/>
          <w:szCs w:val="22"/>
          <w:highlight w:val="none"/>
        </w:rPr>
        <w:t>等。</w:t>
      </w:r>
    </w:p>
    <w:p w14:paraId="464D7A26">
      <w:pPr>
        <w:widowControl/>
        <w:numPr>
          <w:ilvl w:val="0"/>
          <w:numId w:val="17"/>
        </w:numPr>
        <w:jc w:val="left"/>
        <w:rPr>
          <w:color w:val="auto"/>
          <w:szCs w:val="22"/>
          <w:highlight w:val="none"/>
        </w:rPr>
      </w:pPr>
      <w:r>
        <w:rPr>
          <w:color w:val="auto"/>
          <w:szCs w:val="22"/>
          <w:highlight w:val="none"/>
          <w:lang w:bidi="ar"/>
        </w:rPr>
        <w:t>生活污水</w:t>
      </w:r>
    </w:p>
    <w:p w14:paraId="4CC95449">
      <w:pPr>
        <w:widowControl/>
        <w:ind w:firstLine="480" w:firstLineChars="200"/>
        <w:jc w:val="left"/>
        <w:rPr>
          <w:color w:val="auto"/>
          <w:szCs w:val="22"/>
          <w:highlight w:val="none"/>
        </w:rPr>
      </w:pPr>
      <w:r>
        <w:rPr>
          <w:color w:val="auto"/>
          <w:szCs w:val="22"/>
          <w:highlight w:val="none"/>
          <w:lang w:bidi="ar"/>
        </w:rPr>
        <w:t>施工营地生活污水一旦随意排放，将对地下水产生一定的污染。施工营地为临时设施，应设防渗漏的</w:t>
      </w:r>
      <w:r>
        <w:rPr>
          <w:color w:val="auto"/>
          <w:szCs w:val="22"/>
          <w:highlight w:val="none"/>
        </w:rPr>
        <w:t>环保厕所</w:t>
      </w:r>
      <w:r>
        <w:rPr>
          <w:color w:val="auto"/>
          <w:szCs w:val="22"/>
          <w:highlight w:val="none"/>
          <w:lang w:bidi="ar"/>
        </w:rPr>
        <w:t>，并由环卫部门清运，不外排。</w:t>
      </w:r>
    </w:p>
    <w:p w14:paraId="4E537D60">
      <w:pPr>
        <w:widowControl/>
        <w:numPr>
          <w:ilvl w:val="0"/>
          <w:numId w:val="17"/>
        </w:numPr>
        <w:jc w:val="left"/>
        <w:rPr>
          <w:color w:val="auto"/>
          <w:szCs w:val="22"/>
          <w:highlight w:val="none"/>
        </w:rPr>
      </w:pPr>
      <w:r>
        <w:rPr>
          <w:color w:val="auto"/>
          <w:szCs w:val="22"/>
          <w:highlight w:val="none"/>
          <w:lang w:bidi="ar"/>
        </w:rPr>
        <w:t>施工废渣、淤泥等</w:t>
      </w:r>
    </w:p>
    <w:p w14:paraId="32A31687">
      <w:pPr>
        <w:widowControl/>
        <w:ind w:firstLine="480" w:firstLineChars="200"/>
        <w:jc w:val="left"/>
        <w:rPr>
          <w:color w:val="auto"/>
          <w:szCs w:val="22"/>
          <w:highlight w:val="none"/>
          <w:lang w:bidi="ar"/>
        </w:rPr>
      </w:pPr>
      <w:r>
        <w:rPr>
          <w:color w:val="auto"/>
          <w:szCs w:val="22"/>
          <w:highlight w:val="none"/>
          <w:lang w:bidi="ar"/>
        </w:rPr>
        <w:t>施工期间，开挖基坑将产生大量废渣，基坑内部混凝土衬砌将产生一定量的废弃泥浆。这些废渣和废弃泥浆随意堆放，经过雨水淋滤将会对地下水产生污染。因此，应在废渣堆放场地修建挡墙，将废渣和废弃泥浆收集后集中处理。</w:t>
      </w:r>
    </w:p>
    <w:p w14:paraId="625F331F">
      <w:pPr>
        <w:widowControl/>
        <w:numPr>
          <w:ilvl w:val="0"/>
          <w:numId w:val="17"/>
        </w:numPr>
        <w:rPr>
          <w:color w:val="auto"/>
          <w:szCs w:val="22"/>
          <w:highlight w:val="none"/>
          <w:lang w:bidi="ar"/>
        </w:rPr>
      </w:pPr>
      <w:r>
        <w:rPr>
          <w:color w:val="auto"/>
          <w:szCs w:val="22"/>
          <w:highlight w:val="none"/>
          <w:lang w:bidi="ar"/>
        </w:rPr>
        <w:t>施工废水和废油</w:t>
      </w:r>
    </w:p>
    <w:p w14:paraId="3BF10D2E">
      <w:pPr>
        <w:widowControl/>
        <w:ind w:firstLine="480" w:firstLineChars="200"/>
        <w:rPr>
          <w:color w:val="auto"/>
          <w:szCs w:val="22"/>
          <w:highlight w:val="none"/>
        </w:rPr>
      </w:pPr>
      <w:r>
        <w:rPr>
          <w:color w:val="auto"/>
          <w:szCs w:val="22"/>
          <w:highlight w:val="none"/>
          <w:lang w:bidi="ar"/>
        </w:rPr>
        <w:t>施工期生产废水主要来自各类管道安装</w:t>
      </w:r>
      <w:r>
        <w:rPr>
          <w:rFonts w:hint="eastAsia"/>
          <w:color w:val="auto"/>
          <w:szCs w:val="22"/>
          <w:highlight w:val="none"/>
          <w:lang w:eastAsia="zh-CN" w:bidi="ar"/>
        </w:rPr>
        <w:t>完成</w:t>
      </w:r>
      <w:r>
        <w:rPr>
          <w:color w:val="auto"/>
          <w:szCs w:val="22"/>
          <w:highlight w:val="none"/>
          <w:lang w:bidi="ar"/>
        </w:rPr>
        <w:t>后清管和试压过程排放的废水，施工过程中各种施工机械设备洗涤用水和施工现场清洗、建材清洗等会产生废水。管道清管和试压过程中排放的废水主要污染物为泥沙等悬浮物，经沉淀后即可去除，这部分废水经沉淀后可回用于洒水降尘。其它建筑物施工过程中各种施工机械设备洗涤用水和施工现场清洗、建材清洗废水，含有一定量的油污和泥沙，虽然污水量较少，但直接排放会对当地环境造成不良影响，应建立临时性的防渗沉淀池，对含油污水和含沙污水加以处理，达标后排放。</w:t>
      </w:r>
    </w:p>
    <w:p w14:paraId="6625090D">
      <w:pPr>
        <w:widowControl/>
        <w:ind w:firstLine="480" w:firstLineChars="200"/>
        <w:rPr>
          <w:color w:val="auto"/>
          <w:szCs w:val="22"/>
          <w:highlight w:val="none"/>
        </w:rPr>
      </w:pPr>
      <w:r>
        <w:rPr>
          <w:color w:val="auto"/>
          <w:szCs w:val="22"/>
          <w:highlight w:val="none"/>
          <w:lang w:bidi="ar"/>
        </w:rPr>
        <w:t>综上，本项目施工期产生的生活、生产废水不外排，对地下水的影响较小。</w:t>
      </w:r>
    </w:p>
    <w:p w14:paraId="59C7E66A">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运营期地下水环境影响分析</w:t>
      </w:r>
    </w:p>
    <w:p w14:paraId="14470A09">
      <w:pPr>
        <w:widowControl/>
        <w:ind w:firstLine="480" w:firstLineChars="200"/>
        <w:rPr>
          <w:color w:val="auto"/>
          <w:szCs w:val="22"/>
          <w:highlight w:val="none"/>
          <w:lang w:bidi="ar"/>
        </w:rPr>
      </w:pPr>
      <w:r>
        <w:rPr>
          <w:color w:val="auto"/>
          <w:szCs w:val="22"/>
          <w:highlight w:val="none"/>
          <w:lang w:bidi="ar"/>
        </w:rPr>
        <w:t>根据工程分析，本项目对地下水可能产生影响的环节主要为加油装置、隔油池和污水收集池各地下构筑物。</w:t>
      </w:r>
    </w:p>
    <w:p w14:paraId="5D3B9FAA">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正常情况下环境影响分析</w:t>
      </w:r>
    </w:p>
    <w:p w14:paraId="70378F5C">
      <w:pPr>
        <w:widowControl/>
        <w:ind w:firstLine="480" w:firstLineChars="200"/>
        <w:rPr>
          <w:color w:val="auto"/>
          <w:szCs w:val="22"/>
          <w:highlight w:val="none"/>
        </w:rPr>
      </w:pPr>
      <w:r>
        <w:rPr>
          <w:rFonts w:hint="eastAsia"/>
          <w:color w:val="auto"/>
          <w:szCs w:val="22"/>
          <w:highlight w:val="none"/>
        </w:rPr>
        <w:t>在油车棚下游设置不小于82.45m</w:t>
      </w:r>
      <w:r>
        <w:rPr>
          <w:rFonts w:hint="eastAsia"/>
          <w:color w:val="auto"/>
          <w:szCs w:val="22"/>
          <w:highlight w:val="none"/>
          <w:vertAlign w:val="superscript"/>
        </w:rPr>
        <w:t>3</w:t>
      </w:r>
      <w:r>
        <w:rPr>
          <w:rFonts w:hint="eastAsia"/>
          <w:color w:val="auto"/>
          <w:szCs w:val="22"/>
          <w:highlight w:val="none"/>
        </w:rPr>
        <w:t>的防渗事故池，在发生事故时可满足暂存事故水的需求，防止含油污水污染周围土壤和地下水</w:t>
      </w:r>
      <w:r>
        <w:rPr>
          <w:color w:val="auto"/>
          <w:szCs w:val="22"/>
          <w:highlight w:val="none"/>
        </w:rPr>
        <w:t>，含油污水经隔油池静止沉降后，进入污水处理装置进行处理。各类污水收集池防渗措施满足《给排水构筑物工程施工及验收规范》（GB50141-2008）要求，正常情况下，无废水外排，对地下水环境影响小。</w:t>
      </w:r>
    </w:p>
    <w:p w14:paraId="5EA9D6AB">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非正常情况下环境影响分析</w:t>
      </w:r>
    </w:p>
    <w:p w14:paraId="38894E4F">
      <w:pPr>
        <w:keepNext w:val="0"/>
        <w:keepLines w:val="0"/>
        <w:pageBreakBefore w:val="0"/>
        <w:widowControl/>
        <w:kinsoku/>
        <w:wordWrap/>
        <w:overflowPunct/>
        <w:topLinePunct w:val="0"/>
        <w:autoSpaceDE/>
        <w:autoSpaceDN/>
        <w:bidi w:val="0"/>
        <w:adjustRightInd/>
        <w:snapToGrid/>
        <w:ind w:left="0" w:right="0" w:firstLine="480" w:firstLineChars="200"/>
        <w:textAlignment w:val="auto"/>
        <w:rPr>
          <w:color w:val="auto"/>
          <w:szCs w:val="22"/>
          <w:highlight w:val="none"/>
        </w:rPr>
      </w:pPr>
      <w:r>
        <w:rPr>
          <w:color w:val="auto"/>
          <w:szCs w:val="22"/>
          <w:highlight w:val="none"/>
        </w:rPr>
        <w:t>（</w:t>
      </w:r>
      <w:r>
        <w:rPr>
          <w:rFonts w:eastAsia="Times New Roman"/>
          <w:color w:val="auto"/>
          <w:szCs w:val="22"/>
          <w:highlight w:val="none"/>
        </w:rPr>
        <w:t>1</w:t>
      </w:r>
      <w:r>
        <w:rPr>
          <w:color w:val="auto"/>
          <w:szCs w:val="22"/>
          <w:highlight w:val="none"/>
        </w:rPr>
        <w:t>）地下水污染源识别</w:t>
      </w:r>
    </w:p>
    <w:p w14:paraId="5FE05FB3">
      <w:pPr>
        <w:keepNext w:val="0"/>
        <w:keepLines w:val="0"/>
        <w:pageBreakBefore w:val="0"/>
        <w:widowControl/>
        <w:kinsoku/>
        <w:wordWrap/>
        <w:overflowPunct/>
        <w:topLinePunct w:val="0"/>
        <w:autoSpaceDE/>
        <w:autoSpaceDN/>
        <w:bidi w:val="0"/>
        <w:adjustRightInd/>
        <w:snapToGrid/>
        <w:ind w:left="0" w:right="0" w:firstLine="480" w:firstLineChars="200"/>
        <w:textAlignment w:val="auto"/>
        <w:rPr>
          <w:color w:val="auto"/>
          <w:szCs w:val="22"/>
          <w:highlight w:val="none"/>
        </w:rPr>
      </w:pPr>
      <w:r>
        <w:rPr>
          <w:color w:val="auto"/>
          <w:szCs w:val="22"/>
          <w:highlight w:val="none"/>
        </w:rPr>
        <w:t>根据工程分析，本项目可能产生影响的主要是各类装置泄漏对地下水的影响。主要污染源包括以下几个方面：</w:t>
      </w:r>
    </w:p>
    <w:p w14:paraId="188EBAD2">
      <w:pPr>
        <w:keepNext w:val="0"/>
        <w:keepLines w:val="0"/>
        <w:pageBreakBefore w:val="0"/>
        <w:widowControl/>
        <w:numPr>
          <w:ilvl w:val="0"/>
          <w:numId w:val="0"/>
        </w:numPr>
        <w:kinsoku/>
        <w:wordWrap/>
        <w:overflowPunct/>
        <w:topLinePunct w:val="0"/>
        <w:autoSpaceDE/>
        <w:autoSpaceDN/>
        <w:bidi w:val="0"/>
        <w:adjustRightInd/>
        <w:snapToGrid/>
        <w:ind w:left="0" w:leftChars="0" w:right="0" w:rightChars="0" w:firstLine="480" w:firstLineChars="200"/>
        <w:textAlignment w:val="auto"/>
        <w:rPr>
          <w:color w:val="auto"/>
          <w:szCs w:val="22"/>
          <w:highlight w:val="none"/>
        </w:rPr>
      </w:pPr>
      <w:r>
        <w:rPr>
          <w:rFonts w:hint="eastAsia"/>
          <w:color w:val="auto"/>
          <w:szCs w:val="22"/>
          <w:highlight w:val="none"/>
          <w:lang w:val="en-US" w:eastAsia="zh-CN"/>
        </w:rPr>
        <w:t>①</w:t>
      </w:r>
      <w:r>
        <w:rPr>
          <w:color w:val="auto"/>
          <w:szCs w:val="22"/>
          <w:highlight w:val="none"/>
        </w:rPr>
        <w:t>加油装置</w:t>
      </w:r>
    </w:p>
    <w:p w14:paraId="134A0E7C">
      <w:pPr>
        <w:keepNext w:val="0"/>
        <w:keepLines w:val="0"/>
        <w:pageBreakBefore w:val="0"/>
        <w:widowControl/>
        <w:kinsoku/>
        <w:wordWrap/>
        <w:overflowPunct/>
        <w:topLinePunct w:val="0"/>
        <w:autoSpaceDE/>
        <w:autoSpaceDN/>
        <w:bidi w:val="0"/>
        <w:adjustRightInd/>
        <w:snapToGrid/>
        <w:ind w:left="0" w:right="0" w:firstLine="480" w:firstLineChars="200"/>
        <w:textAlignment w:val="auto"/>
        <w:rPr>
          <w:color w:val="auto"/>
          <w:szCs w:val="22"/>
          <w:highlight w:val="none"/>
        </w:rPr>
      </w:pPr>
      <w:r>
        <w:rPr>
          <w:color w:val="auto"/>
          <w:szCs w:val="22"/>
          <w:highlight w:val="none"/>
        </w:rPr>
        <w:t>在站坪南侧布设</w:t>
      </w:r>
      <w:r>
        <w:rPr>
          <w:rFonts w:hint="eastAsia"/>
          <w:color w:val="auto"/>
          <w:szCs w:val="22"/>
          <w:highlight w:val="none"/>
          <w:lang w:val="en-US" w:eastAsia="zh-CN"/>
        </w:rPr>
        <w:t>1处油车棚</w:t>
      </w:r>
      <w:r>
        <w:rPr>
          <w:color w:val="auto"/>
          <w:szCs w:val="22"/>
          <w:highlight w:val="none"/>
        </w:rPr>
        <w:t>，</w:t>
      </w:r>
      <w:r>
        <w:rPr>
          <w:rFonts w:hint="eastAsia"/>
          <w:color w:val="auto"/>
          <w:szCs w:val="22"/>
          <w:highlight w:val="none"/>
          <w:lang w:val="en-US" w:eastAsia="zh-CN"/>
        </w:rPr>
        <w:t>内设2辆罐式加油车，</w:t>
      </w:r>
      <w:r>
        <w:rPr>
          <w:color w:val="auto"/>
          <w:szCs w:val="22"/>
          <w:highlight w:val="none"/>
        </w:rPr>
        <w:t>容量合计</w:t>
      </w:r>
      <w:r>
        <w:rPr>
          <w:rFonts w:hint="eastAsia"/>
          <w:color w:val="auto"/>
          <w:szCs w:val="22"/>
          <w:highlight w:val="none"/>
          <w:lang w:val="en-US" w:eastAsia="zh-CN"/>
        </w:rPr>
        <w:t>35</w:t>
      </w:r>
      <w:r>
        <w:rPr>
          <w:color w:val="auto"/>
          <w:szCs w:val="22"/>
          <w:highlight w:val="none"/>
        </w:rPr>
        <w:t>m³。</w:t>
      </w:r>
    </w:p>
    <w:p w14:paraId="07D068B8">
      <w:pPr>
        <w:keepNext w:val="0"/>
        <w:keepLines w:val="0"/>
        <w:pageBreakBefore w:val="0"/>
        <w:widowControl/>
        <w:kinsoku/>
        <w:wordWrap/>
        <w:overflowPunct/>
        <w:topLinePunct w:val="0"/>
        <w:autoSpaceDE/>
        <w:autoSpaceDN/>
        <w:bidi w:val="0"/>
        <w:adjustRightInd/>
        <w:snapToGrid/>
        <w:ind w:left="0" w:right="0" w:firstLine="480" w:firstLineChars="200"/>
        <w:textAlignment w:val="auto"/>
        <w:rPr>
          <w:color w:val="auto"/>
          <w:szCs w:val="22"/>
          <w:highlight w:val="none"/>
        </w:rPr>
      </w:pPr>
      <w:r>
        <w:rPr>
          <w:rFonts w:hint="eastAsia"/>
          <w:color w:val="auto"/>
          <w:szCs w:val="22"/>
          <w:highlight w:val="none"/>
          <w:lang w:val="en-US" w:eastAsia="zh-CN"/>
        </w:rPr>
        <w:t>②</w:t>
      </w:r>
      <w:r>
        <w:rPr>
          <w:color w:val="auto"/>
          <w:szCs w:val="22"/>
          <w:highlight w:val="none"/>
        </w:rPr>
        <w:t>污水处理装置</w:t>
      </w:r>
    </w:p>
    <w:p w14:paraId="4748F6AD">
      <w:pPr>
        <w:keepNext w:val="0"/>
        <w:keepLines w:val="0"/>
        <w:pageBreakBefore w:val="0"/>
        <w:widowControl/>
        <w:kinsoku/>
        <w:wordWrap/>
        <w:overflowPunct/>
        <w:topLinePunct w:val="0"/>
        <w:autoSpaceDE/>
        <w:autoSpaceDN/>
        <w:bidi w:val="0"/>
        <w:adjustRightInd/>
        <w:snapToGrid/>
        <w:ind w:left="0" w:right="0" w:firstLine="480" w:firstLineChars="200"/>
        <w:textAlignment w:val="auto"/>
        <w:rPr>
          <w:color w:val="auto"/>
          <w:szCs w:val="22"/>
          <w:highlight w:val="none"/>
        </w:rPr>
      </w:pPr>
      <w:r>
        <w:rPr>
          <w:color w:val="auto"/>
          <w:szCs w:val="22"/>
          <w:highlight w:val="none"/>
        </w:rPr>
        <w:t>生产废水同</w:t>
      </w:r>
      <w:r>
        <w:rPr>
          <w:rFonts w:hint="eastAsia"/>
          <w:color w:val="auto"/>
          <w:szCs w:val="22"/>
          <w:highlight w:val="none"/>
        </w:rPr>
        <w:t>加油装置</w:t>
      </w:r>
      <w:r>
        <w:rPr>
          <w:rFonts w:hint="eastAsia" w:ascii="Times New Roman" w:eastAsia="宋体"/>
          <w:color w:val="auto"/>
          <w:szCs w:val="22"/>
          <w:highlight w:val="none"/>
          <w:lang w:val="en-US" w:eastAsia="zh-CN"/>
        </w:rPr>
        <w:t>区</w:t>
      </w:r>
      <w:r>
        <w:rPr>
          <w:color w:val="auto"/>
          <w:szCs w:val="22"/>
          <w:highlight w:val="none"/>
        </w:rPr>
        <w:t>初期雨水需经隔油处理后通过管道进入机场污水管网，最终进入污水处理站处理。机场新建一座污水处理站，设计采用</w:t>
      </w:r>
      <w:r>
        <w:rPr>
          <w:rFonts w:eastAsia="Times New Roman"/>
          <w:color w:val="auto"/>
          <w:szCs w:val="22"/>
          <w:highlight w:val="none"/>
        </w:rPr>
        <w:t>1</w:t>
      </w:r>
      <w:r>
        <w:rPr>
          <w:color w:val="auto"/>
          <w:szCs w:val="22"/>
          <w:highlight w:val="none"/>
        </w:rPr>
        <w:t>套处理能力为</w:t>
      </w:r>
      <w:r>
        <w:rPr>
          <w:rFonts w:hint="eastAsia"/>
          <w:color w:val="auto"/>
          <w:szCs w:val="22"/>
          <w:highlight w:val="none"/>
          <w:lang w:val="en-US" w:eastAsia="zh-CN"/>
        </w:rPr>
        <w:t>5</w:t>
      </w:r>
      <w:r>
        <w:rPr>
          <w:rFonts w:eastAsia="Times New Roman"/>
          <w:color w:val="auto"/>
          <w:szCs w:val="22"/>
          <w:highlight w:val="none"/>
        </w:rPr>
        <w:t>m</w:t>
      </w:r>
      <w:r>
        <w:rPr>
          <w:rFonts w:eastAsia="Times New Roman"/>
          <w:color w:val="auto"/>
          <w:szCs w:val="22"/>
          <w:highlight w:val="none"/>
          <w:vertAlign w:val="superscript"/>
        </w:rPr>
        <w:t>3</w:t>
      </w:r>
      <w:r>
        <w:rPr>
          <w:rFonts w:eastAsia="Times New Roman"/>
          <w:color w:val="auto"/>
          <w:szCs w:val="22"/>
          <w:highlight w:val="none"/>
        </w:rPr>
        <w:t>/h</w:t>
      </w:r>
      <w:r>
        <w:rPr>
          <w:color w:val="auto"/>
          <w:szCs w:val="22"/>
          <w:highlight w:val="none"/>
        </w:rPr>
        <w:t>的一体化</w:t>
      </w:r>
      <w:r>
        <w:rPr>
          <w:rFonts w:eastAsia="Times New Roman"/>
          <w:color w:val="auto"/>
          <w:szCs w:val="22"/>
          <w:highlight w:val="none"/>
        </w:rPr>
        <w:t>MBR</w:t>
      </w:r>
      <w:r>
        <w:rPr>
          <w:color w:val="auto"/>
          <w:szCs w:val="22"/>
          <w:highlight w:val="none"/>
        </w:rPr>
        <w:t>污水处理设施。</w:t>
      </w:r>
    </w:p>
    <w:p w14:paraId="4C07293B">
      <w:pPr>
        <w:widowControl/>
        <w:ind w:firstLine="480" w:firstLineChars="200"/>
        <w:rPr>
          <w:color w:val="auto"/>
          <w:szCs w:val="22"/>
          <w:highlight w:val="none"/>
        </w:rPr>
      </w:pPr>
      <w:r>
        <w:rPr>
          <w:color w:val="auto"/>
          <w:szCs w:val="22"/>
          <w:highlight w:val="none"/>
        </w:rPr>
        <w:t>（</w:t>
      </w:r>
      <w:r>
        <w:rPr>
          <w:rFonts w:eastAsia="Times New Roman"/>
          <w:color w:val="auto"/>
          <w:szCs w:val="22"/>
          <w:highlight w:val="none"/>
        </w:rPr>
        <w:t>2</w:t>
      </w:r>
      <w:r>
        <w:rPr>
          <w:color w:val="auto"/>
          <w:szCs w:val="22"/>
          <w:highlight w:val="none"/>
        </w:rPr>
        <w:t>）地下水环境影响预测</w:t>
      </w:r>
    </w:p>
    <w:p w14:paraId="33589B35">
      <w:pPr>
        <w:widowControl/>
        <w:ind w:firstLine="480" w:firstLineChars="200"/>
        <w:rPr>
          <w:color w:val="auto"/>
          <w:szCs w:val="22"/>
          <w:highlight w:val="none"/>
        </w:rPr>
      </w:pPr>
      <w:r>
        <w:rPr>
          <w:rFonts w:hint="eastAsia" w:ascii="宋体" w:hAnsi="宋体" w:cs="宋体"/>
          <w:color w:val="auto"/>
          <w:szCs w:val="22"/>
          <w:highlight w:val="none"/>
        </w:rPr>
        <w:t>①</w:t>
      </w:r>
      <w:r>
        <w:rPr>
          <w:color w:val="auto"/>
          <w:szCs w:val="22"/>
          <w:highlight w:val="none"/>
        </w:rPr>
        <w:t>预测情景</w:t>
      </w:r>
    </w:p>
    <w:p w14:paraId="02C9842D">
      <w:pPr>
        <w:widowControl/>
        <w:ind w:firstLine="480" w:firstLineChars="200"/>
        <w:rPr>
          <w:color w:val="auto"/>
          <w:szCs w:val="22"/>
          <w:highlight w:val="none"/>
        </w:rPr>
      </w:pPr>
      <w:r>
        <w:rPr>
          <w:color w:val="auto"/>
          <w:szCs w:val="22"/>
          <w:highlight w:val="none"/>
        </w:rPr>
        <w:t>污水处理站的储水构筑物可能因为设施防渗层老化、腐蚀、破裂等发生污染物泄漏，污染物会进入包气带进而逐步渗透进入地下水含水层，可能对场地及周边地下水造成污染。</w:t>
      </w:r>
      <w:r>
        <w:rPr>
          <w:color w:val="auto"/>
          <w:szCs w:val="22"/>
          <w:highlight w:val="none"/>
          <w:lang w:bidi="ar"/>
        </w:rPr>
        <w:t>污染物从地表进入浅层地下水，必然经过包气带，包气带的防污性能好坏直接影响着地下水污染程度和状况。根据场地工程地质和水文地质条件，机场场区包气带透水性较强，污染物污水渗漏造成的地下水污染途径主要是通过上部土层孔隙缓慢渗流补给地下水，污染机场下游的地下水含水层。渗漏污染方向与地下水径流方向基本一致。</w:t>
      </w:r>
    </w:p>
    <w:p w14:paraId="75B4AD53">
      <w:pPr>
        <w:widowControl/>
        <w:ind w:firstLine="480" w:firstLineChars="200"/>
        <w:rPr>
          <w:color w:val="auto"/>
          <w:szCs w:val="22"/>
          <w:highlight w:val="none"/>
          <w:lang w:bidi="ar"/>
        </w:rPr>
      </w:pPr>
      <w:r>
        <w:rPr>
          <w:color w:val="auto"/>
          <w:szCs w:val="22"/>
          <w:highlight w:val="none"/>
          <w:lang w:bidi="ar"/>
        </w:rPr>
        <w:t>本次评价假定污水站内污水池泄漏，污染物进入场地岩土层，进而进入地下水环境。</w:t>
      </w:r>
    </w:p>
    <w:p w14:paraId="3B54B670">
      <w:pPr>
        <w:widowControl/>
        <w:ind w:firstLine="480"/>
        <w:rPr>
          <w:color w:val="auto"/>
          <w:szCs w:val="22"/>
          <w:highlight w:val="none"/>
        </w:rPr>
      </w:pPr>
      <w:r>
        <w:rPr>
          <w:rFonts w:hint="eastAsia" w:ascii="宋体" w:hAnsi="宋体" w:cs="宋体"/>
          <w:color w:val="auto"/>
          <w:szCs w:val="22"/>
          <w:highlight w:val="none"/>
        </w:rPr>
        <w:t>②</w:t>
      </w:r>
      <w:r>
        <w:rPr>
          <w:color w:val="auto"/>
          <w:szCs w:val="22"/>
          <w:highlight w:val="none"/>
        </w:rPr>
        <w:t>预测方法</w:t>
      </w:r>
    </w:p>
    <w:p w14:paraId="5E708608">
      <w:pPr>
        <w:widowControl/>
        <w:ind w:firstLine="482"/>
        <w:rPr>
          <w:color w:val="auto"/>
          <w:highlight w:val="none"/>
        </w:rPr>
      </w:pPr>
      <w:r>
        <w:rPr>
          <w:color w:val="auto"/>
          <w:highlight w:val="none"/>
        </w:rPr>
        <w:t>按照《环境影响评价技术导则</w:t>
      </w:r>
      <w:r>
        <w:rPr>
          <w:rFonts w:hint="eastAsia" w:ascii="Times New Roman" w:eastAsia="宋体"/>
          <w:color w:val="auto"/>
          <w:highlight w:val="none"/>
          <w:lang w:val="en-US" w:eastAsia="zh-CN"/>
        </w:rPr>
        <w:t xml:space="preserve"> </w:t>
      </w:r>
      <w:r>
        <w:rPr>
          <w:color w:val="auto"/>
          <w:highlight w:val="none"/>
        </w:rPr>
        <w:t>地下水环境》（HJ610-2016）的规定，三级评价可采用解析法或类比评价法进行预测，场区所在区域水文地质条件相对简单，本次评价选择解析法进行预测。</w:t>
      </w:r>
    </w:p>
    <w:p w14:paraId="641C88B0">
      <w:pPr>
        <w:widowControl/>
        <w:ind w:firstLine="480"/>
        <w:rPr>
          <w:color w:val="auto"/>
          <w:szCs w:val="22"/>
          <w:highlight w:val="none"/>
        </w:rPr>
      </w:pPr>
      <w:r>
        <w:rPr>
          <w:color w:val="auto"/>
          <w:szCs w:val="22"/>
          <w:highlight w:val="none"/>
        </w:rPr>
        <w:t>可将污水池</w:t>
      </w:r>
      <w:r>
        <w:rPr>
          <w:rFonts w:hint="eastAsia"/>
          <w:color w:val="auto"/>
          <w:szCs w:val="22"/>
          <w:highlight w:val="none"/>
          <w:lang w:eastAsia="zh-CN"/>
        </w:rPr>
        <w:t>泄漏</w:t>
      </w:r>
      <w:r>
        <w:rPr>
          <w:color w:val="auto"/>
          <w:szCs w:val="22"/>
          <w:highlight w:val="none"/>
        </w:rPr>
        <w:t>情形下污染物在含水层中的迁移，概化为一维连续</w:t>
      </w:r>
      <w:r>
        <w:rPr>
          <w:rFonts w:hint="eastAsia"/>
          <w:color w:val="auto"/>
          <w:szCs w:val="22"/>
          <w:highlight w:val="none"/>
          <w:lang w:eastAsia="zh-CN"/>
        </w:rPr>
        <w:t>泄漏</w:t>
      </w:r>
      <w:r>
        <w:rPr>
          <w:color w:val="auto"/>
          <w:szCs w:val="22"/>
          <w:highlight w:val="none"/>
        </w:rPr>
        <w:t>点源的水动力弥散问题。</w:t>
      </w:r>
    </w:p>
    <w:p w14:paraId="3F60F5CC">
      <w:pPr>
        <w:widowControl/>
        <w:ind w:firstLine="480" w:firstLineChars="200"/>
        <w:rPr>
          <w:color w:val="auto"/>
          <w:szCs w:val="22"/>
          <w:highlight w:val="none"/>
        </w:rPr>
      </w:pPr>
      <w:r>
        <w:rPr>
          <w:rFonts w:hint="eastAsia" w:ascii="宋体" w:hAnsi="宋体" w:cs="宋体"/>
          <w:color w:val="auto"/>
          <w:szCs w:val="22"/>
          <w:highlight w:val="none"/>
        </w:rPr>
        <w:t>③</w:t>
      </w:r>
      <w:r>
        <w:rPr>
          <w:color w:val="auto"/>
          <w:szCs w:val="22"/>
          <w:highlight w:val="none"/>
        </w:rPr>
        <w:t>预测模型</w:t>
      </w:r>
    </w:p>
    <w:p w14:paraId="595F73E1">
      <w:pPr>
        <w:widowControl/>
        <w:ind w:firstLine="480"/>
        <w:rPr>
          <w:color w:val="auto"/>
          <w:highlight w:val="none"/>
        </w:rPr>
      </w:pPr>
      <w:bookmarkStart w:id="278" w:name="OLE_LINK19"/>
      <w:r>
        <w:rPr>
          <w:color w:val="auto"/>
          <w:highlight w:val="none"/>
        </w:rPr>
        <w:t>预测按最不利的情况设计情景，污染物泄漏直接进入地下水，并在含水层中沿水力梯度方向径流，</w:t>
      </w:r>
      <w:r>
        <w:rPr>
          <w:rFonts w:hint="eastAsia"/>
          <w:color w:val="auto"/>
          <w:highlight w:val="none"/>
          <w:lang w:eastAsia="zh-CN"/>
        </w:rPr>
        <w:t>污染物</w:t>
      </w:r>
      <w:r>
        <w:rPr>
          <w:color w:val="auto"/>
          <w:highlight w:val="none"/>
        </w:rPr>
        <w:t>浓度在未渗入地下水前不发生变化，不考虑污水在包气带中下渗过程的降解与吸附作用，不考虑含水层中对污染物的吸附、挥发、生物化学反应。设计情景为极端情况，用于表征污水排放对地下水环境的最大影响程度和影响范围。</w:t>
      </w:r>
    </w:p>
    <w:bookmarkEnd w:id="278"/>
    <w:p w14:paraId="6ECA8780">
      <w:pPr>
        <w:widowControl/>
        <w:ind w:firstLine="480"/>
        <w:rPr>
          <w:color w:val="auto"/>
          <w:szCs w:val="22"/>
          <w:highlight w:val="none"/>
        </w:rPr>
      </w:pPr>
      <w:r>
        <w:rPr>
          <w:color w:val="auto"/>
          <w:szCs w:val="22"/>
          <w:highlight w:val="none"/>
        </w:rPr>
        <w:t>污染物在含水层中的迁移，特别是</w:t>
      </w:r>
      <w:r>
        <w:rPr>
          <w:rFonts w:hint="eastAsia"/>
          <w:color w:val="auto"/>
          <w:szCs w:val="22"/>
          <w:highlight w:val="none"/>
          <w:lang w:eastAsia="zh-CN"/>
        </w:rPr>
        <w:t>泄漏</w:t>
      </w:r>
      <w:r>
        <w:rPr>
          <w:color w:val="auto"/>
          <w:szCs w:val="22"/>
          <w:highlight w:val="none"/>
        </w:rPr>
        <w:t>点的连续泄漏，造成的水环境污染会更加严重。本次按照《环境影响评价技术导则  地下水环境》（HJ610-2016）附录D中一维无限长多孔介质柱体，一端为定浓度边界预测模型进行预测，计算公式如下：</w:t>
      </w:r>
    </w:p>
    <w:p w14:paraId="73383ADA">
      <w:pPr>
        <w:widowControl/>
        <w:ind w:firstLine="480"/>
        <w:jc w:val="center"/>
        <w:rPr>
          <w:color w:val="auto"/>
          <w:szCs w:val="22"/>
          <w:highlight w:val="none"/>
        </w:rPr>
      </w:pPr>
      <w:r>
        <w:rPr>
          <w:color w:val="auto"/>
          <w:szCs w:val="22"/>
          <w:highlight w:val="none"/>
        </w:rPr>
        <w:fldChar w:fldCharType="begin"/>
      </w:r>
      <w:r>
        <w:rPr>
          <w:color w:val="auto"/>
          <w:szCs w:val="22"/>
          <w:highlight w:val="none"/>
        </w:rPr>
        <w:instrText xml:space="preserve"> INCLUDEPICTURE "C:\\Users\\hefei\\AppData\\Local\\Temp\\ksohtml\\wps9C7.tmp.jpg"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"C:\\Users\\hefei\\AppData\\Local\\Temp\\ksohtml\\wps9C7.tmp.jpg"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"C:\\Users\\hefei\\AppData\\Local\\Temp\\ksohtml\\wps9C7.tmp.jpg"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"C:\\Users\\hefei\\AppData\\Local\\Temp\\ksohtml\\wps9C7.tmp.jpg"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"C:\\Users\\hefei\\AppData\\Local\\Temp\\ksohtml\\wps9C7.tmp.jpg"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"C:\\Users\\hefei\\AppData\\Local\\Temp\\ksohtml\\wps9C7.tmp.jpg"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"C:\\Users\\hefei\\AppData\\Local\\Temp\\ksohtml\\wps9C7.tmp.jpg"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"C:\\Users\\hefei\\AppData\\Local\\Temp\\ksohtml\\wps9C7.tmp.jpg"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"C:\\Users\\hefei\\AppData\\Local\\Temp\\ksohtml\\wps9C7.tmp.jpg"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"C:\\Users\\hefei\\AppData\\Local\\Temp\\ksohtml\\wps9C7.tmp.jpg"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"C:\\Users\\hefei\\AppData\\Local\\Temp\\ksohtml\\wps9C7.tmp.jpg"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"C:\\Users\\hefei\\AppData\\Local\\Temp\\ksohtml\\wps9C7.tmp.jpg"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"C:\\Users\\hefei\\AppData\\Local\\Temp\\ksohtml\\wps9C7.tmp.jpg"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"C:\\Users\\hefei\\AppData\\Local\\Temp\\ksohtml\\wps9C7.tmp.jpg"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"C:\\Users\\hefei\\AppData\\Local\\Temp\\ksohtml\\wps9C7.tmp.jpg"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"C:\\Users\\hefei\\AppData\\Local\\Temp\\ksohtml\\wps9C7.tmp.jpg"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"E:\\2022\\hefei\\AppData\\Local\\Temp\\ksohtml\\wps9C7.tmp.jpg"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"E:\\2022\\hefei\\AppData\\Local\\Temp\\ksohtml\\wps9C7.tmp.jpg"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"E:\\2022\\hefei\\AppData\\Local\\Temp\\ksohtml\\wps9C7.tmp.jpg"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"E:\\2022\\hefei\\AppData\\Local\\Temp\\ksohtml\\wps9C7.tmp.jpg"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"D:\\汪东\\【2022】\\零7碎8\\hefei\\AppData\\Local\\Temp\\ksohtml\\wps9C7.tmp.jpg"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"F:\\工作\\2023\\hefei\\AppData\\Local\\Temp\\ksohtml\\wps9C7.tmp.jpg"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"F:\\工作\\2023\\hefei\\AppData\\Local\\Temp\\ksohtml\\wps9C7.tmp.jpg"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"F:\\工作\\2023\\精河机场\\hefei\\AppData\\Local\\Temp\\ksohtml\\wps9C7.tmp.jpg"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"F:\\工作\\2023\\精河机场\\hefei\\AppData\\Local\\Temp\\ksohtml\\wps9C7.tmp.jpg"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"F:\\工作\\2023\\精河机场\\精河机场\\hefei\\AppData\\Local\\Temp\\ksohtml\\wps9C7.tmp.jpg"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"F:\\工作\\2023\\15精河机场\\精河机场\\hefei\\AppData\\Local\\Temp\\ksohtml\\wps9C7.tmp.jpg"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INCLUDEPICTURE  "F:\\工作\\2023\\15精河机场\\精河机场\\hefei\\AppData\\Local\\Temp\\ksohtml\\wps9C7.tmp.jpg" \* MERGEFORMATINET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w:instrText>
      </w:r>
      <w:r>
        <w:rPr>
          <w:rFonts w:hint="eastAsia"/>
          <w:color w:val="auto"/>
          <w:szCs w:val="22"/>
          <w:highlight w:val="none"/>
        </w:rPr>
        <w:instrText xml:space="preserve">INCLUDEPICTURE  "D:\\汪东\\【2023】\\2-报告书\\【2022249】新疆精河通用机场建设项目\\精河机场\\hefei\\AppData\\Local\\Temp\\ksohtml\\wps9C7.tmp.jpg" \* MERGEFORMATINET</w:instrText>
      </w:r>
      <w:r>
        <w:rPr>
          <w:color w:val="auto"/>
          <w:szCs w:val="22"/>
          <w:highlight w:val="none"/>
        </w:rPr>
        <w:instrText xml:space="preserve">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w:instrText>
      </w:r>
      <w:r>
        <w:rPr>
          <w:rFonts w:hint="eastAsia"/>
          <w:color w:val="auto"/>
          <w:szCs w:val="22"/>
          <w:highlight w:val="none"/>
        </w:rPr>
        <w:instrText xml:space="preserve">INCLUDEPICTURE  "D:\\汪东\\【2023】\\2-报告书\\【2022249】新疆精河通用机场建设项目\\精河机场\\hefei\\AppData\\Local\\Temp\\ksohtml\\wps9C7.tmp.jpg" \* MERGEFORMATINET</w:instrText>
      </w:r>
      <w:r>
        <w:rPr>
          <w:color w:val="auto"/>
          <w:szCs w:val="22"/>
          <w:highlight w:val="none"/>
        </w:rPr>
        <w:instrText xml:space="preserve">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w:instrText>
      </w:r>
      <w:r>
        <w:rPr>
          <w:rFonts w:hint="eastAsia"/>
          <w:color w:val="auto"/>
          <w:szCs w:val="22"/>
          <w:highlight w:val="none"/>
        </w:rPr>
        <w:instrText xml:space="preserve">INCLUDEPICTURE  "D:\\汪东\\【2023】\\2-报告书\\【2022249】新疆精河通用机场建设项目\\精河机场\\hefei\\AppData\\Local\\Temp\\ksohtml\\wps9C7.tmp.jpg" \* MERGEFORMATINET</w:instrText>
      </w:r>
      <w:r>
        <w:rPr>
          <w:color w:val="auto"/>
          <w:szCs w:val="22"/>
          <w:highlight w:val="none"/>
        </w:rPr>
        <w:instrText xml:space="preserve">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w:instrText>
      </w:r>
      <w:r>
        <w:rPr>
          <w:rFonts w:hint="eastAsia"/>
          <w:color w:val="auto"/>
          <w:szCs w:val="22"/>
          <w:highlight w:val="none"/>
        </w:rPr>
        <w:instrText xml:space="preserve">INCLUDEPICTURE  "D:\\汪东\\【2023】\\2-报告书\\【2022249】新疆精河通用机场建设项目\\精河机场\\hefei\\AppData\\Local\\Temp\\ksohtml\\wps9C7.tmp.jpg" \* MERGEFORMATINET</w:instrText>
      </w:r>
      <w:r>
        <w:rPr>
          <w:color w:val="auto"/>
          <w:szCs w:val="22"/>
          <w:highlight w:val="none"/>
        </w:rPr>
        <w:instrText xml:space="preserve">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w:instrText>
      </w:r>
      <w:r>
        <w:rPr>
          <w:rFonts w:hint="eastAsia"/>
          <w:color w:val="auto"/>
          <w:szCs w:val="22"/>
          <w:highlight w:val="none"/>
        </w:rPr>
        <w:instrText xml:space="preserve">INCLUDEPICTURE  "D:\\汪东\\【2023】\\2-报告书\\【2022249】新疆精河通用机场建设项目\\精河机场\\hefei\\AppData\\Local\\Temp\\ksohtml\\wps9C7.tmp.jpg" \* MERGEFORMATINET</w:instrText>
      </w:r>
      <w:r>
        <w:rPr>
          <w:color w:val="auto"/>
          <w:szCs w:val="22"/>
          <w:highlight w:val="none"/>
        </w:rPr>
        <w:instrText xml:space="preserve">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w:instrText>
      </w:r>
      <w:r>
        <w:rPr>
          <w:rFonts w:hint="eastAsia"/>
          <w:color w:val="auto"/>
          <w:szCs w:val="22"/>
          <w:highlight w:val="none"/>
        </w:rPr>
        <w:instrText xml:space="preserve">INCLUDEPICTURE  "D:\\汪东\\【2023】\\2-报告书\\【2022249】新疆精河通用机场建设项目\\精河机场\\hefei\\AppData\\Local\\Temp\\ksohtml\\wps9C7.tmp.jpg" \* MERGEFORMATINET</w:instrText>
      </w:r>
      <w:r>
        <w:rPr>
          <w:color w:val="auto"/>
          <w:szCs w:val="22"/>
          <w:highlight w:val="none"/>
        </w:rPr>
        <w:instrText xml:space="preserve">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w:instrText>
      </w:r>
      <w:r>
        <w:rPr>
          <w:rFonts w:hint="eastAsia"/>
          <w:color w:val="auto"/>
          <w:szCs w:val="22"/>
          <w:highlight w:val="none"/>
        </w:rPr>
        <w:instrText xml:space="preserve">INCLUDEPICTURE  "D:\\汪东\\【2023】\\2-报告书\\【2022249】新疆精河通用机场建设项目\\精河机场\\hefei\\AppData\\Local\\Temp\\ksohtml\\wps9C7.tmp.jpg" \* MERGEFORMATINET</w:instrText>
      </w:r>
      <w:r>
        <w:rPr>
          <w:color w:val="auto"/>
          <w:szCs w:val="22"/>
          <w:highlight w:val="none"/>
        </w:rPr>
        <w:instrText xml:space="preserve"> </w:instrText>
      </w:r>
      <w:r>
        <w:rPr>
          <w:color w:val="auto"/>
          <w:szCs w:val="22"/>
          <w:highlight w:val="none"/>
        </w:rPr>
        <w:fldChar w:fldCharType="separate"/>
      </w:r>
      <w:r>
        <w:rPr>
          <w:color w:val="auto"/>
          <w:szCs w:val="22"/>
          <w:highlight w:val="none"/>
        </w:rPr>
        <w:fldChar w:fldCharType="begin"/>
      </w:r>
      <w:r>
        <w:rPr>
          <w:color w:val="auto"/>
          <w:szCs w:val="22"/>
          <w:highlight w:val="none"/>
        </w:rPr>
        <w:instrText xml:space="preserve"> </w:instrText>
      </w:r>
      <w:r>
        <w:rPr>
          <w:rFonts w:hint="eastAsia"/>
          <w:color w:val="auto"/>
          <w:szCs w:val="22"/>
          <w:highlight w:val="none"/>
        </w:rPr>
        <w:instrText xml:space="preserve">INCLUDEPICTURE  "D:\\汪东\\【2023】\\2-报告书\\【2022249】新疆精河通用机场建设项目\\精河机场\\hefei\\AppData\\Local\\Temp\\ksohtml\\wps9C7.tmp.jpg" \* MERGEFORMATINET</w:instrText>
      </w:r>
      <w:r>
        <w:rPr>
          <w:color w:val="auto"/>
          <w:szCs w:val="22"/>
          <w:highlight w:val="none"/>
        </w:rPr>
        <w:instrText xml:space="preserve"> </w:instrText>
      </w:r>
      <w:r>
        <w:rPr>
          <w:color w:val="auto"/>
          <w:szCs w:val="22"/>
          <w:highlight w:val="none"/>
        </w:rPr>
        <w:fldChar w:fldCharType="separate"/>
      </w:r>
      <w:r>
        <w:rPr>
          <w:color w:val="auto"/>
          <w:szCs w:val="22"/>
          <w:highlight w:val="none"/>
        </w:rPr>
        <w:drawing>
          <wp:inline distT="0" distB="0" distL="114300" distR="114300">
            <wp:extent cx="2200910" cy="436245"/>
            <wp:effectExtent l="0" t="0" r="8890" b="1905"/>
            <wp:docPr id="6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51"/>
                    <pic:cNvPicPr>
                      <a:picLocks noChangeAspect="1"/>
                    </pic:cNvPicPr>
                  </pic:nvPicPr>
                  <pic:blipFill>
                    <a:blip r:embed="rId11" r:link="rId12"/>
                    <a:stretch>
                      <a:fillRect/>
                    </a:stretch>
                  </pic:blipFill>
                  <pic:spPr>
                    <a:xfrm>
                      <a:off x="0" y="0"/>
                      <a:ext cx="2200910" cy="436245"/>
                    </a:xfrm>
                    <a:prstGeom prst="rect">
                      <a:avLst/>
                    </a:prstGeom>
                    <a:noFill/>
                    <a:ln>
                      <a:noFill/>
                    </a:ln>
                  </pic:spPr>
                </pic:pic>
              </a:graphicData>
            </a:graphic>
          </wp:inline>
        </w:drawing>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r>
        <w:rPr>
          <w:color w:val="auto"/>
          <w:szCs w:val="22"/>
          <w:highlight w:val="none"/>
        </w:rPr>
        <w:fldChar w:fldCharType="end"/>
      </w:r>
    </w:p>
    <w:p w14:paraId="2856C487">
      <w:pPr>
        <w:widowControl/>
        <w:ind w:firstLine="480" w:firstLineChars="200"/>
        <w:jc w:val="left"/>
        <w:rPr>
          <w:color w:val="auto"/>
          <w:szCs w:val="22"/>
          <w:highlight w:val="none"/>
        </w:rPr>
      </w:pPr>
      <w:r>
        <w:rPr>
          <w:color w:val="auto"/>
          <w:szCs w:val="22"/>
          <w:highlight w:val="none"/>
        </w:rPr>
        <w:t>以上式中：x—距注入点的距离，m；</w:t>
      </w:r>
    </w:p>
    <w:p w14:paraId="03D036A6">
      <w:pPr>
        <w:widowControl/>
        <w:ind w:firstLine="1680" w:firstLineChars="700"/>
        <w:jc w:val="left"/>
        <w:rPr>
          <w:color w:val="auto"/>
          <w:szCs w:val="22"/>
          <w:highlight w:val="none"/>
        </w:rPr>
      </w:pPr>
      <w:r>
        <w:rPr>
          <w:color w:val="auto"/>
          <w:szCs w:val="22"/>
          <w:highlight w:val="none"/>
        </w:rPr>
        <w:t>t—时间，d；</w:t>
      </w:r>
    </w:p>
    <w:p w14:paraId="337739E5">
      <w:pPr>
        <w:widowControl/>
        <w:ind w:firstLine="1680" w:firstLineChars="700"/>
        <w:jc w:val="left"/>
        <w:rPr>
          <w:color w:val="auto"/>
          <w:szCs w:val="22"/>
          <w:highlight w:val="none"/>
        </w:rPr>
      </w:pPr>
      <w:r>
        <w:rPr>
          <w:color w:val="auto"/>
          <w:szCs w:val="22"/>
          <w:highlight w:val="none"/>
        </w:rPr>
        <w:t>C（x，t）—t时刻x处的示踪剂浓度，g/l；</w:t>
      </w:r>
    </w:p>
    <w:p w14:paraId="1B6B2DFD">
      <w:pPr>
        <w:widowControl/>
        <w:ind w:firstLine="1680" w:firstLineChars="700"/>
        <w:jc w:val="left"/>
        <w:rPr>
          <w:color w:val="auto"/>
          <w:szCs w:val="22"/>
          <w:highlight w:val="none"/>
        </w:rPr>
      </w:pPr>
      <w:r>
        <w:rPr>
          <w:color w:val="auto"/>
          <w:szCs w:val="22"/>
          <w:highlight w:val="none"/>
        </w:rPr>
        <w:t>C</w:t>
      </w:r>
      <w:r>
        <w:rPr>
          <w:color w:val="auto"/>
          <w:szCs w:val="22"/>
          <w:highlight w:val="none"/>
          <w:vertAlign w:val="subscript"/>
        </w:rPr>
        <w:t>0——</w:t>
      </w:r>
      <w:r>
        <w:rPr>
          <w:color w:val="auto"/>
          <w:szCs w:val="22"/>
          <w:highlight w:val="none"/>
        </w:rPr>
        <w:t>注入的示踪剂浓度，g/l；</w:t>
      </w:r>
    </w:p>
    <w:p w14:paraId="5EC959F0">
      <w:pPr>
        <w:widowControl/>
        <w:ind w:firstLine="1680" w:firstLineChars="700"/>
        <w:jc w:val="left"/>
        <w:rPr>
          <w:color w:val="auto"/>
          <w:szCs w:val="22"/>
          <w:highlight w:val="none"/>
        </w:rPr>
      </w:pPr>
      <w:r>
        <w:rPr>
          <w:color w:val="auto"/>
          <w:szCs w:val="22"/>
          <w:highlight w:val="none"/>
        </w:rPr>
        <w:t>u-水流速度，m/d；</w:t>
      </w:r>
    </w:p>
    <w:p w14:paraId="08297592">
      <w:pPr>
        <w:widowControl/>
        <w:ind w:firstLine="1680" w:firstLineChars="700"/>
        <w:jc w:val="left"/>
        <w:rPr>
          <w:color w:val="auto"/>
          <w:szCs w:val="22"/>
          <w:highlight w:val="none"/>
        </w:rPr>
      </w:pPr>
      <w:r>
        <w:rPr>
          <w:color w:val="auto"/>
          <w:szCs w:val="22"/>
          <w:highlight w:val="none"/>
        </w:rPr>
        <w:t>n—有效孔隙度，无量纲；</w:t>
      </w:r>
    </w:p>
    <w:p w14:paraId="2AD75168">
      <w:pPr>
        <w:widowControl/>
        <w:ind w:firstLine="1680" w:firstLineChars="700"/>
        <w:jc w:val="left"/>
        <w:rPr>
          <w:color w:val="auto"/>
          <w:szCs w:val="22"/>
          <w:highlight w:val="none"/>
        </w:rPr>
      </w:pPr>
      <w:r>
        <w:rPr>
          <w:color w:val="auto"/>
          <w:szCs w:val="22"/>
          <w:highlight w:val="none"/>
        </w:rPr>
        <w:t>D</w:t>
      </w:r>
      <w:r>
        <w:rPr>
          <w:color w:val="auto"/>
          <w:szCs w:val="22"/>
          <w:highlight w:val="none"/>
          <w:vertAlign w:val="subscript"/>
        </w:rPr>
        <w:t>L</w:t>
      </w:r>
      <w:r>
        <w:rPr>
          <w:color w:val="auto"/>
          <w:szCs w:val="22"/>
          <w:highlight w:val="none"/>
        </w:rPr>
        <w:t>—纵向弥散系数，m</w:t>
      </w:r>
      <w:r>
        <w:rPr>
          <w:color w:val="auto"/>
          <w:szCs w:val="22"/>
          <w:highlight w:val="none"/>
          <w:vertAlign w:val="superscript"/>
        </w:rPr>
        <w:t>2</w:t>
      </w:r>
      <w:r>
        <w:rPr>
          <w:color w:val="auto"/>
          <w:szCs w:val="22"/>
          <w:highlight w:val="none"/>
        </w:rPr>
        <w:t>/d；</w:t>
      </w:r>
    </w:p>
    <w:p w14:paraId="007CA25B">
      <w:pPr>
        <w:widowControl/>
        <w:ind w:firstLine="1680" w:firstLineChars="700"/>
        <w:jc w:val="left"/>
        <w:rPr>
          <w:color w:val="auto"/>
          <w:szCs w:val="22"/>
          <w:highlight w:val="none"/>
        </w:rPr>
      </w:pPr>
      <w:r>
        <w:rPr>
          <w:color w:val="auto"/>
          <w:szCs w:val="22"/>
          <w:highlight w:val="none"/>
        </w:rPr>
        <w:t>erfc（  ）—余误差函数。</w:t>
      </w:r>
    </w:p>
    <w:p w14:paraId="328DFEEE">
      <w:pPr>
        <w:keepNext w:val="0"/>
        <w:keepLines w:val="0"/>
        <w:pageBreakBefore w:val="0"/>
        <w:widowControl/>
        <w:kinsoku/>
        <w:wordWrap/>
        <w:overflowPunct/>
        <w:topLinePunct w:val="0"/>
        <w:autoSpaceDE/>
        <w:autoSpaceDN/>
        <w:bidi w:val="0"/>
        <w:adjustRightInd/>
        <w:snapToGrid/>
        <w:spacing w:line="360" w:lineRule="auto"/>
        <w:ind w:firstLine="480"/>
        <w:textAlignment w:val="auto"/>
        <w:rPr>
          <w:color w:val="auto"/>
          <w:highlight w:val="none"/>
        </w:rPr>
      </w:pPr>
      <w:r>
        <w:rPr>
          <w:rFonts w:hint="eastAsia" w:ascii="宋体" w:hAnsi="宋体" w:cs="宋体"/>
          <w:color w:val="auto"/>
          <w:highlight w:val="none"/>
        </w:rPr>
        <w:t>④</w:t>
      </w:r>
      <w:r>
        <w:rPr>
          <w:color w:val="auto"/>
          <w:highlight w:val="none"/>
        </w:rPr>
        <w:t>预测参数</w:t>
      </w:r>
    </w:p>
    <w:p w14:paraId="04343F6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auto"/>
          <w:szCs w:val="22"/>
          <w:highlight w:val="none"/>
        </w:rPr>
      </w:pPr>
      <w:r>
        <w:rPr>
          <w:color w:val="auto"/>
          <w:szCs w:val="22"/>
          <w:highlight w:val="none"/>
        </w:rPr>
        <w:t>本次预测水文地质参数主要通过历史勘察资料及经验参数综合</w:t>
      </w:r>
      <w:r>
        <w:rPr>
          <w:rFonts w:hint="eastAsia"/>
          <w:color w:val="auto"/>
          <w:szCs w:val="22"/>
          <w:highlight w:val="none"/>
          <w:lang w:eastAsia="zh-CN"/>
        </w:rPr>
        <w:t>确定</w:t>
      </w:r>
      <w:r>
        <w:rPr>
          <w:color w:val="auto"/>
          <w:szCs w:val="22"/>
          <w:highlight w:val="none"/>
        </w:rPr>
        <w:t>，根据建设项目特征，本次预测特征因子选取石油类。模型中所需参数及来源见表5</w:t>
      </w:r>
      <w:r>
        <w:rPr>
          <w:rFonts w:hint="eastAsia" w:ascii="Times New Roman" w:eastAsia="宋体"/>
          <w:color w:val="auto"/>
          <w:szCs w:val="22"/>
          <w:highlight w:val="none"/>
          <w:lang w:val="en-US" w:eastAsia="zh-CN"/>
        </w:rPr>
        <w:t>-</w:t>
      </w:r>
      <w:r>
        <w:rPr>
          <w:color w:val="auto"/>
          <w:szCs w:val="22"/>
          <w:highlight w:val="none"/>
        </w:rPr>
        <w:t>5-2。</w:t>
      </w:r>
    </w:p>
    <w:p w14:paraId="7BE7B39B">
      <w:pPr>
        <w:keepNext w:val="0"/>
        <w:keepLines w:val="0"/>
        <w:pageBreakBefore w:val="0"/>
        <w:kinsoku/>
        <w:wordWrap/>
        <w:overflowPunct/>
        <w:topLinePunct w:val="0"/>
        <w:autoSpaceDE/>
        <w:autoSpaceDN/>
        <w:bidi w:val="0"/>
        <w:adjustRightInd/>
        <w:snapToGrid/>
        <w:spacing w:line="240" w:lineRule="auto"/>
        <w:ind w:firstLine="0"/>
        <w:jc w:val="center"/>
        <w:textAlignment w:val="auto"/>
        <w:rPr>
          <w:rFonts w:eastAsia="黑体"/>
          <w:color w:val="auto"/>
          <w:sz w:val="21"/>
          <w:szCs w:val="18"/>
          <w:highlight w:val="none"/>
        </w:rPr>
      </w:pPr>
      <w:r>
        <w:rPr>
          <w:rFonts w:eastAsia="黑体"/>
          <w:color w:val="auto"/>
          <w:sz w:val="21"/>
          <w:szCs w:val="18"/>
          <w:highlight w:val="none"/>
        </w:rPr>
        <w:t>表5</w:t>
      </w:r>
      <w:r>
        <w:rPr>
          <w:rFonts w:hint="eastAsia" w:eastAsia="黑体"/>
          <w:color w:val="auto"/>
          <w:sz w:val="21"/>
          <w:szCs w:val="18"/>
          <w:highlight w:val="none"/>
          <w:lang w:val="en-US" w:eastAsia="zh-CN"/>
        </w:rPr>
        <w:t>-</w:t>
      </w:r>
      <w:r>
        <w:rPr>
          <w:rFonts w:eastAsia="黑体"/>
          <w:color w:val="auto"/>
          <w:sz w:val="21"/>
          <w:szCs w:val="18"/>
          <w:highlight w:val="none"/>
        </w:rPr>
        <w:t>5-2水质预测模型所需参数一览表</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591"/>
        <w:gridCol w:w="912"/>
        <w:gridCol w:w="844"/>
        <w:gridCol w:w="5357"/>
      </w:tblGrid>
      <w:tr w14:paraId="0921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7" w:type="dxa"/>
            <w:vAlign w:val="center"/>
          </w:tcPr>
          <w:p w14:paraId="1D8420CC">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序号</w:t>
            </w:r>
          </w:p>
        </w:tc>
        <w:tc>
          <w:tcPr>
            <w:tcW w:w="591" w:type="dxa"/>
            <w:vAlign w:val="center"/>
          </w:tcPr>
          <w:p w14:paraId="60242D2B">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参数符号</w:t>
            </w:r>
          </w:p>
        </w:tc>
        <w:tc>
          <w:tcPr>
            <w:tcW w:w="912" w:type="dxa"/>
            <w:vAlign w:val="center"/>
          </w:tcPr>
          <w:p w14:paraId="19DCAD3E">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参数名称</w:t>
            </w:r>
          </w:p>
        </w:tc>
        <w:tc>
          <w:tcPr>
            <w:tcW w:w="844" w:type="dxa"/>
            <w:vAlign w:val="center"/>
          </w:tcPr>
          <w:p w14:paraId="70998C41">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参数数值</w:t>
            </w:r>
          </w:p>
        </w:tc>
        <w:tc>
          <w:tcPr>
            <w:tcW w:w="5357" w:type="dxa"/>
            <w:vAlign w:val="center"/>
          </w:tcPr>
          <w:p w14:paraId="6F4AADFD">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数值来源</w:t>
            </w:r>
          </w:p>
        </w:tc>
      </w:tr>
      <w:tr w14:paraId="0D19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7" w:type="dxa"/>
            <w:vAlign w:val="center"/>
          </w:tcPr>
          <w:p w14:paraId="17EE18A0">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1</w:t>
            </w:r>
          </w:p>
        </w:tc>
        <w:tc>
          <w:tcPr>
            <w:tcW w:w="591" w:type="dxa"/>
            <w:vAlign w:val="center"/>
          </w:tcPr>
          <w:p w14:paraId="46C04B88">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u</w:t>
            </w:r>
          </w:p>
        </w:tc>
        <w:tc>
          <w:tcPr>
            <w:tcW w:w="912" w:type="dxa"/>
            <w:vAlign w:val="center"/>
          </w:tcPr>
          <w:p w14:paraId="2588CABF">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水流速度</w:t>
            </w:r>
          </w:p>
        </w:tc>
        <w:tc>
          <w:tcPr>
            <w:tcW w:w="844" w:type="dxa"/>
            <w:vAlign w:val="center"/>
          </w:tcPr>
          <w:p w14:paraId="2479CF6C">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0.45m/d</w:t>
            </w:r>
          </w:p>
        </w:tc>
        <w:tc>
          <w:tcPr>
            <w:tcW w:w="5357" w:type="dxa"/>
            <w:vAlign w:val="center"/>
          </w:tcPr>
          <w:p w14:paraId="6F67FB4C">
            <w:pPr>
              <w:keepNext w:val="0"/>
              <w:keepLines w:val="0"/>
              <w:suppressLineNumbers w:val="0"/>
              <w:spacing w:before="0" w:beforeAutospacing="0" w:after="0" w:afterAutospacing="0" w:line="240" w:lineRule="auto"/>
              <w:ind w:left="0" w:right="0" w:firstLine="0"/>
              <w:jc w:val="left"/>
              <w:rPr>
                <w:rFonts w:hint="default"/>
                <w:color w:val="auto"/>
                <w:sz w:val="21"/>
                <w:highlight w:val="none"/>
              </w:rPr>
            </w:pPr>
            <w:r>
              <w:rPr>
                <w:rFonts w:hint="default"/>
                <w:color w:val="auto"/>
                <w:sz w:val="21"/>
                <w:highlight w:val="none"/>
              </w:rPr>
              <w:t>地下水的平均实际流速u=KI/n，渗透系数取导则中推荐的经验值50m/d，根据勘察资料，水力坡度约为3‰。</w:t>
            </w:r>
          </w:p>
        </w:tc>
      </w:tr>
      <w:tr w14:paraId="09FD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7" w:type="dxa"/>
            <w:vAlign w:val="center"/>
          </w:tcPr>
          <w:p w14:paraId="18C7D1BF">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2</w:t>
            </w:r>
          </w:p>
        </w:tc>
        <w:tc>
          <w:tcPr>
            <w:tcW w:w="591" w:type="dxa"/>
            <w:vAlign w:val="center"/>
          </w:tcPr>
          <w:p w14:paraId="480C52FF">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D</w:t>
            </w:r>
            <w:r>
              <w:rPr>
                <w:rFonts w:hint="default"/>
                <w:color w:val="auto"/>
                <w:sz w:val="21"/>
                <w:highlight w:val="none"/>
                <w:vertAlign w:val="subscript"/>
              </w:rPr>
              <w:t>L</w:t>
            </w:r>
          </w:p>
        </w:tc>
        <w:tc>
          <w:tcPr>
            <w:tcW w:w="912" w:type="dxa"/>
            <w:vAlign w:val="center"/>
          </w:tcPr>
          <w:p w14:paraId="44EC2CA8">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纵向弥散系数</w:t>
            </w:r>
          </w:p>
        </w:tc>
        <w:tc>
          <w:tcPr>
            <w:tcW w:w="844" w:type="dxa"/>
            <w:vAlign w:val="center"/>
          </w:tcPr>
          <w:p w14:paraId="1CA4952D">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4.5m</w:t>
            </w:r>
            <w:r>
              <w:rPr>
                <w:rFonts w:hint="default"/>
                <w:color w:val="auto"/>
                <w:sz w:val="21"/>
                <w:highlight w:val="none"/>
                <w:vertAlign w:val="superscript"/>
              </w:rPr>
              <w:t>2</w:t>
            </w:r>
            <w:r>
              <w:rPr>
                <w:rFonts w:hint="default"/>
                <w:color w:val="auto"/>
                <w:sz w:val="21"/>
                <w:highlight w:val="none"/>
              </w:rPr>
              <w:t>/d</w:t>
            </w:r>
          </w:p>
        </w:tc>
        <w:tc>
          <w:tcPr>
            <w:tcW w:w="5357" w:type="dxa"/>
            <w:vAlign w:val="center"/>
          </w:tcPr>
          <w:p w14:paraId="396D453F">
            <w:pPr>
              <w:keepNext w:val="0"/>
              <w:keepLines w:val="0"/>
              <w:suppressLineNumbers w:val="0"/>
              <w:spacing w:before="0" w:beforeAutospacing="0" w:after="0" w:afterAutospacing="0" w:line="240" w:lineRule="auto"/>
              <w:ind w:left="0" w:right="0" w:firstLine="0"/>
              <w:jc w:val="left"/>
              <w:rPr>
                <w:rFonts w:hint="default"/>
                <w:color w:val="auto"/>
                <w:sz w:val="21"/>
                <w:highlight w:val="none"/>
              </w:rPr>
            </w:pPr>
            <w:r>
              <w:rPr>
                <w:rFonts w:hint="default"/>
                <w:color w:val="auto"/>
                <w:sz w:val="21"/>
                <w:highlight w:val="none"/>
              </w:rPr>
              <w:t>D</w:t>
            </w:r>
            <w:r>
              <w:rPr>
                <w:rFonts w:hint="default"/>
                <w:color w:val="auto"/>
                <w:sz w:val="21"/>
                <w:highlight w:val="none"/>
                <w:vertAlign w:val="subscript"/>
              </w:rPr>
              <w:t>L</w:t>
            </w:r>
            <w:r>
              <w:rPr>
                <w:rFonts w:hint="default"/>
                <w:color w:val="auto"/>
                <w:sz w:val="21"/>
                <w:highlight w:val="none"/>
              </w:rPr>
              <w:t>=aLu，aL为纵向弥散度。参考前人的研究成果，弥散度应介于1～10之间，按照最不利的评价原则，本次模拟取弥散度参数值取10。</w:t>
            </w:r>
          </w:p>
        </w:tc>
      </w:tr>
      <w:tr w14:paraId="443E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7" w:type="dxa"/>
            <w:vAlign w:val="center"/>
          </w:tcPr>
          <w:p w14:paraId="226B4F8A">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3</w:t>
            </w:r>
          </w:p>
        </w:tc>
        <w:tc>
          <w:tcPr>
            <w:tcW w:w="591" w:type="dxa"/>
            <w:vAlign w:val="center"/>
          </w:tcPr>
          <w:p w14:paraId="7CB4499E">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n</w:t>
            </w:r>
          </w:p>
        </w:tc>
        <w:tc>
          <w:tcPr>
            <w:tcW w:w="912" w:type="dxa"/>
            <w:vAlign w:val="center"/>
          </w:tcPr>
          <w:p w14:paraId="094830DD">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有效孔隙度</w:t>
            </w:r>
          </w:p>
        </w:tc>
        <w:tc>
          <w:tcPr>
            <w:tcW w:w="844" w:type="dxa"/>
            <w:vAlign w:val="center"/>
          </w:tcPr>
          <w:p w14:paraId="4B5D4EAE">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33.5%</w:t>
            </w:r>
          </w:p>
        </w:tc>
        <w:tc>
          <w:tcPr>
            <w:tcW w:w="5357" w:type="dxa"/>
            <w:vAlign w:val="center"/>
          </w:tcPr>
          <w:p w14:paraId="7829A911">
            <w:pPr>
              <w:keepNext w:val="0"/>
              <w:keepLines w:val="0"/>
              <w:suppressLineNumbers w:val="0"/>
              <w:spacing w:before="0" w:beforeAutospacing="0" w:after="0" w:afterAutospacing="0" w:line="240" w:lineRule="auto"/>
              <w:ind w:left="0" w:right="0" w:firstLine="0"/>
              <w:jc w:val="left"/>
              <w:rPr>
                <w:rFonts w:hint="default"/>
                <w:color w:val="auto"/>
                <w:sz w:val="21"/>
                <w:highlight w:val="none"/>
              </w:rPr>
            </w:pPr>
            <w:r>
              <w:rPr>
                <w:rFonts w:hint="default"/>
                <w:color w:val="auto"/>
                <w:sz w:val="21"/>
                <w:highlight w:val="none"/>
              </w:rPr>
              <w:t>依据评价区水文地质条件及《水文地质手册》（第二版），有效孔隙度n取0.335。</w:t>
            </w:r>
          </w:p>
        </w:tc>
      </w:tr>
      <w:tr w14:paraId="57D4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7" w:type="dxa"/>
            <w:vAlign w:val="center"/>
          </w:tcPr>
          <w:p w14:paraId="20869677">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4</w:t>
            </w:r>
          </w:p>
        </w:tc>
        <w:tc>
          <w:tcPr>
            <w:tcW w:w="591" w:type="dxa"/>
            <w:vAlign w:val="center"/>
          </w:tcPr>
          <w:p w14:paraId="22835522">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t</w:t>
            </w:r>
          </w:p>
        </w:tc>
        <w:tc>
          <w:tcPr>
            <w:tcW w:w="912" w:type="dxa"/>
            <w:vAlign w:val="center"/>
          </w:tcPr>
          <w:p w14:paraId="5A57E501">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时间</w:t>
            </w:r>
          </w:p>
        </w:tc>
        <w:tc>
          <w:tcPr>
            <w:tcW w:w="6201" w:type="dxa"/>
            <w:gridSpan w:val="2"/>
            <w:vAlign w:val="center"/>
          </w:tcPr>
          <w:p w14:paraId="7D6871EF">
            <w:pPr>
              <w:keepNext w:val="0"/>
              <w:keepLines w:val="0"/>
              <w:suppressLineNumbers w:val="0"/>
              <w:spacing w:before="0" w:beforeAutospacing="0" w:after="0" w:afterAutospacing="0" w:line="240" w:lineRule="auto"/>
              <w:ind w:left="0" w:right="0" w:firstLine="0"/>
              <w:jc w:val="left"/>
              <w:rPr>
                <w:rFonts w:hint="default"/>
                <w:color w:val="auto"/>
                <w:sz w:val="21"/>
                <w:highlight w:val="none"/>
              </w:rPr>
            </w:pPr>
            <w:r>
              <w:rPr>
                <w:rFonts w:hint="default"/>
                <w:color w:val="auto"/>
                <w:sz w:val="21"/>
                <w:highlight w:val="none"/>
              </w:rPr>
              <w:t>计算发生渗漏100d、1000d、3650d后各预测点的浓度</w:t>
            </w:r>
          </w:p>
        </w:tc>
      </w:tr>
      <w:tr w14:paraId="42F4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7" w:type="dxa"/>
            <w:vAlign w:val="center"/>
          </w:tcPr>
          <w:p w14:paraId="52BFE4A0">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5</w:t>
            </w:r>
          </w:p>
        </w:tc>
        <w:tc>
          <w:tcPr>
            <w:tcW w:w="591" w:type="dxa"/>
            <w:vAlign w:val="center"/>
          </w:tcPr>
          <w:p w14:paraId="7A30F117">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C</w:t>
            </w:r>
            <w:r>
              <w:rPr>
                <w:rFonts w:hint="default"/>
                <w:color w:val="auto"/>
                <w:sz w:val="21"/>
                <w:highlight w:val="none"/>
                <w:vertAlign w:val="subscript"/>
              </w:rPr>
              <w:t>0</w:t>
            </w:r>
          </w:p>
        </w:tc>
        <w:tc>
          <w:tcPr>
            <w:tcW w:w="912" w:type="dxa"/>
            <w:vAlign w:val="center"/>
          </w:tcPr>
          <w:p w14:paraId="0AB9D490">
            <w:pPr>
              <w:keepNext w:val="0"/>
              <w:keepLines w:val="0"/>
              <w:suppressLineNumbers w:val="0"/>
              <w:spacing w:before="0" w:beforeAutospacing="0" w:after="0" w:afterAutospacing="0" w:line="240" w:lineRule="auto"/>
              <w:ind w:left="0" w:right="0" w:firstLine="0"/>
              <w:jc w:val="center"/>
              <w:rPr>
                <w:rFonts w:hint="default"/>
                <w:color w:val="auto"/>
                <w:sz w:val="21"/>
                <w:highlight w:val="none"/>
              </w:rPr>
            </w:pPr>
            <w:r>
              <w:rPr>
                <w:rFonts w:hint="default"/>
                <w:color w:val="auto"/>
                <w:sz w:val="21"/>
                <w:highlight w:val="none"/>
              </w:rPr>
              <w:t>污染物浓度</w:t>
            </w:r>
          </w:p>
        </w:tc>
        <w:tc>
          <w:tcPr>
            <w:tcW w:w="6201" w:type="dxa"/>
            <w:gridSpan w:val="2"/>
            <w:vAlign w:val="center"/>
          </w:tcPr>
          <w:p w14:paraId="060D16C5">
            <w:pPr>
              <w:keepNext w:val="0"/>
              <w:keepLines w:val="0"/>
              <w:suppressLineNumbers w:val="0"/>
              <w:spacing w:before="0" w:beforeAutospacing="0" w:after="0" w:afterAutospacing="0" w:line="240" w:lineRule="auto"/>
              <w:ind w:left="0" w:right="0" w:firstLine="0"/>
              <w:jc w:val="left"/>
              <w:rPr>
                <w:rFonts w:hint="default"/>
                <w:color w:val="auto"/>
                <w:sz w:val="21"/>
                <w:highlight w:val="none"/>
              </w:rPr>
            </w:pPr>
            <w:r>
              <w:rPr>
                <w:rFonts w:hint="default"/>
                <w:color w:val="auto"/>
                <w:sz w:val="21"/>
                <w:highlight w:val="none"/>
              </w:rPr>
              <w:t>参照TPHCWG（1997）中关于石油类污染物的溶解度等相关文献，取18 mg/L为石油类可溶态污染物的最高浓度值。石油类参照《地表水环境质量标准》（GB3838-2002）中</w:t>
            </w:r>
            <w:r>
              <w:rPr>
                <w:rFonts w:hint="eastAsia" w:ascii="宋体" w:hAnsi="宋体" w:cs="宋体"/>
                <w:color w:val="auto"/>
                <w:sz w:val="21"/>
                <w:highlight w:val="none"/>
              </w:rPr>
              <w:t>Ⅲ</w:t>
            </w:r>
            <w:r>
              <w:rPr>
                <w:rFonts w:hint="default"/>
                <w:color w:val="auto"/>
                <w:sz w:val="21"/>
                <w:highlight w:val="none"/>
              </w:rPr>
              <w:t>类，将石油类污染物浓度标准定为0.05mg/L。检出限为0.01mg/L。</w:t>
            </w:r>
          </w:p>
        </w:tc>
      </w:tr>
    </w:tbl>
    <w:p w14:paraId="3BF2A302">
      <w:pPr>
        <w:widowControl/>
        <w:ind w:firstLine="480" w:firstLineChars="200"/>
        <w:rPr>
          <w:color w:val="auto"/>
          <w:szCs w:val="22"/>
          <w:highlight w:val="none"/>
        </w:rPr>
      </w:pPr>
      <w:r>
        <w:rPr>
          <w:rFonts w:hint="eastAsia"/>
          <w:color w:val="auto"/>
          <w:szCs w:val="22"/>
          <w:highlight w:val="none"/>
        </w:rPr>
        <w:t>⑤</w:t>
      </w:r>
      <w:r>
        <w:rPr>
          <w:color w:val="auto"/>
          <w:szCs w:val="22"/>
          <w:highlight w:val="none"/>
        </w:rPr>
        <w:t>预测因子</w:t>
      </w:r>
    </w:p>
    <w:p w14:paraId="20FD72ED">
      <w:pPr>
        <w:widowControl/>
        <w:ind w:firstLine="480" w:firstLineChars="200"/>
        <w:rPr>
          <w:color w:val="auto"/>
          <w:szCs w:val="22"/>
          <w:highlight w:val="none"/>
        </w:rPr>
      </w:pPr>
      <w:r>
        <w:rPr>
          <w:color w:val="auto"/>
          <w:szCs w:val="22"/>
          <w:highlight w:val="none"/>
        </w:rPr>
        <w:t>根据前述污染源分析，本项目运营期污水处理站</w:t>
      </w:r>
      <w:r>
        <w:rPr>
          <w:rFonts w:hint="eastAsia"/>
          <w:color w:val="auto"/>
          <w:szCs w:val="22"/>
          <w:highlight w:val="none"/>
          <w:lang w:eastAsia="zh-CN"/>
        </w:rPr>
        <w:t>泄漏</w:t>
      </w:r>
      <w:r>
        <w:rPr>
          <w:color w:val="auto"/>
          <w:szCs w:val="22"/>
          <w:highlight w:val="none"/>
        </w:rPr>
        <w:t>，污染物主要有石油类、COD、氨氮等，对每一类别中的各项因子采取标准指数法进行排序，分别取标准指数最大的因子作为预测因子，根据排序结果，本次选取石油类作为预测特征因子。</w:t>
      </w:r>
    </w:p>
    <w:p w14:paraId="1E660863">
      <w:pPr>
        <w:widowControl/>
        <w:ind w:firstLine="480" w:firstLineChars="200"/>
        <w:rPr>
          <w:color w:val="auto"/>
          <w:szCs w:val="22"/>
          <w:highlight w:val="none"/>
        </w:rPr>
      </w:pPr>
      <w:r>
        <w:rPr>
          <w:rFonts w:hint="eastAsia"/>
          <w:color w:val="auto"/>
          <w:szCs w:val="22"/>
          <w:highlight w:val="none"/>
          <w:lang w:val="en-US" w:eastAsia="zh-CN"/>
        </w:rPr>
        <w:t>⑥</w:t>
      </w:r>
      <w:r>
        <w:rPr>
          <w:color w:val="auto"/>
          <w:szCs w:val="22"/>
          <w:highlight w:val="none"/>
        </w:rPr>
        <w:t>预测结果与分析</w:t>
      </w:r>
    </w:p>
    <w:p w14:paraId="40A20AE3">
      <w:pPr>
        <w:widowControl/>
        <w:ind w:firstLine="480" w:firstLineChars="200"/>
        <w:rPr>
          <w:bCs/>
          <w:color w:val="auto"/>
          <w:szCs w:val="22"/>
          <w:highlight w:val="none"/>
        </w:rPr>
      </w:pPr>
      <w:r>
        <w:rPr>
          <w:bCs/>
          <w:color w:val="auto"/>
          <w:szCs w:val="22"/>
          <w:highlight w:val="none"/>
        </w:rPr>
        <w:t>将以上确定</w:t>
      </w:r>
      <w:r>
        <w:rPr>
          <w:rFonts w:hint="eastAsia"/>
          <w:bCs/>
          <w:color w:val="auto"/>
          <w:szCs w:val="22"/>
          <w:highlight w:val="none"/>
          <w:lang w:eastAsia="zh-CN"/>
        </w:rPr>
        <w:t>的</w:t>
      </w:r>
      <w:r>
        <w:rPr>
          <w:bCs/>
          <w:color w:val="auto"/>
          <w:szCs w:val="22"/>
          <w:highlight w:val="none"/>
        </w:rPr>
        <w:t>参数代入模型，便可以求出不同时段，在预测情景下，</w:t>
      </w:r>
      <w:r>
        <w:rPr>
          <w:rFonts w:hint="eastAsia"/>
          <w:bCs/>
          <w:color w:val="auto"/>
          <w:szCs w:val="22"/>
          <w:highlight w:val="none"/>
          <w:lang w:eastAsia="zh-CN"/>
        </w:rPr>
        <w:t>泄漏</w:t>
      </w:r>
      <w:r>
        <w:rPr>
          <w:bCs/>
          <w:color w:val="auto"/>
          <w:szCs w:val="22"/>
          <w:highlight w:val="none"/>
        </w:rPr>
        <w:t>了不同天数（100天、1000天、3650天）时，污染物在含水层不同位置的浓度分布情况。具体见表5</w:t>
      </w:r>
      <w:r>
        <w:rPr>
          <w:rFonts w:hint="eastAsia" w:ascii="Times New Roman" w:eastAsia="宋体"/>
          <w:bCs/>
          <w:color w:val="auto"/>
          <w:szCs w:val="22"/>
          <w:highlight w:val="none"/>
          <w:lang w:val="en-US" w:eastAsia="zh-CN"/>
        </w:rPr>
        <w:t>-</w:t>
      </w:r>
      <w:r>
        <w:rPr>
          <w:bCs/>
          <w:color w:val="auto"/>
          <w:szCs w:val="22"/>
          <w:highlight w:val="none"/>
        </w:rPr>
        <w:t>5-3、表5</w:t>
      </w:r>
      <w:r>
        <w:rPr>
          <w:rFonts w:hint="eastAsia" w:ascii="Times New Roman" w:eastAsia="宋体"/>
          <w:bCs/>
          <w:color w:val="auto"/>
          <w:szCs w:val="22"/>
          <w:highlight w:val="none"/>
          <w:lang w:val="en-US" w:eastAsia="zh-CN"/>
        </w:rPr>
        <w:t>-</w:t>
      </w:r>
      <w:r>
        <w:rPr>
          <w:bCs/>
          <w:color w:val="auto"/>
          <w:szCs w:val="22"/>
          <w:highlight w:val="none"/>
        </w:rPr>
        <w:t>5-4，图5</w:t>
      </w:r>
      <w:r>
        <w:rPr>
          <w:rFonts w:hint="eastAsia" w:ascii="Times New Roman" w:eastAsia="宋体"/>
          <w:bCs/>
          <w:color w:val="auto"/>
          <w:szCs w:val="22"/>
          <w:highlight w:val="none"/>
          <w:lang w:val="en-US" w:eastAsia="zh-CN"/>
        </w:rPr>
        <w:t>-</w:t>
      </w:r>
      <w:r>
        <w:rPr>
          <w:bCs/>
          <w:color w:val="auto"/>
          <w:szCs w:val="22"/>
          <w:highlight w:val="none"/>
        </w:rPr>
        <w:t>5-3。</w:t>
      </w:r>
    </w:p>
    <w:p w14:paraId="0601B44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eastAsia="黑体"/>
          <w:color w:val="auto"/>
          <w:sz w:val="21"/>
          <w:szCs w:val="18"/>
          <w:highlight w:val="none"/>
        </w:rPr>
      </w:pPr>
      <w:r>
        <w:rPr>
          <w:rFonts w:eastAsia="黑体"/>
          <w:color w:val="auto"/>
          <w:sz w:val="21"/>
          <w:szCs w:val="18"/>
          <w:highlight w:val="none"/>
        </w:rPr>
        <w:t>表5</w:t>
      </w:r>
      <w:r>
        <w:rPr>
          <w:rFonts w:hint="eastAsia" w:eastAsia="黑体"/>
          <w:color w:val="auto"/>
          <w:sz w:val="21"/>
          <w:szCs w:val="18"/>
          <w:highlight w:val="none"/>
          <w:lang w:val="en-US" w:eastAsia="zh-CN"/>
        </w:rPr>
        <w:t>-</w:t>
      </w:r>
      <w:r>
        <w:rPr>
          <w:rFonts w:eastAsia="黑体"/>
          <w:color w:val="auto"/>
          <w:sz w:val="21"/>
          <w:szCs w:val="18"/>
          <w:highlight w:val="none"/>
        </w:rPr>
        <w:t>5-3污染物在潜水含水层中的浓度迁移预测结果</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1657"/>
        <w:gridCol w:w="1249"/>
        <w:gridCol w:w="1657"/>
        <w:gridCol w:w="1249"/>
        <w:gridCol w:w="1659"/>
      </w:tblGrid>
      <w:tr w14:paraId="6E4D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6" w:type="pct"/>
            <w:gridSpan w:val="2"/>
            <w:noWrap/>
            <w:vAlign w:val="center"/>
          </w:tcPr>
          <w:p w14:paraId="15299F7F">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100d</w:t>
            </w:r>
          </w:p>
        </w:tc>
        <w:tc>
          <w:tcPr>
            <w:tcW w:w="1666" w:type="pct"/>
            <w:gridSpan w:val="2"/>
            <w:noWrap/>
            <w:vAlign w:val="center"/>
          </w:tcPr>
          <w:p w14:paraId="04C93373">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1000d</w:t>
            </w:r>
          </w:p>
        </w:tc>
        <w:tc>
          <w:tcPr>
            <w:tcW w:w="1667" w:type="pct"/>
            <w:gridSpan w:val="2"/>
            <w:noWrap/>
            <w:vAlign w:val="center"/>
          </w:tcPr>
          <w:p w14:paraId="715956E4">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3650d</w:t>
            </w:r>
          </w:p>
        </w:tc>
      </w:tr>
      <w:tr w14:paraId="2820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6" w:type="pct"/>
            <w:noWrap/>
            <w:vAlign w:val="center"/>
          </w:tcPr>
          <w:p w14:paraId="054E7F0E">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距离（m）</w:t>
            </w:r>
          </w:p>
        </w:tc>
        <w:tc>
          <w:tcPr>
            <w:tcW w:w="950" w:type="pct"/>
            <w:noWrap/>
            <w:vAlign w:val="center"/>
          </w:tcPr>
          <w:p w14:paraId="27C33CDB">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浓度c（mg/L）</w:t>
            </w:r>
          </w:p>
        </w:tc>
        <w:tc>
          <w:tcPr>
            <w:tcW w:w="716" w:type="pct"/>
            <w:noWrap/>
            <w:vAlign w:val="center"/>
          </w:tcPr>
          <w:p w14:paraId="3EA56EFE">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距离（m）</w:t>
            </w:r>
          </w:p>
        </w:tc>
        <w:tc>
          <w:tcPr>
            <w:tcW w:w="950" w:type="pct"/>
            <w:noWrap/>
            <w:vAlign w:val="center"/>
          </w:tcPr>
          <w:p w14:paraId="519EBEC6">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浓度c（mg/L）</w:t>
            </w:r>
          </w:p>
        </w:tc>
        <w:tc>
          <w:tcPr>
            <w:tcW w:w="716" w:type="pct"/>
            <w:noWrap/>
            <w:vAlign w:val="center"/>
          </w:tcPr>
          <w:p w14:paraId="19E52562">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距离（m）</w:t>
            </w:r>
          </w:p>
        </w:tc>
        <w:tc>
          <w:tcPr>
            <w:tcW w:w="950" w:type="pct"/>
            <w:noWrap/>
            <w:vAlign w:val="center"/>
          </w:tcPr>
          <w:p w14:paraId="5AED906D">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浓度c（mg/L）</w:t>
            </w:r>
          </w:p>
        </w:tc>
      </w:tr>
      <w:tr w14:paraId="1929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6" w:type="pct"/>
            <w:noWrap/>
            <w:vAlign w:val="center"/>
          </w:tcPr>
          <w:p w14:paraId="60D7F3BF">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0</w:t>
            </w:r>
          </w:p>
        </w:tc>
        <w:tc>
          <w:tcPr>
            <w:tcW w:w="950" w:type="pct"/>
            <w:noWrap/>
            <w:vAlign w:val="center"/>
          </w:tcPr>
          <w:p w14:paraId="27ECC9CF">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18.000</w:t>
            </w:r>
          </w:p>
        </w:tc>
        <w:tc>
          <w:tcPr>
            <w:tcW w:w="716" w:type="pct"/>
            <w:noWrap/>
            <w:vAlign w:val="center"/>
          </w:tcPr>
          <w:p w14:paraId="1F54D022">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0</w:t>
            </w:r>
          </w:p>
        </w:tc>
        <w:tc>
          <w:tcPr>
            <w:tcW w:w="950" w:type="pct"/>
            <w:noWrap/>
            <w:vAlign w:val="center"/>
          </w:tcPr>
          <w:p w14:paraId="385A5ACA">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18.000</w:t>
            </w:r>
          </w:p>
        </w:tc>
        <w:tc>
          <w:tcPr>
            <w:tcW w:w="716" w:type="pct"/>
            <w:noWrap/>
            <w:vAlign w:val="center"/>
          </w:tcPr>
          <w:p w14:paraId="5C2CCF48">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0</w:t>
            </w:r>
          </w:p>
        </w:tc>
        <w:tc>
          <w:tcPr>
            <w:tcW w:w="950" w:type="pct"/>
            <w:noWrap/>
            <w:vAlign w:val="center"/>
          </w:tcPr>
          <w:p w14:paraId="452F97A8">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18.000</w:t>
            </w:r>
          </w:p>
        </w:tc>
      </w:tr>
      <w:tr w14:paraId="5763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6" w:type="pct"/>
            <w:noWrap/>
            <w:vAlign w:val="center"/>
          </w:tcPr>
          <w:p w14:paraId="1CA2656B">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20</w:t>
            </w:r>
          </w:p>
        </w:tc>
        <w:tc>
          <w:tcPr>
            <w:tcW w:w="950" w:type="pct"/>
            <w:noWrap/>
            <w:vAlign w:val="center"/>
          </w:tcPr>
          <w:p w14:paraId="5EAA2158">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16.400</w:t>
            </w:r>
          </w:p>
        </w:tc>
        <w:tc>
          <w:tcPr>
            <w:tcW w:w="716" w:type="pct"/>
            <w:noWrap/>
            <w:vAlign w:val="center"/>
          </w:tcPr>
          <w:p w14:paraId="48EEFF07">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100</w:t>
            </w:r>
          </w:p>
        </w:tc>
        <w:tc>
          <w:tcPr>
            <w:tcW w:w="950" w:type="pct"/>
            <w:noWrap/>
            <w:vAlign w:val="center"/>
          </w:tcPr>
          <w:p w14:paraId="023AD9FD">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18.000</w:t>
            </w:r>
          </w:p>
        </w:tc>
        <w:tc>
          <w:tcPr>
            <w:tcW w:w="716" w:type="pct"/>
            <w:noWrap/>
            <w:vAlign w:val="center"/>
          </w:tcPr>
          <w:p w14:paraId="4005684B">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250</w:t>
            </w:r>
          </w:p>
        </w:tc>
        <w:tc>
          <w:tcPr>
            <w:tcW w:w="950" w:type="pct"/>
            <w:noWrap/>
            <w:vAlign w:val="center"/>
          </w:tcPr>
          <w:p w14:paraId="3645D512">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18.000</w:t>
            </w:r>
          </w:p>
        </w:tc>
      </w:tr>
      <w:tr w14:paraId="49A4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6" w:type="pct"/>
            <w:noWrap/>
            <w:vAlign w:val="center"/>
          </w:tcPr>
          <w:p w14:paraId="4BC402D7">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40</w:t>
            </w:r>
          </w:p>
        </w:tc>
        <w:tc>
          <w:tcPr>
            <w:tcW w:w="950" w:type="pct"/>
            <w:noWrap/>
            <w:vAlign w:val="center"/>
          </w:tcPr>
          <w:p w14:paraId="6A62E21A">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12.500</w:t>
            </w:r>
          </w:p>
        </w:tc>
        <w:tc>
          <w:tcPr>
            <w:tcW w:w="716" w:type="pct"/>
            <w:noWrap/>
            <w:vAlign w:val="center"/>
          </w:tcPr>
          <w:p w14:paraId="5E833E26">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200</w:t>
            </w:r>
          </w:p>
        </w:tc>
        <w:tc>
          <w:tcPr>
            <w:tcW w:w="950" w:type="pct"/>
            <w:noWrap/>
            <w:vAlign w:val="center"/>
          </w:tcPr>
          <w:p w14:paraId="1B8B5B7D">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18.000</w:t>
            </w:r>
          </w:p>
        </w:tc>
        <w:tc>
          <w:tcPr>
            <w:tcW w:w="716" w:type="pct"/>
            <w:noWrap/>
            <w:vAlign w:val="center"/>
          </w:tcPr>
          <w:p w14:paraId="1BB4E7DC">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500</w:t>
            </w:r>
          </w:p>
        </w:tc>
        <w:tc>
          <w:tcPr>
            <w:tcW w:w="950" w:type="pct"/>
            <w:noWrap/>
            <w:vAlign w:val="center"/>
          </w:tcPr>
          <w:p w14:paraId="07864191">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18.000</w:t>
            </w:r>
          </w:p>
        </w:tc>
      </w:tr>
      <w:tr w14:paraId="11E1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6" w:type="pct"/>
            <w:noWrap/>
            <w:vAlign w:val="center"/>
          </w:tcPr>
          <w:p w14:paraId="5D76494F">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60</w:t>
            </w:r>
          </w:p>
        </w:tc>
        <w:tc>
          <w:tcPr>
            <w:tcW w:w="950" w:type="pct"/>
            <w:noWrap/>
            <w:vAlign w:val="center"/>
          </w:tcPr>
          <w:p w14:paraId="47E0DA26">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7.240</w:t>
            </w:r>
          </w:p>
        </w:tc>
        <w:tc>
          <w:tcPr>
            <w:tcW w:w="716" w:type="pct"/>
            <w:noWrap/>
            <w:vAlign w:val="center"/>
          </w:tcPr>
          <w:p w14:paraId="11F54B92">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300</w:t>
            </w:r>
          </w:p>
        </w:tc>
        <w:tc>
          <w:tcPr>
            <w:tcW w:w="950" w:type="pct"/>
            <w:noWrap/>
            <w:vAlign w:val="center"/>
          </w:tcPr>
          <w:p w14:paraId="0B68764B">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17.300</w:t>
            </w:r>
          </w:p>
        </w:tc>
        <w:tc>
          <w:tcPr>
            <w:tcW w:w="716" w:type="pct"/>
            <w:noWrap/>
            <w:vAlign w:val="center"/>
          </w:tcPr>
          <w:p w14:paraId="1CC0F915">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750</w:t>
            </w:r>
          </w:p>
        </w:tc>
        <w:tc>
          <w:tcPr>
            <w:tcW w:w="950" w:type="pct"/>
            <w:noWrap/>
            <w:vAlign w:val="center"/>
          </w:tcPr>
          <w:p w14:paraId="0AD102EC">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18.000</w:t>
            </w:r>
          </w:p>
        </w:tc>
      </w:tr>
      <w:tr w14:paraId="2843A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6" w:type="pct"/>
            <w:noWrap/>
            <w:vAlign w:val="center"/>
          </w:tcPr>
          <w:p w14:paraId="136408DF">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80</w:t>
            </w:r>
          </w:p>
        </w:tc>
        <w:tc>
          <w:tcPr>
            <w:tcW w:w="950" w:type="pct"/>
            <w:noWrap/>
            <w:vAlign w:val="center"/>
          </w:tcPr>
          <w:p w14:paraId="6476804E">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3.020</w:t>
            </w:r>
          </w:p>
        </w:tc>
        <w:tc>
          <w:tcPr>
            <w:tcW w:w="716" w:type="pct"/>
            <w:noWrap/>
            <w:vAlign w:val="center"/>
          </w:tcPr>
          <w:p w14:paraId="27334056">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400</w:t>
            </w:r>
          </w:p>
        </w:tc>
        <w:tc>
          <w:tcPr>
            <w:tcW w:w="950" w:type="pct"/>
            <w:noWrap/>
            <w:vAlign w:val="center"/>
          </w:tcPr>
          <w:p w14:paraId="1AD70651">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12.600</w:t>
            </w:r>
          </w:p>
        </w:tc>
        <w:tc>
          <w:tcPr>
            <w:tcW w:w="716" w:type="pct"/>
            <w:noWrap/>
            <w:vAlign w:val="center"/>
          </w:tcPr>
          <w:p w14:paraId="3DFB4337">
            <w:pPr>
              <w:keepNext w:val="0"/>
              <w:keepLines w:val="0"/>
              <w:widowControl/>
              <w:suppressLineNumbers w:val="0"/>
              <w:spacing w:before="0" w:beforeAutospacing="0" w:after="0" w:afterAutospacing="0" w:line="240" w:lineRule="auto"/>
              <w:ind w:left="0" w:right="0" w:firstLine="0"/>
              <w:jc w:val="center"/>
              <w:rPr>
                <w:rFonts w:hint="default" w:eastAsia="等线"/>
                <w:bCs/>
                <w:color w:val="auto"/>
                <w:sz w:val="22"/>
                <w:szCs w:val="22"/>
                <w:highlight w:val="none"/>
              </w:rPr>
            </w:pPr>
            <w:r>
              <w:rPr>
                <w:rFonts w:hint="default" w:eastAsia="等线"/>
                <w:bCs/>
                <w:color w:val="auto"/>
                <w:sz w:val="22"/>
                <w:szCs w:val="22"/>
                <w:highlight w:val="none"/>
              </w:rPr>
              <w:t>1000</w:t>
            </w:r>
          </w:p>
        </w:tc>
        <w:tc>
          <w:tcPr>
            <w:tcW w:w="950" w:type="pct"/>
            <w:noWrap/>
            <w:vAlign w:val="center"/>
          </w:tcPr>
          <w:p w14:paraId="4BD95D71">
            <w:pPr>
              <w:keepNext w:val="0"/>
              <w:keepLines w:val="0"/>
              <w:widowControl/>
              <w:suppressLineNumbers w:val="0"/>
              <w:spacing w:before="0" w:beforeAutospacing="0" w:after="0" w:afterAutospacing="0" w:line="240" w:lineRule="auto"/>
              <w:ind w:left="0" w:right="0" w:firstLine="0"/>
              <w:jc w:val="center"/>
              <w:rPr>
                <w:rFonts w:hint="default" w:eastAsia="等线"/>
                <w:bCs/>
                <w:color w:val="auto"/>
                <w:sz w:val="22"/>
                <w:szCs w:val="22"/>
                <w:highlight w:val="none"/>
              </w:rPr>
            </w:pPr>
            <w:r>
              <w:rPr>
                <w:rFonts w:hint="default" w:eastAsia="等线"/>
                <w:bCs/>
                <w:color w:val="auto"/>
                <w:sz w:val="22"/>
                <w:szCs w:val="22"/>
                <w:highlight w:val="none"/>
              </w:rPr>
              <w:t>18.000</w:t>
            </w:r>
          </w:p>
        </w:tc>
      </w:tr>
      <w:tr w14:paraId="31F0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6" w:type="pct"/>
            <w:noWrap/>
            <w:vAlign w:val="center"/>
          </w:tcPr>
          <w:p w14:paraId="6C2512CB">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100</w:t>
            </w:r>
          </w:p>
        </w:tc>
        <w:tc>
          <w:tcPr>
            <w:tcW w:w="950" w:type="pct"/>
            <w:noWrap/>
            <w:vAlign w:val="center"/>
          </w:tcPr>
          <w:p w14:paraId="2AA18E51">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0.867</w:t>
            </w:r>
          </w:p>
        </w:tc>
        <w:tc>
          <w:tcPr>
            <w:tcW w:w="716" w:type="pct"/>
            <w:noWrap/>
            <w:vAlign w:val="center"/>
          </w:tcPr>
          <w:p w14:paraId="06DF5E4E">
            <w:pPr>
              <w:keepNext w:val="0"/>
              <w:keepLines w:val="0"/>
              <w:widowControl/>
              <w:suppressLineNumbers w:val="0"/>
              <w:spacing w:before="0" w:beforeAutospacing="0" w:after="0" w:afterAutospacing="0" w:line="240" w:lineRule="auto"/>
              <w:ind w:left="0" w:right="0" w:firstLine="0"/>
              <w:jc w:val="center"/>
              <w:rPr>
                <w:rFonts w:hint="default" w:eastAsia="等线"/>
                <w:bCs/>
                <w:color w:val="auto"/>
                <w:sz w:val="22"/>
                <w:szCs w:val="22"/>
                <w:highlight w:val="none"/>
              </w:rPr>
            </w:pPr>
            <w:r>
              <w:rPr>
                <w:rFonts w:hint="default" w:eastAsia="等线"/>
                <w:bCs/>
                <w:color w:val="auto"/>
                <w:sz w:val="22"/>
                <w:szCs w:val="22"/>
                <w:highlight w:val="none"/>
              </w:rPr>
              <w:t>500</w:t>
            </w:r>
          </w:p>
        </w:tc>
        <w:tc>
          <w:tcPr>
            <w:tcW w:w="950" w:type="pct"/>
            <w:noWrap/>
            <w:vAlign w:val="center"/>
          </w:tcPr>
          <w:p w14:paraId="3C2A5C17">
            <w:pPr>
              <w:keepNext w:val="0"/>
              <w:keepLines w:val="0"/>
              <w:widowControl/>
              <w:suppressLineNumbers w:val="0"/>
              <w:spacing w:before="0" w:beforeAutospacing="0" w:after="0" w:afterAutospacing="0" w:line="240" w:lineRule="auto"/>
              <w:ind w:left="0" w:right="0" w:firstLine="0"/>
              <w:jc w:val="center"/>
              <w:rPr>
                <w:rFonts w:hint="default" w:eastAsia="等线"/>
                <w:bCs/>
                <w:color w:val="auto"/>
                <w:sz w:val="22"/>
                <w:szCs w:val="22"/>
                <w:highlight w:val="none"/>
              </w:rPr>
            </w:pPr>
            <w:r>
              <w:rPr>
                <w:rFonts w:hint="default" w:eastAsia="等线"/>
                <w:bCs/>
                <w:color w:val="auto"/>
                <w:sz w:val="22"/>
                <w:szCs w:val="22"/>
                <w:highlight w:val="none"/>
              </w:rPr>
              <w:t>5.380</w:t>
            </w:r>
          </w:p>
        </w:tc>
        <w:tc>
          <w:tcPr>
            <w:tcW w:w="716" w:type="pct"/>
            <w:noWrap/>
            <w:vAlign w:val="center"/>
          </w:tcPr>
          <w:p w14:paraId="7E572924">
            <w:pPr>
              <w:keepNext w:val="0"/>
              <w:keepLines w:val="0"/>
              <w:widowControl/>
              <w:suppressLineNumbers w:val="0"/>
              <w:spacing w:before="0" w:beforeAutospacing="0" w:after="0" w:afterAutospacing="0" w:line="240" w:lineRule="auto"/>
              <w:ind w:left="0" w:right="0" w:firstLine="0"/>
              <w:jc w:val="center"/>
              <w:rPr>
                <w:rFonts w:hint="default" w:eastAsia="等线"/>
                <w:bCs/>
                <w:color w:val="auto"/>
                <w:sz w:val="22"/>
                <w:szCs w:val="22"/>
                <w:highlight w:val="none"/>
              </w:rPr>
            </w:pPr>
            <w:r>
              <w:rPr>
                <w:rFonts w:hint="default" w:eastAsia="等线"/>
                <w:bCs/>
                <w:color w:val="auto"/>
                <w:sz w:val="22"/>
                <w:szCs w:val="22"/>
                <w:highlight w:val="none"/>
              </w:rPr>
              <w:t>1250</w:t>
            </w:r>
          </w:p>
        </w:tc>
        <w:tc>
          <w:tcPr>
            <w:tcW w:w="950" w:type="pct"/>
            <w:noWrap/>
            <w:vAlign w:val="center"/>
          </w:tcPr>
          <w:p w14:paraId="173404EF">
            <w:pPr>
              <w:keepNext w:val="0"/>
              <w:keepLines w:val="0"/>
              <w:widowControl/>
              <w:suppressLineNumbers w:val="0"/>
              <w:spacing w:before="0" w:beforeAutospacing="0" w:after="0" w:afterAutospacing="0" w:line="240" w:lineRule="auto"/>
              <w:ind w:left="0" w:right="0" w:firstLine="0"/>
              <w:jc w:val="center"/>
              <w:rPr>
                <w:rFonts w:hint="default" w:eastAsia="等线"/>
                <w:bCs/>
                <w:color w:val="auto"/>
                <w:sz w:val="22"/>
                <w:szCs w:val="22"/>
                <w:highlight w:val="none"/>
              </w:rPr>
            </w:pPr>
            <w:r>
              <w:rPr>
                <w:rFonts w:hint="default" w:eastAsia="等线"/>
                <w:bCs/>
                <w:color w:val="auto"/>
                <w:sz w:val="22"/>
                <w:szCs w:val="22"/>
                <w:highlight w:val="none"/>
              </w:rPr>
              <w:t>17.700</w:t>
            </w:r>
          </w:p>
        </w:tc>
      </w:tr>
      <w:tr w14:paraId="5978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6" w:type="pct"/>
            <w:noWrap/>
            <w:vAlign w:val="center"/>
          </w:tcPr>
          <w:p w14:paraId="3F22A943">
            <w:pPr>
              <w:keepNext w:val="0"/>
              <w:keepLines w:val="0"/>
              <w:widowControl/>
              <w:suppressLineNumbers w:val="0"/>
              <w:spacing w:before="0" w:beforeAutospacing="0" w:after="0" w:afterAutospacing="0" w:line="240" w:lineRule="auto"/>
              <w:ind w:left="0" w:right="0" w:firstLine="0"/>
              <w:jc w:val="center"/>
              <w:rPr>
                <w:rFonts w:hint="default" w:eastAsia="等线"/>
                <w:bCs/>
                <w:color w:val="auto"/>
                <w:sz w:val="22"/>
                <w:szCs w:val="22"/>
                <w:highlight w:val="none"/>
              </w:rPr>
            </w:pPr>
            <w:r>
              <w:rPr>
                <w:rFonts w:hint="default" w:eastAsia="等线"/>
                <w:bCs/>
                <w:color w:val="auto"/>
                <w:sz w:val="22"/>
                <w:szCs w:val="22"/>
                <w:highlight w:val="none"/>
              </w:rPr>
              <w:t>132</w:t>
            </w:r>
          </w:p>
        </w:tc>
        <w:tc>
          <w:tcPr>
            <w:tcW w:w="950" w:type="pct"/>
            <w:noWrap/>
            <w:vAlign w:val="center"/>
          </w:tcPr>
          <w:p w14:paraId="365536BE">
            <w:pPr>
              <w:keepNext w:val="0"/>
              <w:keepLines w:val="0"/>
              <w:widowControl/>
              <w:suppressLineNumbers w:val="0"/>
              <w:spacing w:before="0" w:beforeAutospacing="0" w:after="0" w:afterAutospacing="0" w:line="240" w:lineRule="auto"/>
              <w:ind w:left="0" w:right="0" w:firstLine="0"/>
              <w:jc w:val="center"/>
              <w:rPr>
                <w:rFonts w:hint="default" w:eastAsia="等线"/>
                <w:bCs/>
                <w:color w:val="auto"/>
                <w:sz w:val="22"/>
                <w:szCs w:val="22"/>
                <w:highlight w:val="none"/>
              </w:rPr>
            </w:pPr>
            <w:r>
              <w:rPr>
                <w:rFonts w:hint="default" w:eastAsia="等线"/>
                <w:bCs/>
                <w:color w:val="auto"/>
                <w:sz w:val="22"/>
                <w:szCs w:val="22"/>
                <w:highlight w:val="none"/>
              </w:rPr>
              <w:t>0.050</w:t>
            </w:r>
          </w:p>
        </w:tc>
        <w:tc>
          <w:tcPr>
            <w:tcW w:w="716" w:type="pct"/>
            <w:noWrap/>
            <w:vAlign w:val="center"/>
          </w:tcPr>
          <w:p w14:paraId="74EC297E">
            <w:pPr>
              <w:keepNext w:val="0"/>
              <w:keepLines w:val="0"/>
              <w:widowControl/>
              <w:suppressLineNumbers w:val="0"/>
              <w:spacing w:before="0" w:beforeAutospacing="0" w:after="0" w:afterAutospacing="0" w:line="240" w:lineRule="auto"/>
              <w:ind w:left="0" w:right="0" w:firstLine="0"/>
              <w:jc w:val="center"/>
              <w:rPr>
                <w:rFonts w:hint="default" w:eastAsia="等线"/>
                <w:bCs/>
                <w:color w:val="auto"/>
                <w:sz w:val="22"/>
                <w:szCs w:val="22"/>
                <w:highlight w:val="none"/>
              </w:rPr>
            </w:pPr>
            <w:r>
              <w:rPr>
                <w:rFonts w:hint="default" w:eastAsia="等线"/>
                <w:bCs/>
                <w:color w:val="auto"/>
                <w:sz w:val="22"/>
                <w:szCs w:val="22"/>
                <w:highlight w:val="none"/>
              </w:rPr>
              <w:t>600</w:t>
            </w:r>
          </w:p>
        </w:tc>
        <w:tc>
          <w:tcPr>
            <w:tcW w:w="950" w:type="pct"/>
            <w:noWrap/>
            <w:vAlign w:val="center"/>
          </w:tcPr>
          <w:p w14:paraId="4B45DBB9">
            <w:pPr>
              <w:keepNext w:val="0"/>
              <w:keepLines w:val="0"/>
              <w:widowControl/>
              <w:suppressLineNumbers w:val="0"/>
              <w:spacing w:before="0" w:beforeAutospacing="0" w:after="0" w:afterAutospacing="0" w:line="240" w:lineRule="auto"/>
              <w:ind w:left="0" w:right="0" w:firstLine="0"/>
              <w:jc w:val="center"/>
              <w:rPr>
                <w:rFonts w:hint="default" w:eastAsia="等线"/>
                <w:bCs/>
                <w:color w:val="auto"/>
                <w:sz w:val="22"/>
                <w:szCs w:val="22"/>
                <w:highlight w:val="none"/>
              </w:rPr>
            </w:pPr>
            <w:r>
              <w:rPr>
                <w:rFonts w:hint="default" w:eastAsia="等线"/>
                <w:bCs/>
                <w:color w:val="auto"/>
                <w:sz w:val="22"/>
                <w:szCs w:val="22"/>
                <w:highlight w:val="none"/>
              </w:rPr>
              <w:t>1.020</w:t>
            </w:r>
          </w:p>
        </w:tc>
        <w:tc>
          <w:tcPr>
            <w:tcW w:w="716" w:type="pct"/>
            <w:noWrap/>
            <w:vAlign w:val="center"/>
          </w:tcPr>
          <w:p w14:paraId="599BD2E6">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1500</w:t>
            </w:r>
          </w:p>
        </w:tc>
        <w:tc>
          <w:tcPr>
            <w:tcW w:w="950" w:type="pct"/>
            <w:noWrap/>
            <w:vAlign w:val="center"/>
          </w:tcPr>
          <w:p w14:paraId="0CF2CE10">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14.100</w:t>
            </w:r>
          </w:p>
        </w:tc>
      </w:tr>
      <w:tr w14:paraId="41C0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6" w:type="pct"/>
            <w:noWrap/>
            <w:vAlign w:val="center"/>
          </w:tcPr>
          <w:p w14:paraId="229800F6">
            <w:pPr>
              <w:keepNext w:val="0"/>
              <w:keepLines w:val="0"/>
              <w:widowControl/>
              <w:suppressLineNumbers w:val="0"/>
              <w:spacing w:before="0" w:beforeAutospacing="0" w:after="0" w:afterAutospacing="0" w:line="240" w:lineRule="auto"/>
              <w:ind w:left="0" w:right="0" w:firstLine="0"/>
              <w:jc w:val="center"/>
              <w:rPr>
                <w:rFonts w:hint="default" w:eastAsia="等线"/>
                <w:bCs/>
                <w:color w:val="auto"/>
                <w:sz w:val="22"/>
                <w:szCs w:val="22"/>
                <w:highlight w:val="none"/>
              </w:rPr>
            </w:pPr>
            <w:r>
              <w:rPr>
                <w:rFonts w:hint="default" w:eastAsia="等线"/>
                <w:bCs/>
                <w:color w:val="auto"/>
                <w:sz w:val="22"/>
                <w:szCs w:val="22"/>
                <w:highlight w:val="none"/>
              </w:rPr>
              <w:t>146</w:t>
            </w:r>
          </w:p>
        </w:tc>
        <w:tc>
          <w:tcPr>
            <w:tcW w:w="950" w:type="pct"/>
            <w:noWrap/>
            <w:vAlign w:val="center"/>
          </w:tcPr>
          <w:p w14:paraId="0919B90E">
            <w:pPr>
              <w:keepNext w:val="0"/>
              <w:keepLines w:val="0"/>
              <w:widowControl/>
              <w:suppressLineNumbers w:val="0"/>
              <w:spacing w:before="0" w:beforeAutospacing="0" w:after="0" w:afterAutospacing="0" w:line="240" w:lineRule="auto"/>
              <w:ind w:left="0" w:right="0" w:firstLine="0"/>
              <w:jc w:val="center"/>
              <w:rPr>
                <w:rFonts w:hint="default" w:eastAsia="等线"/>
                <w:bCs/>
                <w:color w:val="auto"/>
                <w:sz w:val="22"/>
                <w:szCs w:val="22"/>
                <w:highlight w:val="none"/>
              </w:rPr>
            </w:pPr>
            <w:r>
              <w:rPr>
                <w:rFonts w:hint="default" w:eastAsia="等线"/>
                <w:bCs/>
                <w:color w:val="auto"/>
                <w:sz w:val="22"/>
                <w:szCs w:val="22"/>
                <w:highlight w:val="none"/>
              </w:rPr>
              <w:t>0.010</w:t>
            </w:r>
          </w:p>
        </w:tc>
        <w:tc>
          <w:tcPr>
            <w:tcW w:w="716" w:type="pct"/>
            <w:noWrap/>
            <w:vAlign w:val="center"/>
          </w:tcPr>
          <w:p w14:paraId="0928BF5B">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713</w:t>
            </w:r>
          </w:p>
        </w:tc>
        <w:tc>
          <w:tcPr>
            <w:tcW w:w="950" w:type="pct"/>
            <w:noWrap/>
            <w:vAlign w:val="center"/>
          </w:tcPr>
          <w:p w14:paraId="14CF8ABF">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0.050</w:t>
            </w:r>
          </w:p>
        </w:tc>
        <w:tc>
          <w:tcPr>
            <w:tcW w:w="716" w:type="pct"/>
            <w:noWrap/>
            <w:vAlign w:val="center"/>
          </w:tcPr>
          <w:p w14:paraId="5E9DCA84">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1750</w:t>
            </w:r>
          </w:p>
        </w:tc>
        <w:tc>
          <w:tcPr>
            <w:tcW w:w="950" w:type="pct"/>
            <w:noWrap/>
            <w:vAlign w:val="center"/>
          </w:tcPr>
          <w:p w14:paraId="4DB6944E">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4.980</w:t>
            </w:r>
          </w:p>
        </w:tc>
      </w:tr>
      <w:tr w14:paraId="681C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6" w:type="pct"/>
            <w:noWrap/>
            <w:vAlign w:val="center"/>
          </w:tcPr>
          <w:p w14:paraId="4E3545D3">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160</w:t>
            </w:r>
          </w:p>
        </w:tc>
        <w:tc>
          <w:tcPr>
            <w:tcW w:w="950" w:type="pct"/>
            <w:noWrap/>
            <w:vAlign w:val="center"/>
          </w:tcPr>
          <w:p w14:paraId="6ADBD1CA">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0.002</w:t>
            </w:r>
          </w:p>
        </w:tc>
        <w:tc>
          <w:tcPr>
            <w:tcW w:w="716" w:type="pct"/>
            <w:noWrap/>
            <w:vAlign w:val="center"/>
          </w:tcPr>
          <w:p w14:paraId="1AB6666B">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759</w:t>
            </w:r>
          </w:p>
        </w:tc>
        <w:tc>
          <w:tcPr>
            <w:tcW w:w="950" w:type="pct"/>
            <w:noWrap/>
            <w:vAlign w:val="center"/>
          </w:tcPr>
          <w:p w14:paraId="649B6E7C">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0.010</w:t>
            </w:r>
          </w:p>
        </w:tc>
        <w:tc>
          <w:tcPr>
            <w:tcW w:w="716" w:type="pct"/>
            <w:noWrap/>
            <w:vAlign w:val="center"/>
          </w:tcPr>
          <w:p w14:paraId="75FDDB1D">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2145</w:t>
            </w:r>
          </w:p>
        </w:tc>
        <w:tc>
          <w:tcPr>
            <w:tcW w:w="950" w:type="pct"/>
            <w:noWrap/>
            <w:vAlign w:val="center"/>
          </w:tcPr>
          <w:p w14:paraId="32E6EE31">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0.050</w:t>
            </w:r>
          </w:p>
        </w:tc>
      </w:tr>
      <w:tr w14:paraId="4DE0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6" w:type="pct"/>
            <w:noWrap/>
            <w:vAlign w:val="center"/>
          </w:tcPr>
          <w:p w14:paraId="6FD33C90">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180</w:t>
            </w:r>
          </w:p>
        </w:tc>
        <w:tc>
          <w:tcPr>
            <w:tcW w:w="950" w:type="pct"/>
            <w:noWrap/>
            <w:vAlign w:val="center"/>
          </w:tcPr>
          <w:p w14:paraId="77BC73BF">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0.000</w:t>
            </w:r>
          </w:p>
        </w:tc>
        <w:tc>
          <w:tcPr>
            <w:tcW w:w="716" w:type="pct"/>
            <w:noWrap/>
            <w:vAlign w:val="center"/>
          </w:tcPr>
          <w:p w14:paraId="517240A5">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800</w:t>
            </w:r>
          </w:p>
        </w:tc>
        <w:tc>
          <w:tcPr>
            <w:tcW w:w="950" w:type="pct"/>
            <w:noWrap/>
            <w:vAlign w:val="center"/>
          </w:tcPr>
          <w:p w14:paraId="56A7D424">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0.000</w:t>
            </w:r>
          </w:p>
        </w:tc>
        <w:tc>
          <w:tcPr>
            <w:tcW w:w="716" w:type="pct"/>
            <w:noWrap/>
            <w:vAlign w:val="center"/>
          </w:tcPr>
          <w:p w14:paraId="73CF0CE9">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2233</w:t>
            </w:r>
          </w:p>
        </w:tc>
        <w:tc>
          <w:tcPr>
            <w:tcW w:w="950" w:type="pct"/>
            <w:noWrap/>
            <w:vAlign w:val="center"/>
          </w:tcPr>
          <w:p w14:paraId="22A1CBE3">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0.010</w:t>
            </w:r>
          </w:p>
        </w:tc>
      </w:tr>
      <w:tr w14:paraId="6A2A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6" w:type="pct"/>
            <w:noWrap/>
            <w:vAlign w:val="center"/>
          </w:tcPr>
          <w:p w14:paraId="71E34A49">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200</w:t>
            </w:r>
          </w:p>
        </w:tc>
        <w:tc>
          <w:tcPr>
            <w:tcW w:w="950" w:type="pct"/>
            <w:noWrap/>
            <w:vAlign w:val="center"/>
          </w:tcPr>
          <w:p w14:paraId="73B346B6">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0.000</w:t>
            </w:r>
          </w:p>
        </w:tc>
        <w:tc>
          <w:tcPr>
            <w:tcW w:w="716" w:type="pct"/>
            <w:noWrap/>
            <w:vAlign w:val="center"/>
          </w:tcPr>
          <w:p w14:paraId="7D1F0A93">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900</w:t>
            </w:r>
          </w:p>
        </w:tc>
        <w:tc>
          <w:tcPr>
            <w:tcW w:w="950" w:type="pct"/>
            <w:noWrap/>
            <w:vAlign w:val="center"/>
          </w:tcPr>
          <w:p w14:paraId="7F6E4548">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0.000</w:t>
            </w:r>
          </w:p>
        </w:tc>
        <w:tc>
          <w:tcPr>
            <w:tcW w:w="716" w:type="pct"/>
            <w:noWrap/>
            <w:vAlign w:val="center"/>
          </w:tcPr>
          <w:p w14:paraId="40358A32">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2500</w:t>
            </w:r>
          </w:p>
        </w:tc>
        <w:tc>
          <w:tcPr>
            <w:tcW w:w="950" w:type="pct"/>
            <w:noWrap/>
            <w:vAlign w:val="center"/>
          </w:tcPr>
          <w:p w14:paraId="393DE5DC">
            <w:pPr>
              <w:keepNext w:val="0"/>
              <w:keepLines w:val="0"/>
              <w:widowControl/>
              <w:suppressLineNumbers w:val="0"/>
              <w:spacing w:before="0" w:beforeAutospacing="0" w:after="0" w:afterAutospacing="0" w:line="240" w:lineRule="auto"/>
              <w:ind w:left="0" w:right="0" w:firstLine="0"/>
              <w:jc w:val="center"/>
              <w:rPr>
                <w:rFonts w:hint="default" w:eastAsia="等线"/>
                <w:color w:val="auto"/>
                <w:sz w:val="22"/>
                <w:szCs w:val="22"/>
                <w:highlight w:val="none"/>
              </w:rPr>
            </w:pPr>
            <w:r>
              <w:rPr>
                <w:rFonts w:hint="default" w:eastAsia="等线"/>
                <w:color w:val="auto"/>
                <w:sz w:val="22"/>
                <w:szCs w:val="22"/>
                <w:highlight w:val="none"/>
              </w:rPr>
              <w:t>0.000</w:t>
            </w:r>
          </w:p>
        </w:tc>
      </w:tr>
    </w:tbl>
    <w:p w14:paraId="518C82C8">
      <w:pPr>
        <w:spacing w:before="120" w:beforeLines="50" w:after="120" w:afterLines="50" w:line="240" w:lineRule="auto"/>
        <w:ind w:firstLine="0"/>
        <w:jc w:val="center"/>
        <w:rPr>
          <w:rFonts w:eastAsia="黑体"/>
          <w:color w:val="auto"/>
          <w:sz w:val="21"/>
          <w:szCs w:val="18"/>
          <w:highlight w:val="none"/>
        </w:rPr>
      </w:pPr>
      <w:r>
        <w:rPr>
          <w:rFonts w:eastAsia="黑体"/>
          <w:color w:val="auto"/>
          <w:sz w:val="21"/>
          <w:szCs w:val="18"/>
          <w:highlight w:val="none"/>
        </w:rPr>
        <w:t>表5</w:t>
      </w:r>
      <w:r>
        <w:rPr>
          <w:rFonts w:hint="eastAsia" w:eastAsia="黑体"/>
          <w:color w:val="auto"/>
          <w:sz w:val="21"/>
          <w:szCs w:val="18"/>
          <w:highlight w:val="none"/>
          <w:lang w:val="en-US" w:eastAsia="zh-CN"/>
        </w:rPr>
        <w:t>-</w:t>
      </w:r>
      <w:r>
        <w:rPr>
          <w:rFonts w:eastAsia="黑体"/>
          <w:color w:val="auto"/>
          <w:sz w:val="21"/>
          <w:szCs w:val="18"/>
          <w:highlight w:val="none"/>
        </w:rPr>
        <w:t>5-4预测结果统计表</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2"/>
        <w:gridCol w:w="1425"/>
        <w:gridCol w:w="2384"/>
        <w:gridCol w:w="1568"/>
        <w:gridCol w:w="1990"/>
      </w:tblGrid>
      <w:tr w14:paraId="4679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pct"/>
            <w:vAlign w:val="center"/>
          </w:tcPr>
          <w:p w14:paraId="6D33116F">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预测因子</w:t>
            </w:r>
          </w:p>
        </w:tc>
        <w:tc>
          <w:tcPr>
            <w:tcW w:w="817" w:type="pct"/>
            <w:vAlign w:val="center"/>
          </w:tcPr>
          <w:p w14:paraId="4A3F2A20">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预测时间</w:t>
            </w:r>
          </w:p>
        </w:tc>
        <w:tc>
          <w:tcPr>
            <w:tcW w:w="1367" w:type="pct"/>
            <w:vAlign w:val="center"/>
          </w:tcPr>
          <w:p w14:paraId="1DEEB7A3">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超标距离</w:t>
            </w:r>
          </w:p>
          <w:p w14:paraId="33AFC729">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（m</w:t>
            </w:r>
            <w:r>
              <w:rPr>
                <w:rFonts w:hint="eastAsia"/>
                <w:color w:val="auto"/>
                <w:sz w:val="21"/>
                <w:szCs w:val="21"/>
                <w:highlight w:val="none"/>
                <w:lang w:eastAsia="zh-CN"/>
              </w:rPr>
              <w:t>)</w:t>
            </w:r>
          </w:p>
        </w:tc>
        <w:tc>
          <w:tcPr>
            <w:tcW w:w="899" w:type="pct"/>
            <w:vAlign w:val="center"/>
          </w:tcPr>
          <w:p w14:paraId="1C13514D">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影响距离（m）</w:t>
            </w:r>
          </w:p>
        </w:tc>
        <w:tc>
          <w:tcPr>
            <w:tcW w:w="1141" w:type="pct"/>
            <w:vAlign w:val="center"/>
          </w:tcPr>
          <w:p w14:paraId="10B44CB8">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影响范围内水环境敏感点</w:t>
            </w:r>
          </w:p>
        </w:tc>
      </w:tr>
      <w:tr w14:paraId="7A84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pct"/>
            <w:vMerge w:val="restart"/>
            <w:vAlign w:val="center"/>
          </w:tcPr>
          <w:p w14:paraId="3976BE72">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石油类</w:t>
            </w:r>
          </w:p>
        </w:tc>
        <w:tc>
          <w:tcPr>
            <w:tcW w:w="817" w:type="pct"/>
            <w:vAlign w:val="center"/>
          </w:tcPr>
          <w:p w14:paraId="22A34D9A">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100d</w:t>
            </w:r>
          </w:p>
        </w:tc>
        <w:tc>
          <w:tcPr>
            <w:tcW w:w="1367" w:type="pct"/>
            <w:vAlign w:val="center"/>
          </w:tcPr>
          <w:p w14:paraId="15AEF116">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132</w:t>
            </w:r>
          </w:p>
        </w:tc>
        <w:tc>
          <w:tcPr>
            <w:tcW w:w="899" w:type="pct"/>
            <w:vAlign w:val="center"/>
          </w:tcPr>
          <w:p w14:paraId="739BBFD4">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146</w:t>
            </w:r>
          </w:p>
        </w:tc>
        <w:tc>
          <w:tcPr>
            <w:tcW w:w="1141" w:type="pct"/>
            <w:vAlign w:val="center"/>
          </w:tcPr>
          <w:p w14:paraId="0B427D28">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无</w:t>
            </w:r>
          </w:p>
        </w:tc>
      </w:tr>
      <w:tr w14:paraId="0965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14:paraId="6FF55E28">
            <w:pPr>
              <w:keepNext w:val="0"/>
              <w:keepLines w:val="0"/>
              <w:widowControl/>
              <w:suppressLineNumbers w:val="0"/>
              <w:spacing w:before="0" w:beforeAutospacing="0" w:after="0" w:afterAutospacing="0" w:line="240" w:lineRule="auto"/>
              <w:ind w:left="0" w:right="0" w:firstLine="0"/>
              <w:jc w:val="left"/>
              <w:rPr>
                <w:rFonts w:hint="default"/>
                <w:color w:val="auto"/>
                <w:sz w:val="21"/>
                <w:szCs w:val="21"/>
                <w:highlight w:val="none"/>
              </w:rPr>
            </w:pPr>
          </w:p>
        </w:tc>
        <w:tc>
          <w:tcPr>
            <w:tcW w:w="817" w:type="pct"/>
            <w:vAlign w:val="center"/>
          </w:tcPr>
          <w:p w14:paraId="061FDB68">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1000d</w:t>
            </w:r>
          </w:p>
        </w:tc>
        <w:tc>
          <w:tcPr>
            <w:tcW w:w="1367" w:type="pct"/>
            <w:vAlign w:val="center"/>
          </w:tcPr>
          <w:p w14:paraId="2675E826">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713</w:t>
            </w:r>
          </w:p>
        </w:tc>
        <w:tc>
          <w:tcPr>
            <w:tcW w:w="899" w:type="pct"/>
            <w:vAlign w:val="center"/>
          </w:tcPr>
          <w:p w14:paraId="5EF2D1A6">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759</w:t>
            </w:r>
          </w:p>
        </w:tc>
        <w:tc>
          <w:tcPr>
            <w:tcW w:w="1141" w:type="pct"/>
          </w:tcPr>
          <w:p w14:paraId="0014C313">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无</w:t>
            </w:r>
          </w:p>
        </w:tc>
      </w:tr>
      <w:tr w14:paraId="0BF02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vAlign w:val="center"/>
          </w:tcPr>
          <w:p w14:paraId="113C8DC4">
            <w:pPr>
              <w:keepNext w:val="0"/>
              <w:keepLines w:val="0"/>
              <w:widowControl/>
              <w:suppressLineNumbers w:val="0"/>
              <w:spacing w:before="0" w:beforeAutospacing="0" w:after="0" w:afterAutospacing="0" w:line="240" w:lineRule="auto"/>
              <w:ind w:left="0" w:right="0" w:firstLine="0"/>
              <w:jc w:val="left"/>
              <w:rPr>
                <w:rFonts w:hint="default"/>
                <w:color w:val="auto"/>
                <w:sz w:val="21"/>
                <w:szCs w:val="21"/>
                <w:highlight w:val="none"/>
              </w:rPr>
            </w:pPr>
          </w:p>
        </w:tc>
        <w:tc>
          <w:tcPr>
            <w:tcW w:w="817" w:type="pct"/>
            <w:vAlign w:val="center"/>
          </w:tcPr>
          <w:p w14:paraId="634A8513">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3650d</w:t>
            </w:r>
          </w:p>
        </w:tc>
        <w:tc>
          <w:tcPr>
            <w:tcW w:w="1367" w:type="pct"/>
            <w:vAlign w:val="center"/>
          </w:tcPr>
          <w:p w14:paraId="787A4623">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2145</w:t>
            </w:r>
          </w:p>
        </w:tc>
        <w:tc>
          <w:tcPr>
            <w:tcW w:w="899" w:type="pct"/>
            <w:vAlign w:val="center"/>
          </w:tcPr>
          <w:p w14:paraId="0FCE8E1E">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2233</w:t>
            </w:r>
          </w:p>
        </w:tc>
        <w:tc>
          <w:tcPr>
            <w:tcW w:w="1141" w:type="pct"/>
          </w:tcPr>
          <w:p w14:paraId="595DC426">
            <w:pPr>
              <w:keepNext w:val="0"/>
              <w:keepLines w:val="0"/>
              <w:widowControl/>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无</w:t>
            </w:r>
          </w:p>
        </w:tc>
      </w:tr>
    </w:tbl>
    <w:p w14:paraId="2E2472A4">
      <w:pPr>
        <w:widowControl/>
        <w:ind w:firstLine="480" w:firstLineChars="200"/>
        <w:rPr>
          <w:rFonts w:hint="eastAsia"/>
          <w:color w:val="auto"/>
          <w:szCs w:val="22"/>
          <w:highlight w:val="none"/>
          <w:lang w:eastAsia="zh-CN"/>
        </w:rPr>
      </w:pPr>
      <w:bookmarkStart w:id="279" w:name="_Hlk66363499"/>
      <w:r>
        <w:rPr>
          <w:rFonts w:hint="eastAsia"/>
          <w:color w:val="auto"/>
          <w:szCs w:val="22"/>
          <w:highlight w:val="none"/>
        </w:rPr>
        <w:t>根据以上预测结果，在本次设定的预测情形下：预测期间，随着时间、距离增加，污染范围也呈增加趋势。石油类浓度在预测100d、1000d、3650d时地下水超标距离分别为132m、713m、2145m，影响距离分别为146m、759m、2233m。持续</w:t>
      </w:r>
      <w:r>
        <w:rPr>
          <w:rFonts w:hint="eastAsia"/>
          <w:color w:val="auto"/>
          <w:szCs w:val="22"/>
          <w:highlight w:val="none"/>
          <w:lang w:eastAsia="zh-CN"/>
        </w:rPr>
        <w:t>泄漏</w:t>
      </w:r>
      <w:r>
        <w:rPr>
          <w:rFonts w:hint="eastAsia"/>
          <w:color w:val="auto"/>
          <w:szCs w:val="22"/>
          <w:highlight w:val="none"/>
        </w:rPr>
        <w:t>的情况下，下渗废水对该地区地下水可能产生影响，建设单位必须加强工程质量控制、施工期施工质量及运营期管理，做好各污水处理设施、污水管线的防渗和防漏处理，最大程度地确保高质量施工和运营期管理，加强设施的维护和管理，减少废水渗漏，落实地下水及土壤污染防控，采取分区防渗措施，并加强防渗措施的日常维护。设置地下水跟踪监测井及土壤监测点，并按监测要求开展监测，发现发生泄漏后，建设单位立即采取切断措施并及时组织专门力量进行污染物的清除工作，尽量避免出现泄漏的污染物进入地下水并随</w:t>
      </w:r>
      <w:r>
        <w:rPr>
          <w:rFonts w:hint="eastAsia"/>
          <w:color w:val="auto"/>
          <w:szCs w:val="22"/>
          <w:highlight w:val="none"/>
          <w:lang w:eastAsia="zh-CN"/>
        </w:rPr>
        <w:t>地下水</w:t>
      </w:r>
      <w:r>
        <w:rPr>
          <w:rFonts w:hint="eastAsia"/>
          <w:color w:val="auto"/>
          <w:szCs w:val="22"/>
          <w:highlight w:val="none"/>
        </w:rPr>
        <w:t>迁移，使影响范围控制在厂区内，避免对外环境产生影响</w:t>
      </w:r>
      <w:r>
        <w:rPr>
          <w:rFonts w:hint="eastAsia"/>
          <w:color w:val="auto"/>
          <w:szCs w:val="22"/>
          <w:highlight w:val="none"/>
          <w:lang w:eastAsia="zh-CN"/>
        </w:rPr>
        <w:t>。</w:t>
      </w:r>
    </w:p>
    <w:p w14:paraId="1A7E8DE8">
      <w:pPr>
        <w:widowControl w:val="0"/>
        <w:spacing w:line="360" w:lineRule="auto"/>
        <w:ind w:firstLine="482" w:firstLineChars="200"/>
        <w:jc w:val="both"/>
        <w:rPr>
          <w:rFonts w:hint="eastAsia" w:ascii="Times New Roman" w:hAnsi="Times New Roman" w:eastAsia="宋体" w:cs="Times New Roman"/>
          <w:b/>
          <w:bCs/>
          <w:snapToGrid w:val="0"/>
          <w:color w:val="auto"/>
          <w:kern w:val="0"/>
          <w:sz w:val="24"/>
          <w:szCs w:val="24"/>
          <w:highlight w:val="none"/>
          <w:lang w:val="en-US" w:eastAsia="zh-CN" w:bidi="ar-SA"/>
        </w:rPr>
      </w:pPr>
      <w:r>
        <w:rPr>
          <w:rFonts w:hint="eastAsia" w:ascii="Times New Roman" w:hAnsi="Times New Roman" w:eastAsia="宋体" w:cs="Times New Roman"/>
          <w:b/>
          <w:bCs/>
          <w:snapToGrid w:val="0"/>
          <w:color w:val="auto"/>
          <w:kern w:val="0"/>
          <w:sz w:val="24"/>
          <w:szCs w:val="24"/>
          <w:highlight w:val="none"/>
          <w:lang w:val="en-US" w:eastAsia="zh-CN" w:bidi="ar-SA"/>
        </w:rPr>
        <w:t>（3）对水环境保护目标的影响分析</w:t>
      </w:r>
    </w:p>
    <w:p w14:paraId="6D30C7AF">
      <w:pPr>
        <w:widowControl w:val="0"/>
        <w:autoSpaceDE w:val="0"/>
        <w:autoSpaceDN w:val="0"/>
        <w:adjustRightInd w:val="0"/>
        <w:spacing w:line="360" w:lineRule="auto"/>
        <w:ind w:left="-6" w:firstLine="480" w:firstLineChars="0"/>
        <w:jc w:val="both"/>
        <w:textAlignment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根据调查，距离项目区最近的水环境保护目标为项目区边界东部0.4km，</w:t>
      </w:r>
      <w:r>
        <w:rPr>
          <w:rFonts w:hint="default" w:ascii="Times New Roman" w:hAnsi="Times New Roman" w:eastAsia="宋体" w:cs="Times New Roman"/>
          <w:color w:val="auto"/>
          <w:kern w:val="2"/>
          <w:sz w:val="24"/>
          <w:szCs w:val="22"/>
          <w:highlight w:val="none"/>
          <w:lang w:val="en-US" w:eastAsia="zh-CN" w:bidi="ar-SA"/>
        </w:rPr>
        <w:t>污水站东北方向0.6km处的一口分散式饮用水井</w:t>
      </w:r>
      <w:r>
        <w:rPr>
          <w:rFonts w:hint="default" w:ascii="Times New Roman" w:hAnsi="Times New Roman" w:eastAsia="宋体" w:cs="Times New Roman"/>
          <w:color w:val="auto"/>
          <w:kern w:val="2"/>
          <w:sz w:val="24"/>
          <w:szCs w:val="24"/>
          <w:highlight w:val="none"/>
          <w:lang w:val="en-US" w:eastAsia="zh-CN" w:bidi="ar-SA"/>
        </w:rPr>
        <w:t>。本次按照最不利情景考虑，对本次预测情景下，对该水井的影响进行预测分析。预测模型及参数见上文。</w:t>
      </w:r>
    </w:p>
    <w:p w14:paraId="5A0A68C4">
      <w:pPr>
        <w:widowControl w:val="0"/>
        <w:autoSpaceDE w:val="0"/>
        <w:autoSpaceDN w:val="0"/>
        <w:adjustRightInd w:val="0"/>
        <w:spacing w:line="360" w:lineRule="auto"/>
        <w:ind w:left="-6" w:firstLine="480" w:firstLineChars="0"/>
        <w:jc w:val="both"/>
        <w:textAlignment w:val="center"/>
        <w:rPr>
          <w:rFonts w:hint="default" w:ascii="Times New Roman" w:hAnsi="Times New Roman" w:eastAsia="宋体" w:cs="Times New Roman"/>
          <w:snapToGrid w:val="0"/>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根据预测结果，污水站发生持续</w:t>
      </w:r>
      <w:r>
        <w:rPr>
          <w:rFonts w:hint="eastAsia" w:cs="Times New Roman"/>
          <w:color w:val="auto"/>
          <w:kern w:val="2"/>
          <w:sz w:val="24"/>
          <w:szCs w:val="24"/>
          <w:highlight w:val="none"/>
          <w:lang w:val="en-US" w:eastAsia="zh-CN" w:bidi="ar-SA"/>
        </w:rPr>
        <w:t>泄漏</w:t>
      </w:r>
      <w:r>
        <w:rPr>
          <w:rFonts w:hint="default" w:ascii="Times New Roman" w:hAnsi="Times New Roman" w:eastAsia="宋体" w:cs="Times New Roman"/>
          <w:color w:val="auto"/>
          <w:kern w:val="2"/>
          <w:sz w:val="24"/>
          <w:szCs w:val="24"/>
          <w:highlight w:val="none"/>
          <w:lang w:val="en-US" w:eastAsia="zh-CN" w:bidi="ar-SA"/>
        </w:rPr>
        <w:t>情况下，石油类浓度在</w:t>
      </w:r>
      <w:r>
        <w:rPr>
          <w:rFonts w:hint="eastAsia" w:cs="Times New Roman"/>
          <w:color w:val="auto"/>
          <w:kern w:val="2"/>
          <w:sz w:val="24"/>
          <w:szCs w:val="24"/>
          <w:highlight w:val="none"/>
          <w:lang w:val="en-US" w:eastAsia="zh-CN" w:bidi="ar-SA"/>
        </w:rPr>
        <w:t>泄漏</w:t>
      </w:r>
      <w:r>
        <w:rPr>
          <w:rFonts w:hint="default" w:ascii="Times New Roman" w:hAnsi="Times New Roman" w:eastAsia="宋体" w:cs="Times New Roman"/>
          <w:color w:val="auto"/>
          <w:kern w:val="2"/>
          <w:sz w:val="24"/>
          <w:szCs w:val="24"/>
          <w:highlight w:val="none"/>
          <w:lang w:val="en-US" w:eastAsia="zh-CN" w:bidi="ar-SA"/>
        </w:rPr>
        <w:t>发生859d后，水环境保护目标处开始出现超标。建议通过在污水站附近设置地下水监测井，发现</w:t>
      </w:r>
      <w:r>
        <w:rPr>
          <w:rFonts w:hint="default" w:ascii="Times New Roman" w:hAnsi="Times New Roman" w:eastAsia="宋体" w:cs="Times New Roman"/>
          <w:bCs/>
          <w:color w:val="auto"/>
          <w:kern w:val="2"/>
          <w:sz w:val="24"/>
          <w:szCs w:val="24"/>
          <w:highlight w:val="none"/>
          <w:lang w:val="en-US" w:eastAsia="zh-CN" w:bidi="ar-SA"/>
        </w:rPr>
        <w:t>事故或数据异常后，</w:t>
      </w:r>
      <w:r>
        <w:rPr>
          <w:rFonts w:hint="default" w:ascii="Times New Roman" w:hAnsi="Times New Roman" w:eastAsia="宋体" w:cs="Times New Roman"/>
          <w:snapToGrid w:val="0"/>
          <w:color w:val="auto"/>
          <w:kern w:val="2"/>
          <w:sz w:val="24"/>
          <w:szCs w:val="24"/>
          <w:highlight w:val="none"/>
          <w:lang w:val="en-US" w:eastAsia="zh-CN" w:bidi="ar-SA"/>
        </w:rPr>
        <w:t>建设单位必须立即采取切断措施并及时组织专门力量进行调查，并采取应急响应措施，在最短的时间内清除地面及地下的污染物，以防止污染物运移至周边饮用水井，导致其受到污染影响。</w:t>
      </w:r>
    </w:p>
    <w:p w14:paraId="2A2B2483">
      <w:pPr>
        <w:widowControl/>
        <w:ind w:firstLine="480" w:firstLineChars="200"/>
        <w:rPr>
          <w:color w:val="auto"/>
          <w:highlight w:val="none"/>
        </w:rPr>
      </w:pPr>
      <w:r>
        <w:rPr>
          <w:rFonts w:hint="default" w:ascii="Times New Roman" w:hAnsi="Times New Roman" w:eastAsia="宋体" w:cs="Times New Roman"/>
          <w:snapToGrid w:val="0"/>
          <w:color w:val="auto"/>
          <w:kern w:val="0"/>
          <w:sz w:val="24"/>
          <w:szCs w:val="24"/>
          <w:highlight w:val="none"/>
          <w:lang w:val="en-US" w:eastAsia="zh-CN" w:bidi="ar-SA"/>
        </w:rPr>
        <w:t>综上，本项目需采取地下水污染防治措施按照“源头控制、过程防控、跟踪监测、应急响应”相结合的原则，并定期开展地下水跟踪监测，在严格按照地下水污染防护措施后，本项目对区域地下水环境影响可接受</w:t>
      </w:r>
      <w:r>
        <w:rPr>
          <w:color w:val="auto"/>
          <w:highlight w:val="none"/>
        </w:rPr>
        <w:t>。</w:t>
      </w:r>
    </w:p>
    <w:bookmarkEnd w:id="279"/>
    <w:p w14:paraId="26B83DEC">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小结</w:t>
      </w:r>
    </w:p>
    <w:p w14:paraId="36F1A04C">
      <w:pPr>
        <w:widowControl/>
        <w:ind w:firstLine="480" w:firstLineChars="200"/>
        <w:rPr>
          <w:color w:val="auto"/>
          <w:kern w:val="0"/>
          <w:szCs w:val="22"/>
          <w:highlight w:val="none"/>
        </w:rPr>
      </w:pPr>
      <w:r>
        <w:rPr>
          <w:color w:val="auto"/>
          <w:kern w:val="0"/>
          <w:szCs w:val="22"/>
          <w:highlight w:val="none"/>
        </w:rPr>
        <w:t>在正常状况下，</w:t>
      </w:r>
      <w:bookmarkStart w:id="280" w:name="_Hlk48692703"/>
      <w:r>
        <w:rPr>
          <w:color w:val="auto"/>
          <w:kern w:val="0"/>
          <w:szCs w:val="22"/>
          <w:highlight w:val="none"/>
        </w:rPr>
        <w:t>本项目在设计、施工和运行时，严把质量验收关，杜绝因设施、设备材质、防腐涂层、焊接缺陷及运行失误而造成设施泄漏</w:t>
      </w:r>
      <w:bookmarkEnd w:id="280"/>
      <w:r>
        <w:rPr>
          <w:color w:val="auto"/>
          <w:kern w:val="0"/>
          <w:szCs w:val="22"/>
          <w:highlight w:val="none"/>
        </w:rPr>
        <w:t>。在运营期，采取分区防渗，强化监控手段，定期检查检验，检漏控漏，尽量杜绝事故性排放源的存在，本项目对地下水环境的影响较小。</w:t>
      </w:r>
    </w:p>
    <w:p w14:paraId="341A903D">
      <w:pPr>
        <w:widowControl/>
        <w:ind w:firstLine="480" w:firstLineChars="200"/>
        <w:rPr>
          <w:color w:val="auto"/>
          <w:highlight w:val="none"/>
        </w:rPr>
      </w:pPr>
      <w:r>
        <w:rPr>
          <w:color w:val="auto"/>
          <w:highlight w:val="none"/>
        </w:rPr>
        <w:t>本次地下水评价，设置了项目非正常工况情景进行预测分析对项目附近区域地下水环境的影响，结果显示：若发生非正常状况，污染物一旦发生泄漏，将会对项目附近区域地下水造成一定影响。</w:t>
      </w:r>
      <w:r>
        <w:rPr>
          <w:color w:val="auto"/>
          <w:szCs w:val="22"/>
          <w:highlight w:val="none"/>
        </w:rPr>
        <w:t>因此，拟建项目必须采取可靠的防渗防漏措施，并采取严格的监测措施，防止重大事故或者事故处理不及时污水泄漏对地下水环境造成污染。</w:t>
      </w:r>
      <w:r>
        <w:rPr>
          <w:color w:val="auto"/>
          <w:highlight w:val="none"/>
        </w:rPr>
        <w:t>针对可能出现的情景，报告制定了相应的监测方案和应急措施。</w:t>
      </w:r>
    </w:p>
    <w:p w14:paraId="3533F0DA">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color w:val="auto"/>
          <w:szCs w:val="22"/>
          <w:highlight w:val="none"/>
        </w:rPr>
        <w:t>因此，从地下水环保角度出发，</w:t>
      </w:r>
      <w:r>
        <w:rPr>
          <w:color w:val="auto"/>
          <w:highlight w:val="none"/>
        </w:rPr>
        <w:t>建设单位对</w:t>
      </w:r>
      <w:r>
        <w:rPr>
          <w:color w:val="auto"/>
          <w:kern w:val="0"/>
          <w:szCs w:val="22"/>
          <w:highlight w:val="none"/>
        </w:rPr>
        <w:t>地下水污染防治措施按照“源头控制、分区防治、跟踪监测、应急响应”相结合的原则，落实</w:t>
      </w:r>
      <w:r>
        <w:rPr>
          <w:color w:val="auto"/>
          <w:highlight w:val="none"/>
        </w:rPr>
        <w:t>相关保护措施后，该项目对水环境的影响是可以接受的</w:t>
      </w:r>
      <w:r>
        <w:rPr>
          <w:rFonts w:ascii="Times New Roman" w:hAnsi="Times New Roman" w:eastAsia="宋体" w:cs="Times New Roman"/>
          <w:color w:val="auto"/>
          <w:szCs w:val="21"/>
          <w:highlight w:val="none"/>
        </w:rPr>
        <w:t>。</w:t>
      </w:r>
    </w:p>
    <w:p w14:paraId="497FEE1F">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81" w:name="_Toc11653"/>
      <w:bookmarkStart w:id="282" w:name="_Toc135735455"/>
      <w:r>
        <w:rPr>
          <w:rFonts w:hint="eastAsia" w:ascii="Times New Roman" w:hAnsi="Times New Roman" w:eastAsia="黑体" w:cs="Times New Roman"/>
          <w:bCs/>
          <w:color w:val="auto"/>
          <w:spacing w:val="0"/>
          <w:w w:val="100"/>
          <w:kern w:val="28"/>
          <w:sz w:val="30"/>
          <w:szCs w:val="30"/>
          <w:highlight w:val="none"/>
          <w:lang w:val="en-US" w:eastAsia="zh-CN" w:bidi="ar-SA"/>
        </w:rPr>
        <w:t>固体废物影响分析</w:t>
      </w:r>
      <w:bookmarkEnd w:id="281"/>
    </w:p>
    <w:bookmarkEnd w:id="282"/>
    <w:p w14:paraId="55D7D830">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施工期固体废物影响分析</w:t>
      </w:r>
    </w:p>
    <w:p w14:paraId="6FF375C8">
      <w:pPr>
        <w:ind w:firstLine="480" w:firstLineChars="200"/>
        <w:rPr>
          <w:color w:val="auto"/>
          <w:highlight w:val="none"/>
        </w:rPr>
      </w:pPr>
      <w:r>
        <w:rPr>
          <w:color w:val="auto"/>
          <w:highlight w:val="none"/>
        </w:rPr>
        <w:t>本项目施工期固体废物主要为施工过程中产生的建筑垃圾和生活垃圾。</w:t>
      </w:r>
    </w:p>
    <w:p w14:paraId="0DA569D3">
      <w:pPr>
        <w:ind w:firstLine="480" w:firstLineChars="200"/>
        <w:rPr>
          <w:color w:val="auto"/>
          <w:highlight w:val="none"/>
        </w:rPr>
      </w:pPr>
      <w:r>
        <w:rPr>
          <w:color w:val="auto"/>
          <w:highlight w:val="none"/>
        </w:rPr>
        <w:t>建筑垃圾主要指在地面挖掘、道路修筑、管道敷设、材料运输、基础工程和房屋建筑等工程施工期产生的大量废弃的建筑材料，如砂石、石灰、废弃混凝土、木材和土石方等。同时，施工人员将产生生活垃圾。据估算，以生活垃圾产生量</w:t>
      </w:r>
      <w:r>
        <w:rPr>
          <w:rFonts w:eastAsia="Times New Roman"/>
          <w:color w:val="auto"/>
          <w:highlight w:val="none"/>
        </w:rPr>
        <w:t>0.5kg/</w:t>
      </w:r>
      <w:r>
        <w:rPr>
          <w:color w:val="auto"/>
          <w:highlight w:val="none"/>
        </w:rPr>
        <w:t>人</w:t>
      </w:r>
      <w:r>
        <w:rPr>
          <w:rFonts w:hint="eastAsia" w:ascii="Times New Roman" w:eastAsia="宋体"/>
          <w:color w:val="auto"/>
          <w:highlight w:val="none"/>
          <w:lang w:val="en-US" w:eastAsia="zh-CN"/>
        </w:rPr>
        <w:t>·</w:t>
      </w:r>
      <w:r>
        <w:rPr>
          <w:rFonts w:eastAsia="Times New Roman"/>
          <w:color w:val="auto"/>
          <w:highlight w:val="none"/>
        </w:rPr>
        <w:t>d</w:t>
      </w:r>
      <w:r>
        <w:rPr>
          <w:color w:val="auto"/>
          <w:highlight w:val="none"/>
        </w:rPr>
        <w:t>计，施工人员按</w:t>
      </w:r>
      <w:r>
        <w:rPr>
          <w:rFonts w:eastAsia="Times New Roman"/>
          <w:color w:val="auto"/>
          <w:highlight w:val="none"/>
        </w:rPr>
        <w:t>1000</w:t>
      </w:r>
      <w:r>
        <w:rPr>
          <w:color w:val="auto"/>
          <w:highlight w:val="none"/>
        </w:rPr>
        <w:t>人计，生活垃圾产生量为</w:t>
      </w:r>
      <w:r>
        <w:rPr>
          <w:rFonts w:eastAsia="Times New Roman"/>
          <w:color w:val="auto"/>
          <w:highlight w:val="none"/>
        </w:rPr>
        <w:t>0.5t/d</w:t>
      </w:r>
      <w:r>
        <w:rPr>
          <w:color w:val="auto"/>
          <w:highlight w:val="none"/>
        </w:rPr>
        <w:t>。</w:t>
      </w:r>
    </w:p>
    <w:p w14:paraId="36813508">
      <w:pPr>
        <w:ind w:firstLine="480" w:firstLineChars="200"/>
        <w:rPr>
          <w:rFonts w:hint="eastAsia" w:eastAsia="宋体"/>
          <w:color w:val="auto"/>
          <w:highlight w:val="none"/>
          <w:lang w:eastAsia="zh-CN"/>
        </w:rPr>
      </w:pPr>
      <w:r>
        <w:rPr>
          <w:color w:val="auto"/>
          <w:highlight w:val="none"/>
        </w:rPr>
        <w:t>项目施工期产生的固体废物，若管理不当，其对环境的影响主要表</w:t>
      </w:r>
      <w:r>
        <w:rPr>
          <w:rFonts w:hint="eastAsia"/>
          <w:color w:val="auto"/>
          <w:highlight w:val="none"/>
          <w:lang w:eastAsia="zh-CN"/>
        </w:rPr>
        <w:t>现在</w:t>
      </w:r>
      <w:r>
        <w:rPr>
          <w:color w:val="auto"/>
          <w:highlight w:val="none"/>
        </w:rPr>
        <w:t>以下几个方面</w:t>
      </w:r>
      <w:r>
        <w:rPr>
          <w:rFonts w:hint="eastAsia" w:eastAsia="宋体"/>
          <w:color w:val="auto"/>
          <w:highlight w:val="none"/>
          <w:lang w:eastAsia="zh-CN"/>
        </w:rPr>
        <w:t>：</w:t>
      </w:r>
    </w:p>
    <w:p w14:paraId="26DC6E1D">
      <w:pPr>
        <w:ind w:firstLine="480" w:firstLineChars="200"/>
        <w:rPr>
          <w:color w:val="auto"/>
          <w:highlight w:val="none"/>
        </w:rPr>
      </w:pPr>
      <w:r>
        <w:rPr>
          <w:color w:val="auto"/>
          <w:highlight w:val="none"/>
        </w:rPr>
        <w:t>（1）建筑垃圾对环境的影响</w:t>
      </w:r>
    </w:p>
    <w:p w14:paraId="48BF1315">
      <w:pPr>
        <w:ind w:firstLine="480" w:firstLineChars="200"/>
        <w:rPr>
          <w:color w:val="auto"/>
          <w:highlight w:val="none"/>
        </w:rPr>
      </w:pPr>
      <w:r>
        <w:rPr>
          <w:color w:val="auto"/>
          <w:highlight w:val="none"/>
        </w:rPr>
        <w:t>废弃</w:t>
      </w:r>
      <w:r>
        <w:rPr>
          <w:rFonts w:hint="eastAsia"/>
          <w:color w:val="auto"/>
          <w:highlight w:val="none"/>
        </w:rPr>
        <w:t>建材</w:t>
      </w:r>
      <w:r>
        <w:rPr>
          <w:color w:val="auto"/>
          <w:highlight w:val="none"/>
        </w:rPr>
        <w:t>等建筑垃圾随意堆放影响周边景观，在遇大风天气时，将产生扬尘。此外，还可通过现场的运输车辆及施工机械等的</w:t>
      </w:r>
      <w:r>
        <w:rPr>
          <w:rFonts w:hint="eastAsia"/>
          <w:color w:val="auto"/>
          <w:highlight w:val="none"/>
          <w:lang w:eastAsia="zh-CN"/>
        </w:rPr>
        <w:t>粘带</w:t>
      </w:r>
      <w:r>
        <w:rPr>
          <w:color w:val="auto"/>
          <w:highlight w:val="none"/>
        </w:rPr>
        <w:t>进入施工区以外的区域。</w:t>
      </w:r>
    </w:p>
    <w:p w14:paraId="4BB7A905">
      <w:pPr>
        <w:ind w:firstLine="480" w:firstLineChars="200"/>
        <w:rPr>
          <w:color w:val="auto"/>
          <w:highlight w:val="none"/>
        </w:rPr>
      </w:pPr>
      <w:r>
        <w:rPr>
          <w:color w:val="auto"/>
          <w:highlight w:val="none"/>
        </w:rPr>
        <w:t>（2）施工生活垃圾对环境的影响</w:t>
      </w:r>
    </w:p>
    <w:p w14:paraId="6D9A22E8">
      <w:pPr>
        <w:ind w:firstLine="480" w:firstLineChars="200"/>
        <w:rPr>
          <w:color w:val="auto"/>
          <w:highlight w:val="none"/>
        </w:rPr>
      </w:pPr>
      <w:r>
        <w:rPr>
          <w:color w:val="auto"/>
          <w:highlight w:val="none"/>
        </w:rPr>
        <w:t>生活垃圾随意丢弃，将</w:t>
      </w:r>
      <w:r>
        <w:rPr>
          <w:rFonts w:hint="eastAsia"/>
          <w:color w:val="auto"/>
          <w:highlight w:val="none"/>
          <w:lang w:eastAsia="zh-CN"/>
        </w:rPr>
        <w:t>招致</w:t>
      </w:r>
      <w:r>
        <w:rPr>
          <w:color w:val="auto"/>
          <w:highlight w:val="none"/>
        </w:rPr>
        <w:t>蚊蝇害虫，并产生臭味。遇大风干燥天气，</w:t>
      </w:r>
      <w:r>
        <w:rPr>
          <w:rFonts w:hint="eastAsia"/>
          <w:color w:val="auto"/>
          <w:highlight w:val="none"/>
        </w:rPr>
        <w:t>纸屑</w:t>
      </w:r>
      <w:r>
        <w:rPr>
          <w:color w:val="auto"/>
          <w:highlight w:val="none"/>
        </w:rPr>
        <w:t>、塑料漫天飞舞，影响大气环境。降雨天气又会将有害物质随径流带入水、土壤环境，对周围环境产生不利影响。</w:t>
      </w:r>
    </w:p>
    <w:p w14:paraId="299FD439">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运营期固体废物影响分析</w:t>
      </w:r>
    </w:p>
    <w:p w14:paraId="4DF9CB1A">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固体废物来源及特征分析</w:t>
      </w:r>
    </w:p>
    <w:p w14:paraId="7090A15D">
      <w:pPr>
        <w:ind w:firstLine="480" w:firstLineChars="200"/>
        <w:rPr>
          <w:color w:val="auto"/>
          <w:highlight w:val="none"/>
        </w:rPr>
      </w:pPr>
      <w:r>
        <w:rPr>
          <w:color w:val="auto"/>
          <w:highlight w:val="none"/>
        </w:rPr>
        <w:t>机场</w:t>
      </w:r>
      <w:r>
        <w:rPr>
          <w:rFonts w:hint="eastAsia"/>
          <w:color w:val="auto"/>
          <w:highlight w:val="none"/>
        </w:rPr>
        <w:t>运营期</w:t>
      </w:r>
      <w:r>
        <w:rPr>
          <w:color w:val="auto"/>
          <w:highlight w:val="none"/>
        </w:rPr>
        <w:t>固体废物主要由航空垃圾、生活垃圾组成，航空垃圾主要为乘机旅客在飞机上及航站楼内所产生的各种污染物；生活</w:t>
      </w:r>
      <w:r>
        <w:rPr>
          <w:rFonts w:hint="eastAsia"/>
          <w:color w:val="auto"/>
          <w:highlight w:val="none"/>
          <w:lang w:val="en-US" w:eastAsia="zh-CN"/>
        </w:rPr>
        <w:t>垃圾</w:t>
      </w:r>
      <w:r>
        <w:rPr>
          <w:color w:val="auto"/>
          <w:highlight w:val="none"/>
        </w:rPr>
        <w:t>主要由机场办公、餐饮、住宿等所产生。此外，还有污泥、污油、油泥等。机场项目的固体废物因其来源不同，在特征、性质和组成成分上均有所差异。</w:t>
      </w:r>
    </w:p>
    <w:p w14:paraId="1726C357">
      <w:pPr>
        <w:ind w:left="482" w:right="6" w:firstLine="0"/>
        <w:rPr>
          <w:color w:val="auto"/>
          <w:highlight w:val="none"/>
        </w:rPr>
      </w:pPr>
      <w:r>
        <w:rPr>
          <w:rFonts w:hint="eastAsia"/>
          <w:color w:val="auto"/>
          <w:highlight w:val="none"/>
        </w:rPr>
        <w:t>（1）</w:t>
      </w:r>
      <w:r>
        <w:rPr>
          <w:color w:val="auto"/>
          <w:highlight w:val="none"/>
        </w:rPr>
        <w:t>航空垃圾</w:t>
      </w:r>
    </w:p>
    <w:p w14:paraId="4966E93E">
      <w:pPr>
        <w:ind w:firstLine="480" w:firstLineChars="200"/>
        <w:rPr>
          <w:color w:val="auto"/>
          <w:highlight w:val="none"/>
        </w:rPr>
      </w:pPr>
      <w:r>
        <w:rPr>
          <w:color w:val="auto"/>
          <w:highlight w:val="none"/>
        </w:rPr>
        <w:t>航空垃圾主要是指旅客在乘机途中以及候机过程中产生的航空垃圾，其组成主要为塑料杯、包装纸、易拉罐等。</w:t>
      </w:r>
      <w:r>
        <w:rPr>
          <w:rFonts w:hint="eastAsia"/>
          <w:color w:val="auto"/>
          <w:highlight w:val="none"/>
        </w:rPr>
        <w:t>精河</w:t>
      </w:r>
      <w:r>
        <w:rPr>
          <w:color w:val="auto"/>
          <w:highlight w:val="none"/>
        </w:rPr>
        <w:t>机场为</w:t>
      </w:r>
      <w:r>
        <w:rPr>
          <w:rFonts w:hint="eastAsia"/>
          <w:color w:val="auto"/>
          <w:highlight w:val="none"/>
        </w:rPr>
        <w:t>通用</w:t>
      </w:r>
      <w:r>
        <w:rPr>
          <w:color w:val="auto"/>
          <w:highlight w:val="none"/>
        </w:rPr>
        <w:t>机场，航空垃圾可按一般生活垃圾处理。</w:t>
      </w:r>
    </w:p>
    <w:p w14:paraId="477F72F4">
      <w:pPr>
        <w:ind w:left="482" w:right="6" w:firstLine="0"/>
        <w:rPr>
          <w:color w:val="auto"/>
          <w:highlight w:val="none"/>
        </w:rPr>
      </w:pPr>
      <w:r>
        <w:rPr>
          <w:rFonts w:hint="eastAsia"/>
          <w:color w:val="auto"/>
          <w:highlight w:val="none"/>
        </w:rPr>
        <w:t>（2）</w:t>
      </w:r>
      <w:r>
        <w:rPr>
          <w:color w:val="auto"/>
          <w:highlight w:val="none"/>
        </w:rPr>
        <w:t>生活垃圾</w:t>
      </w:r>
    </w:p>
    <w:p w14:paraId="03BD1F7D">
      <w:pPr>
        <w:ind w:firstLine="480" w:firstLineChars="200"/>
        <w:rPr>
          <w:color w:val="auto"/>
          <w:highlight w:val="none"/>
        </w:rPr>
      </w:pPr>
      <w:r>
        <w:rPr>
          <w:color w:val="auto"/>
          <w:highlight w:val="none"/>
        </w:rPr>
        <w:t>机场工作区生活垃圾主要是餐厅食堂、办公区及生活保障基地等区域职工、宾客生活活动产生的垃圾。生活垃圾主要为纸类、塑料类、厨房下脚料、餐饮垃圾等，其特点是有机物含量高，属于一般固体废物。</w:t>
      </w:r>
    </w:p>
    <w:p w14:paraId="6F201775">
      <w:pPr>
        <w:ind w:left="482" w:right="6" w:firstLine="0"/>
        <w:rPr>
          <w:color w:val="auto"/>
          <w:highlight w:val="none"/>
        </w:rPr>
      </w:pPr>
      <w:r>
        <w:rPr>
          <w:rFonts w:hint="eastAsia"/>
          <w:color w:val="auto"/>
          <w:highlight w:val="none"/>
        </w:rPr>
        <w:t>（3）</w:t>
      </w:r>
      <w:r>
        <w:rPr>
          <w:color w:val="auto"/>
          <w:highlight w:val="none"/>
        </w:rPr>
        <w:t>污水处理站污泥</w:t>
      </w:r>
    </w:p>
    <w:p w14:paraId="6C1692E1">
      <w:pPr>
        <w:ind w:firstLine="480" w:firstLineChars="200"/>
        <w:rPr>
          <w:color w:val="auto"/>
          <w:highlight w:val="none"/>
        </w:rPr>
      </w:pPr>
      <w:r>
        <w:rPr>
          <w:color w:val="auto"/>
          <w:highlight w:val="none"/>
        </w:rPr>
        <w:t>本项目污水处理采用一体化</w:t>
      </w:r>
      <w:r>
        <w:rPr>
          <w:rFonts w:eastAsia="Times New Roman"/>
          <w:color w:val="auto"/>
          <w:highlight w:val="none"/>
        </w:rPr>
        <w:t>MBR</w:t>
      </w:r>
      <w:r>
        <w:rPr>
          <w:color w:val="auto"/>
          <w:highlight w:val="none"/>
        </w:rPr>
        <w:t>污水处理设施，该工艺污泥产生量较小。机场污水处理过程中产生的污泥以有机组分为主，还含有丰富的氮、磷</w:t>
      </w:r>
      <w:r>
        <w:rPr>
          <w:rFonts w:hint="eastAsia"/>
          <w:color w:val="auto"/>
          <w:highlight w:val="none"/>
        </w:rPr>
        <w:t>，</w:t>
      </w:r>
      <w:r>
        <w:rPr>
          <w:color w:val="auto"/>
          <w:highlight w:val="none"/>
        </w:rPr>
        <w:t>属于一般固体废物。</w:t>
      </w:r>
    </w:p>
    <w:p w14:paraId="087C2518">
      <w:pPr>
        <w:ind w:left="482" w:right="6" w:firstLine="0"/>
        <w:rPr>
          <w:color w:val="auto"/>
          <w:highlight w:val="none"/>
        </w:rPr>
      </w:pPr>
      <w:r>
        <w:rPr>
          <w:rFonts w:hint="eastAsia"/>
          <w:color w:val="auto"/>
          <w:highlight w:val="none"/>
        </w:rPr>
        <w:t>（4）</w:t>
      </w:r>
      <w:r>
        <w:rPr>
          <w:color w:val="auto"/>
          <w:highlight w:val="none"/>
        </w:rPr>
        <w:t>污油</w:t>
      </w:r>
      <w:r>
        <w:rPr>
          <w:rFonts w:hint="eastAsia"/>
          <w:color w:val="auto"/>
          <w:highlight w:val="none"/>
        </w:rPr>
        <w:t>、油泥</w:t>
      </w:r>
    </w:p>
    <w:p w14:paraId="567D7FE4">
      <w:pPr>
        <w:ind w:firstLine="480" w:firstLineChars="200"/>
        <w:rPr>
          <w:color w:val="auto"/>
          <w:highlight w:val="none"/>
        </w:rPr>
      </w:pPr>
      <w:r>
        <w:rPr>
          <w:color w:val="auto"/>
          <w:highlight w:val="none"/>
        </w:rPr>
        <w:t>由于航油品质较高，储运过程基本没有油泥产生，</w:t>
      </w:r>
      <w:r>
        <w:rPr>
          <w:rFonts w:hint="eastAsia"/>
          <w:color w:val="auto"/>
          <w:highlight w:val="none"/>
        </w:rPr>
        <w:t>主要是加油区的2辆油罐车加油过程跑冒滴漏产生的少量油泥</w:t>
      </w:r>
      <w:r>
        <w:rPr>
          <w:color w:val="auto"/>
          <w:highlight w:val="none"/>
        </w:rPr>
        <w:t>。年产生污油量约</w:t>
      </w:r>
      <w:r>
        <w:rPr>
          <w:rFonts w:eastAsia="Times New Roman"/>
          <w:color w:val="auto"/>
          <w:highlight w:val="none"/>
        </w:rPr>
        <w:t>0.5t/a</w:t>
      </w:r>
      <w:r>
        <w:rPr>
          <w:color w:val="auto"/>
          <w:highlight w:val="none"/>
        </w:rPr>
        <w:t>。</w:t>
      </w:r>
      <w:r>
        <w:rPr>
          <w:rFonts w:hint="eastAsia"/>
          <w:color w:val="auto"/>
          <w:highlight w:val="none"/>
        </w:rPr>
        <w:t>根据《国家危险废物名录（2025年版）》</w:t>
      </w:r>
      <w:r>
        <w:rPr>
          <w:color w:val="auto"/>
          <w:highlight w:val="none"/>
        </w:rPr>
        <w:t>，</w:t>
      </w:r>
      <w:r>
        <w:rPr>
          <w:rFonts w:hint="eastAsia"/>
          <w:color w:val="auto"/>
          <w:highlight w:val="none"/>
        </w:rPr>
        <w:t>该油泥属HW08，危废代码900-221-08，应按危险废物处理处置</w:t>
      </w:r>
      <w:r>
        <w:rPr>
          <w:color w:val="auto"/>
          <w:highlight w:val="none"/>
        </w:rPr>
        <w:t>。</w:t>
      </w:r>
    </w:p>
    <w:p w14:paraId="7540B94D">
      <w:pPr>
        <w:ind w:firstLine="480" w:firstLineChars="200"/>
        <w:rPr>
          <w:color w:val="auto"/>
          <w:highlight w:val="none"/>
        </w:rPr>
      </w:pPr>
      <w:r>
        <w:rPr>
          <w:color w:val="auto"/>
          <w:highlight w:val="none"/>
        </w:rPr>
        <w:t>（5）废机油</w:t>
      </w:r>
    </w:p>
    <w:p w14:paraId="27005EFC">
      <w:pPr>
        <w:ind w:firstLine="480" w:firstLineChars="200"/>
        <w:rPr>
          <w:color w:val="auto"/>
          <w:highlight w:val="none"/>
        </w:rPr>
      </w:pPr>
      <w:r>
        <w:rPr>
          <w:color w:val="auto"/>
          <w:highlight w:val="none"/>
        </w:rPr>
        <w:t>机械维修会产生少量废机油，约0.01t/a，属于</w:t>
      </w:r>
      <w:r>
        <w:rPr>
          <w:rFonts w:hint="eastAsia"/>
          <w:color w:val="auto"/>
          <w:highlight w:val="none"/>
        </w:rPr>
        <w:t>《国家危险废物名录（2025年版）》</w:t>
      </w:r>
      <w:r>
        <w:rPr>
          <w:color w:val="auto"/>
          <w:highlight w:val="none"/>
        </w:rPr>
        <w:t>HW08类危险废物（900-214-08车辆、轮船及其它机械维修过程中产生的废发动机油、制动器油、自动变速器油、齿轮油等废润滑油），暂存于</w:t>
      </w:r>
      <w:r>
        <w:rPr>
          <w:rFonts w:hint="eastAsia"/>
          <w:color w:val="auto"/>
          <w:highlight w:val="none"/>
        </w:rPr>
        <w:t>危废贮存点</w:t>
      </w:r>
      <w:r>
        <w:rPr>
          <w:color w:val="auto"/>
          <w:highlight w:val="none"/>
        </w:rPr>
        <w:t>，委托有资质的单位进行回收处理。</w:t>
      </w:r>
    </w:p>
    <w:p w14:paraId="03AB262F">
      <w:pPr>
        <w:ind w:firstLine="0"/>
        <w:jc w:val="center"/>
        <w:rPr>
          <w:rFonts w:ascii="黑体" w:hAnsi="黑体" w:eastAsia="黑体"/>
          <w:color w:val="auto"/>
          <w:sz w:val="21"/>
          <w:highlight w:val="none"/>
        </w:rPr>
      </w:pPr>
      <w:r>
        <w:rPr>
          <w:rFonts w:ascii="黑体" w:hAnsi="黑体" w:eastAsia="黑体"/>
          <w:color w:val="auto"/>
          <w:sz w:val="21"/>
          <w:highlight w:val="none"/>
        </w:rPr>
        <w:t>表</w:t>
      </w:r>
      <w:r>
        <w:rPr>
          <w:rFonts w:ascii="黑体" w:hAnsi="黑体" w:eastAsia="黑体"/>
          <w:b/>
          <w:color w:val="auto"/>
          <w:sz w:val="21"/>
          <w:highlight w:val="none"/>
        </w:rPr>
        <w:t>5-6-1</w:t>
      </w:r>
      <w:r>
        <w:rPr>
          <w:rFonts w:ascii="黑体" w:hAnsi="黑体" w:eastAsia="黑体"/>
          <w:color w:val="auto"/>
          <w:sz w:val="21"/>
          <w:highlight w:val="none"/>
        </w:rPr>
        <w:t>固体废物产生汇总情况表</w:t>
      </w:r>
    </w:p>
    <w:tbl>
      <w:tblPr>
        <w:tblStyle w:val="159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1172"/>
        <w:gridCol w:w="1922"/>
        <w:gridCol w:w="1329"/>
        <w:gridCol w:w="884"/>
        <w:gridCol w:w="2726"/>
      </w:tblGrid>
      <w:tr w14:paraId="4A98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337" w:type="pct"/>
            <w:tcMar>
              <w:left w:w="57" w:type="dxa"/>
              <w:right w:w="57" w:type="dxa"/>
            </w:tcMar>
            <w:vAlign w:val="center"/>
          </w:tcPr>
          <w:p w14:paraId="45CE8F5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序号</w:t>
            </w:r>
          </w:p>
        </w:tc>
        <w:tc>
          <w:tcPr>
            <w:tcW w:w="680" w:type="pct"/>
            <w:tcMar>
              <w:left w:w="57" w:type="dxa"/>
              <w:right w:w="57" w:type="dxa"/>
            </w:tcMar>
            <w:vAlign w:val="center"/>
          </w:tcPr>
          <w:p w14:paraId="2E2B41B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种类</w:t>
            </w:r>
          </w:p>
        </w:tc>
        <w:tc>
          <w:tcPr>
            <w:tcW w:w="1115" w:type="pct"/>
            <w:tcMar>
              <w:left w:w="57" w:type="dxa"/>
              <w:right w:w="57" w:type="dxa"/>
            </w:tcMar>
            <w:vAlign w:val="center"/>
          </w:tcPr>
          <w:p w14:paraId="6F76C16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主要组分及性质</w:t>
            </w:r>
          </w:p>
        </w:tc>
        <w:tc>
          <w:tcPr>
            <w:tcW w:w="771" w:type="pct"/>
            <w:tcMar>
              <w:left w:w="57" w:type="dxa"/>
              <w:right w:w="57" w:type="dxa"/>
            </w:tcMar>
            <w:vAlign w:val="center"/>
          </w:tcPr>
          <w:p w14:paraId="6DFEFD4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来源</w:t>
            </w:r>
          </w:p>
        </w:tc>
        <w:tc>
          <w:tcPr>
            <w:tcW w:w="513" w:type="pct"/>
            <w:tcMar>
              <w:left w:w="57" w:type="dxa"/>
              <w:right w:w="57" w:type="dxa"/>
            </w:tcMar>
            <w:vAlign w:val="center"/>
          </w:tcPr>
          <w:p w14:paraId="371C82F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产生量</w:t>
            </w:r>
          </w:p>
          <w:p w14:paraId="55D78B0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（t/a</w:t>
            </w:r>
            <w:r>
              <w:rPr>
                <w:rFonts w:hint="eastAsia"/>
                <w:color w:val="auto"/>
                <w:kern w:val="0"/>
                <w:sz w:val="21"/>
                <w:szCs w:val="20"/>
                <w:highlight w:val="none"/>
                <w:lang w:eastAsia="zh-CN"/>
              </w:rPr>
              <w:t>)</w:t>
            </w:r>
          </w:p>
        </w:tc>
        <w:tc>
          <w:tcPr>
            <w:tcW w:w="1581" w:type="pct"/>
            <w:tcMar>
              <w:left w:w="57" w:type="dxa"/>
              <w:right w:w="57" w:type="dxa"/>
            </w:tcMar>
            <w:vAlign w:val="center"/>
          </w:tcPr>
          <w:p w14:paraId="20E4EE1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处理处置</w:t>
            </w:r>
          </w:p>
        </w:tc>
      </w:tr>
      <w:tr w14:paraId="51D2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37" w:type="pct"/>
            <w:tcMar>
              <w:left w:w="57" w:type="dxa"/>
              <w:right w:w="57" w:type="dxa"/>
            </w:tcMar>
            <w:vAlign w:val="center"/>
          </w:tcPr>
          <w:p w14:paraId="3466102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1</w:t>
            </w:r>
          </w:p>
        </w:tc>
        <w:tc>
          <w:tcPr>
            <w:tcW w:w="680" w:type="pct"/>
            <w:tcMar>
              <w:left w:w="57" w:type="dxa"/>
              <w:right w:w="57" w:type="dxa"/>
            </w:tcMar>
            <w:vAlign w:val="center"/>
          </w:tcPr>
          <w:p w14:paraId="5E8A42D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航空垃圾</w:t>
            </w:r>
          </w:p>
        </w:tc>
        <w:tc>
          <w:tcPr>
            <w:tcW w:w="1115" w:type="pct"/>
            <w:tcMar>
              <w:left w:w="57" w:type="dxa"/>
              <w:right w:w="57" w:type="dxa"/>
            </w:tcMar>
            <w:vAlign w:val="center"/>
          </w:tcPr>
          <w:p w14:paraId="0B49F42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有机物为主，一般固体废物</w:t>
            </w:r>
          </w:p>
        </w:tc>
        <w:tc>
          <w:tcPr>
            <w:tcW w:w="771" w:type="pct"/>
            <w:tcMar>
              <w:left w:w="57" w:type="dxa"/>
              <w:right w:w="57" w:type="dxa"/>
            </w:tcMar>
            <w:vAlign w:val="center"/>
          </w:tcPr>
          <w:p w14:paraId="08771CD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国内航班及候机楼</w:t>
            </w:r>
          </w:p>
        </w:tc>
        <w:tc>
          <w:tcPr>
            <w:tcW w:w="513" w:type="pct"/>
            <w:tcMar>
              <w:left w:w="57" w:type="dxa"/>
              <w:right w:w="57" w:type="dxa"/>
            </w:tcMar>
            <w:vAlign w:val="center"/>
          </w:tcPr>
          <w:p w14:paraId="28D5B09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eastAsia" w:eastAsia="宋体"/>
                <w:color w:val="auto"/>
                <w:kern w:val="0"/>
                <w:sz w:val="21"/>
                <w:szCs w:val="20"/>
                <w:highlight w:val="none"/>
              </w:rPr>
              <w:t>1.2624</w:t>
            </w:r>
          </w:p>
        </w:tc>
        <w:tc>
          <w:tcPr>
            <w:tcW w:w="1581" w:type="pct"/>
            <w:vMerge w:val="restart"/>
            <w:tcMar>
              <w:left w:w="57" w:type="dxa"/>
              <w:right w:w="57" w:type="dxa"/>
            </w:tcMar>
            <w:vAlign w:val="center"/>
          </w:tcPr>
          <w:p w14:paraId="02EF38D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航空垃圾、生活垃圾存储于垃圾站，由</w:t>
            </w:r>
            <w:r>
              <w:rPr>
                <w:rFonts w:hint="default" w:eastAsia="宋体"/>
                <w:color w:val="auto"/>
                <w:kern w:val="0"/>
                <w:sz w:val="21"/>
                <w:szCs w:val="21"/>
                <w:highlight w:val="none"/>
              </w:rPr>
              <w:t>精河县环卫管理部门</w:t>
            </w:r>
            <w:r>
              <w:rPr>
                <w:rFonts w:hint="default" w:eastAsia="宋体"/>
                <w:color w:val="auto"/>
                <w:kern w:val="0"/>
                <w:sz w:val="21"/>
                <w:szCs w:val="20"/>
                <w:highlight w:val="none"/>
              </w:rPr>
              <w:t>统一收集清运</w:t>
            </w:r>
          </w:p>
        </w:tc>
      </w:tr>
      <w:tr w14:paraId="31A5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37" w:type="pct"/>
            <w:tcMar>
              <w:left w:w="57" w:type="dxa"/>
              <w:right w:w="57" w:type="dxa"/>
            </w:tcMar>
            <w:vAlign w:val="center"/>
          </w:tcPr>
          <w:p w14:paraId="0895B10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2</w:t>
            </w:r>
          </w:p>
        </w:tc>
        <w:tc>
          <w:tcPr>
            <w:tcW w:w="680" w:type="pct"/>
            <w:tcMar>
              <w:left w:w="57" w:type="dxa"/>
              <w:right w:w="57" w:type="dxa"/>
            </w:tcMar>
            <w:vAlign w:val="center"/>
          </w:tcPr>
          <w:p w14:paraId="050DBD2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生活垃圾</w:t>
            </w:r>
          </w:p>
        </w:tc>
        <w:tc>
          <w:tcPr>
            <w:tcW w:w="1115" w:type="pct"/>
            <w:tcMar>
              <w:left w:w="57" w:type="dxa"/>
              <w:right w:w="57" w:type="dxa"/>
            </w:tcMar>
            <w:vAlign w:val="center"/>
          </w:tcPr>
          <w:p w14:paraId="7AB91E8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有机物为主，一般固体废物</w:t>
            </w:r>
          </w:p>
        </w:tc>
        <w:tc>
          <w:tcPr>
            <w:tcW w:w="771" w:type="pct"/>
            <w:tcMar>
              <w:left w:w="57" w:type="dxa"/>
              <w:right w:w="57" w:type="dxa"/>
            </w:tcMar>
            <w:vAlign w:val="center"/>
          </w:tcPr>
          <w:p w14:paraId="17F14C8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办公、生活活动</w:t>
            </w:r>
          </w:p>
        </w:tc>
        <w:tc>
          <w:tcPr>
            <w:tcW w:w="513" w:type="pct"/>
            <w:tcMar>
              <w:left w:w="57" w:type="dxa"/>
              <w:right w:w="57" w:type="dxa"/>
            </w:tcMar>
            <w:vAlign w:val="center"/>
          </w:tcPr>
          <w:p w14:paraId="36116D3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eastAsia" w:eastAsia="宋体"/>
                <w:color w:val="auto"/>
                <w:kern w:val="0"/>
                <w:sz w:val="21"/>
                <w:szCs w:val="20"/>
                <w:highlight w:val="none"/>
              </w:rPr>
              <w:t>5.4750</w:t>
            </w:r>
          </w:p>
        </w:tc>
        <w:tc>
          <w:tcPr>
            <w:tcW w:w="1581" w:type="pct"/>
            <w:vMerge w:val="continue"/>
            <w:tcMar>
              <w:left w:w="57" w:type="dxa"/>
              <w:right w:w="57" w:type="dxa"/>
            </w:tcMar>
            <w:vAlign w:val="center"/>
          </w:tcPr>
          <w:p w14:paraId="34CA7B8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p>
        </w:tc>
      </w:tr>
      <w:tr w14:paraId="58EEC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7" w:type="pct"/>
            <w:tcMar>
              <w:left w:w="57" w:type="dxa"/>
              <w:right w:w="57" w:type="dxa"/>
            </w:tcMar>
            <w:vAlign w:val="center"/>
          </w:tcPr>
          <w:p w14:paraId="414BA8B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3</w:t>
            </w:r>
          </w:p>
        </w:tc>
        <w:tc>
          <w:tcPr>
            <w:tcW w:w="680" w:type="pct"/>
            <w:tcMar>
              <w:left w:w="57" w:type="dxa"/>
              <w:right w:w="57" w:type="dxa"/>
            </w:tcMar>
            <w:vAlign w:val="center"/>
          </w:tcPr>
          <w:p w14:paraId="0BD3BB3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污水处理站污泥</w:t>
            </w:r>
          </w:p>
        </w:tc>
        <w:tc>
          <w:tcPr>
            <w:tcW w:w="1115" w:type="pct"/>
            <w:tcMar>
              <w:left w:w="57" w:type="dxa"/>
              <w:right w:w="57" w:type="dxa"/>
            </w:tcMar>
            <w:vAlign w:val="center"/>
          </w:tcPr>
          <w:p w14:paraId="0BBF208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有机物为主，一般固体废物</w:t>
            </w:r>
          </w:p>
        </w:tc>
        <w:tc>
          <w:tcPr>
            <w:tcW w:w="771" w:type="pct"/>
            <w:tcMar>
              <w:left w:w="57" w:type="dxa"/>
              <w:right w:w="57" w:type="dxa"/>
            </w:tcMar>
            <w:vAlign w:val="center"/>
          </w:tcPr>
          <w:p w14:paraId="13F5399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污水处理过程</w:t>
            </w:r>
          </w:p>
        </w:tc>
        <w:tc>
          <w:tcPr>
            <w:tcW w:w="513" w:type="pct"/>
            <w:tcMar>
              <w:left w:w="57" w:type="dxa"/>
              <w:right w:w="57" w:type="dxa"/>
            </w:tcMar>
            <w:vAlign w:val="center"/>
          </w:tcPr>
          <w:p w14:paraId="16A62A5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eastAsia" w:eastAsia="宋体"/>
                <w:color w:val="auto"/>
                <w:kern w:val="0"/>
                <w:sz w:val="21"/>
                <w:szCs w:val="20"/>
                <w:highlight w:val="none"/>
              </w:rPr>
              <w:t>0.2515</w:t>
            </w:r>
          </w:p>
        </w:tc>
        <w:tc>
          <w:tcPr>
            <w:tcW w:w="1581" w:type="pct"/>
            <w:tcMar>
              <w:left w:w="57" w:type="dxa"/>
              <w:right w:w="57" w:type="dxa"/>
            </w:tcMar>
            <w:vAlign w:val="center"/>
          </w:tcPr>
          <w:p w14:paraId="309203A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eastAsia" w:eastAsia="宋体"/>
                <w:color w:val="auto"/>
                <w:kern w:val="0"/>
                <w:sz w:val="21"/>
                <w:szCs w:val="21"/>
                <w:highlight w:val="none"/>
              </w:rPr>
              <w:t>委托场外有处置能力的单位定期进行减量化、无害化处置</w:t>
            </w:r>
          </w:p>
        </w:tc>
      </w:tr>
      <w:tr w14:paraId="5258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7" w:type="pct"/>
            <w:tcMar>
              <w:left w:w="57" w:type="dxa"/>
              <w:right w:w="57" w:type="dxa"/>
            </w:tcMar>
            <w:vAlign w:val="center"/>
          </w:tcPr>
          <w:p w14:paraId="46D1573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4</w:t>
            </w:r>
          </w:p>
        </w:tc>
        <w:tc>
          <w:tcPr>
            <w:tcW w:w="680" w:type="pct"/>
            <w:tcMar>
              <w:left w:w="57" w:type="dxa"/>
              <w:right w:w="57" w:type="dxa"/>
            </w:tcMar>
            <w:vAlign w:val="center"/>
          </w:tcPr>
          <w:p w14:paraId="2ACDB9B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eastAsia" w:eastAsia="宋体"/>
                <w:color w:val="auto"/>
                <w:kern w:val="0"/>
                <w:sz w:val="21"/>
                <w:szCs w:val="20"/>
                <w:highlight w:val="none"/>
              </w:rPr>
              <w:t>污油、油泥</w:t>
            </w:r>
          </w:p>
        </w:tc>
        <w:tc>
          <w:tcPr>
            <w:tcW w:w="1115" w:type="pct"/>
            <w:tcMar>
              <w:left w:w="57" w:type="dxa"/>
              <w:right w:w="57" w:type="dxa"/>
            </w:tcMar>
            <w:vAlign w:val="center"/>
          </w:tcPr>
          <w:p w14:paraId="64563E8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含油，属于危险废物</w:t>
            </w:r>
          </w:p>
        </w:tc>
        <w:tc>
          <w:tcPr>
            <w:tcW w:w="771" w:type="pct"/>
            <w:tcMar>
              <w:left w:w="57" w:type="dxa"/>
              <w:right w:w="57" w:type="dxa"/>
            </w:tcMar>
            <w:vAlign w:val="center"/>
          </w:tcPr>
          <w:p w14:paraId="65FED86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eastAsia" w:eastAsia="宋体"/>
                <w:color w:val="auto"/>
                <w:kern w:val="0"/>
                <w:sz w:val="21"/>
                <w:szCs w:val="20"/>
                <w:highlight w:val="none"/>
              </w:rPr>
              <w:t>含油污水处理过程</w:t>
            </w:r>
          </w:p>
        </w:tc>
        <w:tc>
          <w:tcPr>
            <w:tcW w:w="513" w:type="pct"/>
            <w:tcMar>
              <w:left w:w="57" w:type="dxa"/>
              <w:right w:w="57" w:type="dxa"/>
            </w:tcMar>
            <w:vAlign w:val="center"/>
          </w:tcPr>
          <w:p w14:paraId="6FE97C6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0.5</w:t>
            </w:r>
          </w:p>
        </w:tc>
        <w:tc>
          <w:tcPr>
            <w:tcW w:w="1581" w:type="pct"/>
            <w:vMerge w:val="restart"/>
            <w:tcMar>
              <w:left w:w="57" w:type="dxa"/>
              <w:right w:w="57" w:type="dxa"/>
            </w:tcMar>
            <w:vAlign w:val="center"/>
          </w:tcPr>
          <w:p w14:paraId="7ED5576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在危废贮存点内暂存，委托有资质的单位进行回收处理</w:t>
            </w:r>
          </w:p>
        </w:tc>
      </w:tr>
      <w:tr w14:paraId="32A4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37" w:type="pct"/>
            <w:tcMar>
              <w:left w:w="57" w:type="dxa"/>
              <w:right w:w="57" w:type="dxa"/>
            </w:tcMar>
            <w:vAlign w:val="center"/>
          </w:tcPr>
          <w:p w14:paraId="6413BB8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5</w:t>
            </w:r>
          </w:p>
        </w:tc>
        <w:tc>
          <w:tcPr>
            <w:tcW w:w="680" w:type="pct"/>
            <w:tcMar>
              <w:left w:w="57" w:type="dxa"/>
              <w:right w:w="57" w:type="dxa"/>
            </w:tcMar>
            <w:vAlign w:val="center"/>
          </w:tcPr>
          <w:p w14:paraId="4378998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废机油</w:t>
            </w:r>
          </w:p>
        </w:tc>
        <w:tc>
          <w:tcPr>
            <w:tcW w:w="1115" w:type="pct"/>
            <w:tcMar>
              <w:left w:w="57" w:type="dxa"/>
              <w:right w:w="57" w:type="dxa"/>
            </w:tcMar>
            <w:vAlign w:val="center"/>
          </w:tcPr>
          <w:p w14:paraId="18CEFF8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含油，属于危险废物</w:t>
            </w:r>
          </w:p>
        </w:tc>
        <w:tc>
          <w:tcPr>
            <w:tcW w:w="771" w:type="pct"/>
            <w:tcMar>
              <w:left w:w="57" w:type="dxa"/>
              <w:right w:w="57" w:type="dxa"/>
            </w:tcMar>
            <w:vAlign w:val="center"/>
          </w:tcPr>
          <w:p w14:paraId="27AEA7E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维修过程</w:t>
            </w:r>
          </w:p>
        </w:tc>
        <w:tc>
          <w:tcPr>
            <w:tcW w:w="513" w:type="pct"/>
            <w:tcMar>
              <w:left w:w="57" w:type="dxa"/>
              <w:right w:w="57" w:type="dxa"/>
            </w:tcMar>
            <w:vAlign w:val="center"/>
          </w:tcPr>
          <w:p w14:paraId="532AEBA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r>
              <w:rPr>
                <w:rFonts w:hint="default" w:eastAsia="宋体"/>
                <w:color w:val="auto"/>
                <w:kern w:val="0"/>
                <w:sz w:val="21"/>
                <w:szCs w:val="20"/>
                <w:highlight w:val="none"/>
              </w:rPr>
              <w:t>0.01</w:t>
            </w:r>
          </w:p>
        </w:tc>
        <w:tc>
          <w:tcPr>
            <w:tcW w:w="1581" w:type="pct"/>
            <w:vMerge w:val="continue"/>
            <w:tcMar>
              <w:left w:w="57" w:type="dxa"/>
              <w:right w:w="57" w:type="dxa"/>
            </w:tcMar>
            <w:vAlign w:val="center"/>
          </w:tcPr>
          <w:p w14:paraId="71BE8B9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eastAsia="宋体"/>
                <w:color w:val="auto"/>
                <w:kern w:val="0"/>
                <w:sz w:val="21"/>
                <w:szCs w:val="20"/>
                <w:highlight w:val="none"/>
              </w:rPr>
            </w:pPr>
          </w:p>
        </w:tc>
      </w:tr>
    </w:tbl>
    <w:p w14:paraId="25DBBE52">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固体废物污染途径分析</w:t>
      </w:r>
    </w:p>
    <w:p w14:paraId="3F2B82C6">
      <w:pPr>
        <w:ind w:firstLine="480" w:firstLineChars="200"/>
        <w:rPr>
          <w:color w:val="auto"/>
          <w:highlight w:val="none"/>
        </w:rPr>
      </w:pPr>
      <w:r>
        <w:rPr>
          <w:color w:val="auto"/>
          <w:highlight w:val="none"/>
        </w:rPr>
        <w:t>固体废物环境影响表现为直接影响和间接影响两种情况：一是散发臭气，直接影响环境空气质量，直接传播病菌等影响人体健康，进入水体影响水体水质和景观；二是垃圾</w:t>
      </w:r>
      <w:r>
        <w:rPr>
          <w:rFonts w:hint="eastAsia"/>
          <w:color w:val="auto"/>
          <w:highlight w:val="none"/>
        </w:rPr>
        <w:t>渗滤液</w:t>
      </w:r>
      <w:r>
        <w:rPr>
          <w:color w:val="auto"/>
          <w:highlight w:val="none"/>
        </w:rPr>
        <w:t>下渗影响地下水和地表水；垃圾处理过程中产生的废气和废水造成二次污染等。机场固体废物在堆存、中转运输等过程中，如果没有密闭或采取防渗、防雨措施，会产生臭气和滤液，影响环境空气、水环境</w:t>
      </w:r>
      <w:r>
        <w:rPr>
          <w:rFonts w:hint="eastAsia"/>
          <w:color w:val="auto"/>
          <w:highlight w:val="none"/>
        </w:rPr>
        <w:t>和</w:t>
      </w:r>
      <w:r>
        <w:rPr>
          <w:color w:val="auto"/>
          <w:highlight w:val="none"/>
        </w:rPr>
        <w:t>土壤环境质量。</w:t>
      </w:r>
    </w:p>
    <w:p w14:paraId="1BCA29F7">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固体废物影响分析</w:t>
      </w:r>
    </w:p>
    <w:p w14:paraId="46ECC943">
      <w:pPr>
        <w:ind w:firstLine="480" w:firstLineChars="200"/>
        <w:rPr>
          <w:color w:val="auto"/>
          <w:highlight w:val="none"/>
        </w:rPr>
      </w:pPr>
      <w:r>
        <w:rPr>
          <w:rFonts w:hint="eastAsia"/>
          <w:color w:val="auto"/>
          <w:highlight w:val="none"/>
        </w:rPr>
        <w:t>（1）航空垃圾和</w:t>
      </w:r>
      <w:r>
        <w:rPr>
          <w:color w:val="auto"/>
          <w:highlight w:val="none"/>
        </w:rPr>
        <w:t>生活垃圾等固体废物</w:t>
      </w:r>
    </w:p>
    <w:p w14:paraId="687ABD5B">
      <w:pPr>
        <w:ind w:firstLine="480" w:firstLineChars="200"/>
        <w:rPr>
          <w:color w:val="auto"/>
          <w:highlight w:val="none"/>
        </w:rPr>
      </w:pPr>
      <w:r>
        <w:rPr>
          <w:rFonts w:hint="eastAsia"/>
          <w:color w:val="auto"/>
          <w:highlight w:val="none"/>
        </w:rPr>
        <w:t>航空垃圾和</w:t>
      </w:r>
      <w:r>
        <w:rPr>
          <w:color w:val="auto"/>
          <w:highlight w:val="none"/>
        </w:rPr>
        <w:t>生活垃圾</w:t>
      </w:r>
      <w:r>
        <w:rPr>
          <w:rFonts w:hint="eastAsia"/>
          <w:color w:val="auto"/>
          <w:highlight w:val="none"/>
        </w:rPr>
        <w:t>的</w:t>
      </w:r>
      <w:r>
        <w:rPr>
          <w:color w:val="auto"/>
          <w:highlight w:val="none"/>
        </w:rPr>
        <w:t>环境影响主要表现在：</w:t>
      </w:r>
    </w:p>
    <w:p w14:paraId="4A06A95D">
      <w:pPr>
        <w:ind w:firstLine="480" w:firstLineChars="200"/>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1 \* GB3</w:instrText>
      </w:r>
      <w:r>
        <w:rPr>
          <w:color w:val="auto"/>
          <w:highlight w:val="none"/>
        </w:rPr>
        <w:instrText xml:space="preserve"> </w:instrText>
      </w:r>
      <w:r>
        <w:rPr>
          <w:color w:val="auto"/>
          <w:highlight w:val="none"/>
        </w:rPr>
        <w:fldChar w:fldCharType="separate"/>
      </w:r>
      <w:r>
        <w:rPr>
          <w:rFonts w:hint="eastAsia"/>
          <w:color w:val="auto"/>
          <w:highlight w:val="none"/>
        </w:rPr>
        <w:t>①</w:t>
      </w:r>
      <w:r>
        <w:rPr>
          <w:color w:val="auto"/>
          <w:highlight w:val="none"/>
        </w:rPr>
        <w:fldChar w:fldCharType="end"/>
      </w:r>
      <w:r>
        <w:rPr>
          <w:color w:val="auto"/>
          <w:highlight w:val="none"/>
        </w:rPr>
        <w:t>环境空气：机场航空垃圾和生活垃圾在机场垃圾站进行</w:t>
      </w:r>
      <w:r>
        <w:rPr>
          <w:rFonts w:hint="eastAsia"/>
          <w:color w:val="auto"/>
          <w:highlight w:val="none"/>
        </w:rPr>
        <w:t>分类</w:t>
      </w:r>
      <w:r>
        <w:rPr>
          <w:color w:val="auto"/>
          <w:highlight w:val="none"/>
        </w:rPr>
        <w:t>收集，</w:t>
      </w:r>
      <w:r>
        <w:rPr>
          <w:rFonts w:hint="eastAsia"/>
          <w:color w:val="auto"/>
          <w:highlight w:val="none"/>
          <w:lang w:val="en-US" w:eastAsia="zh-CN"/>
        </w:rPr>
        <w:t>定期</w:t>
      </w:r>
      <w:r>
        <w:rPr>
          <w:color w:val="auto"/>
          <w:highlight w:val="none"/>
        </w:rPr>
        <w:t>由精河县环卫管理部门</w:t>
      </w:r>
      <w:r>
        <w:rPr>
          <w:rFonts w:hint="eastAsia"/>
          <w:color w:val="auto"/>
          <w:highlight w:val="none"/>
        </w:rPr>
        <w:t>统一收集清运至</w:t>
      </w:r>
      <w:r>
        <w:rPr>
          <w:rFonts w:hint="eastAsia"/>
          <w:color w:val="auto"/>
          <w:highlight w:val="none"/>
          <w:lang w:eastAsia="zh-CN"/>
        </w:rPr>
        <w:t>精河县城镇垃圾场</w:t>
      </w:r>
      <w:r>
        <w:rPr>
          <w:rFonts w:hint="eastAsia"/>
          <w:color w:val="auto"/>
          <w:highlight w:val="none"/>
        </w:rPr>
        <w:t>进行</w:t>
      </w:r>
      <w:r>
        <w:rPr>
          <w:rFonts w:hint="eastAsia"/>
          <w:color w:val="auto"/>
          <w:highlight w:val="none"/>
          <w:lang w:val="en-US" w:eastAsia="zh-CN"/>
        </w:rPr>
        <w:t>处置</w:t>
      </w:r>
      <w:r>
        <w:rPr>
          <w:rFonts w:hint="eastAsia"/>
          <w:color w:val="auto"/>
          <w:highlight w:val="none"/>
        </w:rPr>
        <w:t>。</w:t>
      </w:r>
      <w:r>
        <w:rPr>
          <w:color w:val="auto"/>
          <w:highlight w:val="none"/>
        </w:rPr>
        <w:t>由于航空垃圾和生活垃圾中有机物含量相对较高，</w:t>
      </w:r>
      <w:r>
        <w:rPr>
          <w:rFonts w:hint="eastAsia"/>
          <w:color w:val="auto"/>
          <w:highlight w:val="none"/>
        </w:rPr>
        <w:t>垃圾箱内</w:t>
      </w:r>
      <w:r>
        <w:rPr>
          <w:color w:val="auto"/>
          <w:highlight w:val="none"/>
        </w:rPr>
        <w:t>堆放的垃圾中的有机废物发酵而散发臭气，</w:t>
      </w:r>
      <w:r>
        <w:rPr>
          <w:rFonts w:hint="eastAsia"/>
          <w:color w:val="auto"/>
          <w:highlight w:val="none"/>
        </w:rPr>
        <w:t>本项目</w:t>
      </w:r>
      <w:r>
        <w:rPr>
          <w:rFonts w:hint="eastAsia"/>
          <w:color w:val="auto"/>
          <w:highlight w:val="none"/>
          <w:lang w:val="en-US" w:eastAsia="zh-CN"/>
        </w:rPr>
        <w:t>建议</w:t>
      </w:r>
      <w:r>
        <w:rPr>
          <w:rFonts w:hint="eastAsia"/>
          <w:color w:val="auto"/>
          <w:highlight w:val="none"/>
        </w:rPr>
        <w:t>垃圾箱为密封垃圾箱，可有效减少因</w:t>
      </w:r>
      <w:r>
        <w:rPr>
          <w:color w:val="auto"/>
          <w:highlight w:val="none"/>
        </w:rPr>
        <w:t>有机废物发酵</w:t>
      </w:r>
      <w:r>
        <w:rPr>
          <w:rFonts w:hint="eastAsia"/>
          <w:color w:val="auto"/>
          <w:highlight w:val="none"/>
        </w:rPr>
        <w:t>产生的</w:t>
      </w:r>
      <w:r>
        <w:rPr>
          <w:color w:val="auto"/>
          <w:highlight w:val="none"/>
        </w:rPr>
        <w:t>臭气对环境空气的影响。</w:t>
      </w:r>
    </w:p>
    <w:p w14:paraId="6156F9C5">
      <w:pPr>
        <w:ind w:firstLine="480" w:firstLineChars="200"/>
        <w:rPr>
          <w:color w:val="auto"/>
          <w:highlight w:val="none"/>
        </w:rPr>
      </w:pPr>
      <w:r>
        <w:rPr>
          <w:color w:val="auto"/>
          <w:highlight w:val="none"/>
        </w:rPr>
        <w:t>通过机场物业部门加强管理，对航空垃圾及生活垃圾产生量计量统计，及时</w:t>
      </w:r>
      <w:r>
        <w:rPr>
          <w:rFonts w:hint="eastAsia"/>
          <w:color w:val="auto"/>
          <w:highlight w:val="none"/>
        </w:rPr>
        <w:t>联系</w:t>
      </w:r>
      <w:r>
        <w:rPr>
          <w:color w:val="auto"/>
          <w:highlight w:val="none"/>
        </w:rPr>
        <w:t>精河县环卫管理部门</w:t>
      </w:r>
      <w:r>
        <w:rPr>
          <w:rFonts w:hint="eastAsia"/>
          <w:color w:val="auto"/>
          <w:highlight w:val="none"/>
        </w:rPr>
        <w:t>收集清运至</w:t>
      </w:r>
      <w:r>
        <w:rPr>
          <w:rFonts w:hint="eastAsia"/>
          <w:color w:val="auto"/>
          <w:highlight w:val="none"/>
          <w:lang w:eastAsia="zh-CN"/>
        </w:rPr>
        <w:t>精河县城镇垃圾场</w:t>
      </w:r>
      <w:r>
        <w:rPr>
          <w:rFonts w:hint="eastAsia"/>
          <w:color w:val="auto"/>
          <w:highlight w:val="none"/>
        </w:rPr>
        <w:t>进行填埋。</w:t>
      </w:r>
      <w:r>
        <w:rPr>
          <w:color w:val="auto"/>
          <w:highlight w:val="none"/>
        </w:rPr>
        <w:t>在天气较热时，减少垃圾停留时间，同时做好垃圾分拣</w:t>
      </w:r>
      <w:r>
        <w:rPr>
          <w:rFonts w:hint="eastAsia"/>
          <w:color w:val="auto"/>
          <w:highlight w:val="none"/>
        </w:rPr>
        <w:t>时</w:t>
      </w:r>
      <w:r>
        <w:rPr>
          <w:color w:val="auto"/>
          <w:highlight w:val="none"/>
        </w:rPr>
        <w:t>的封闭、清扫及消毒等工作，</w:t>
      </w:r>
      <w:r>
        <w:rPr>
          <w:rFonts w:hint="eastAsia"/>
          <w:color w:val="auto"/>
          <w:highlight w:val="none"/>
        </w:rPr>
        <w:t>可</w:t>
      </w:r>
      <w:r>
        <w:rPr>
          <w:color w:val="auto"/>
          <w:highlight w:val="none"/>
        </w:rPr>
        <w:t>有效减少臭气的产生。</w:t>
      </w:r>
    </w:p>
    <w:p w14:paraId="1B1CAEE1">
      <w:pPr>
        <w:ind w:firstLine="480" w:firstLineChars="200"/>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2 \* GB3</w:instrText>
      </w:r>
      <w:r>
        <w:rPr>
          <w:color w:val="auto"/>
          <w:highlight w:val="none"/>
        </w:rPr>
        <w:instrText xml:space="preserve"> </w:instrText>
      </w:r>
      <w:r>
        <w:rPr>
          <w:color w:val="auto"/>
          <w:highlight w:val="none"/>
        </w:rPr>
        <w:fldChar w:fldCharType="separate"/>
      </w:r>
      <w:r>
        <w:rPr>
          <w:rFonts w:hint="eastAsia"/>
          <w:color w:val="auto"/>
          <w:highlight w:val="none"/>
        </w:rPr>
        <w:t>②</w:t>
      </w:r>
      <w:r>
        <w:rPr>
          <w:color w:val="auto"/>
          <w:highlight w:val="none"/>
        </w:rPr>
        <w:fldChar w:fldCharType="end"/>
      </w:r>
      <w:r>
        <w:rPr>
          <w:color w:val="auto"/>
          <w:highlight w:val="none"/>
        </w:rPr>
        <w:t>水体：航空垃圾</w:t>
      </w:r>
      <w:r>
        <w:rPr>
          <w:rFonts w:hint="eastAsia"/>
          <w:color w:val="auto"/>
          <w:highlight w:val="none"/>
        </w:rPr>
        <w:t>的</w:t>
      </w:r>
      <w:r>
        <w:rPr>
          <w:color w:val="auto"/>
          <w:highlight w:val="none"/>
        </w:rPr>
        <w:t>湿垃圾直接打包</w:t>
      </w:r>
      <w:r>
        <w:rPr>
          <w:rFonts w:hint="eastAsia"/>
          <w:color w:val="auto"/>
          <w:highlight w:val="none"/>
        </w:rPr>
        <w:t>，干垃圾同</w:t>
      </w:r>
      <w:r>
        <w:rPr>
          <w:color w:val="auto"/>
          <w:highlight w:val="none"/>
        </w:rPr>
        <w:t>生活垃圾</w:t>
      </w:r>
      <w:r>
        <w:rPr>
          <w:rFonts w:hint="eastAsia"/>
          <w:color w:val="auto"/>
          <w:highlight w:val="none"/>
        </w:rPr>
        <w:t>一起</w:t>
      </w:r>
      <w:r>
        <w:rPr>
          <w:color w:val="auto"/>
          <w:highlight w:val="none"/>
        </w:rPr>
        <w:t>打包后，</w:t>
      </w:r>
      <w:r>
        <w:rPr>
          <w:rFonts w:hint="eastAsia"/>
          <w:color w:val="auto"/>
          <w:highlight w:val="none"/>
          <w:lang w:val="en-US" w:eastAsia="zh-CN"/>
        </w:rPr>
        <w:t>定期</w:t>
      </w:r>
      <w:r>
        <w:rPr>
          <w:color w:val="auto"/>
          <w:highlight w:val="none"/>
        </w:rPr>
        <w:t>由精河县环卫管理部门</w:t>
      </w:r>
      <w:r>
        <w:rPr>
          <w:rFonts w:hint="eastAsia"/>
          <w:color w:val="auto"/>
          <w:highlight w:val="none"/>
        </w:rPr>
        <w:t>统一收集清运至</w:t>
      </w:r>
      <w:r>
        <w:rPr>
          <w:rFonts w:hint="eastAsia"/>
          <w:color w:val="auto"/>
          <w:highlight w:val="none"/>
          <w:lang w:eastAsia="zh-CN"/>
        </w:rPr>
        <w:t>精河县城镇垃圾场</w:t>
      </w:r>
      <w:r>
        <w:rPr>
          <w:rFonts w:hint="eastAsia"/>
          <w:color w:val="auto"/>
          <w:highlight w:val="none"/>
        </w:rPr>
        <w:t>进行填埋。正常情况下，产生的垃圾渗滤液较少</w:t>
      </w:r>
      <w:r>
        <w:rPr>
          <w:color w:val="auto"/>
          <w:highlight w:val="none"/>
        </w:rPr>
        <w:t>。仅在遇到连续降雨和强降雨等天气条件时，未及时回收至</w:t>
      </w:r>
      <w:r>
        <w:rPr>
          <w:rFonts w:hint="eastAsia"/>
          <w:color w:val="auto"/>
          <w:highlight w:val="none"/>
        </w:rPr>
        <w:t>垃圾</w:t>
      </w:r>
      <w:r>
        <w:rPr>
          <w:rFonts w:hint="eastAsia"/>
          <w:color w:val="auto"/>
          <w:highlight w:val="none"/>
          <w:lang w:val="en-US" w:eastAsia="zh-CN"/>
        </w:rPr>
        <w:t>站</w:t>
      </w:r>
      <w:r>
        <w:rPr>
          <w:rFonts w:hint="eastAsia"/>
          <w:color w:val="auto"/>
          <w:highlight w:val="none"/>
        </w:rPr>
        <w:t>的，位于</w:t>
      </w:r>
      <w:r>
        <w:rPr>
          <w:color w:val="auto"/>
          <w:highlight w:val="none"/>
        </w:rPr>
        <w:t>临时储存区域的垃圾才</w:t>
      </w:r>
      <w:r>
        <w:rPr>
          <w:rFonts w:hint="eastAsia"/>
          <w:color w:val="auto"/>
          <w:highlight w:val="none"/>
        </w:rPr>
        <w:t>可能</w:t>
      </w:r>
      <w:r>
        <w:rPr>
          <w:color w:val="auto"/>
          <w:highlight w:val="none"/>
        </w:rPr>
        <w:t>有淋滤液渗出</w:t>
      </w:r>
      <w:r>
        <w:rPr>
          <w:rFonts w:hint="eastAsia"/>
          <w:color w:val="auto"/>
          <w:highlight w:val="none"/>
        </w:rPr>
        <w:t>，本次评价要求</w:t>
      </w:r>
      <w:r>
        <w:rPr>
          <w:color w:val="auto"/>
          <w:highlight w:val="none"/>
        </w:rPr>
        <w:t>垃圾临时储存区设置挡雨棚及防水堤，严格限定垃圾临时存放地点，按照性质分类妥善处理处置</w:t>
      </w:r>
      <w:r>
        <w:rPr>
          <w:rFonts w:hint="eastAsia"/>
          <w:color w:val="auto"/>
          <w:highlight w:val="none"/>
        </w:rPr>
        <w:t>。</w:t>
      </w:r>
      <w:r>
        <w:rPr>
          <w:color w:val="auto"/>
          <w:highlight w:val="none"/>
        </w:rPr>
        <w:t>采取以上措施后</w:t>
      </w:r>
      <w:r>
        <w:rPr>
          <w:rFonts w:hint="eastAsia"/>
          <w:color w:val="auto"/>
          <w:highlight w:val="none"/>
        </w:rPr>
        <w:t>，本项目</w:t>
      </w:r>
      <w:r>
        <w:rPr>
          <w:color w:val="auto"/>
          <w:highlight w:val="none"/>
        </w:rPr>
        <w:t>生活垃圾对周边水环境产生影响较小。</w:t>
      </w:r>
    </w:p>
    <w:p w14:paraId="71D85D94">
      <w:pPr>
        <w:ind w:firstLine="480" w:firstLineChars="200"/>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3 \* GB3</w:instrText>
      </w:r>
      <w:r>
        <w:rPr>
          <w:color w:val="auto"/>
          <w:highlight w:val="none"/>
        </w:rPr>
        <w:instrText xml:space="preserve"> </w:instrText>
      </w:r>
      <w:r>
        <w:rPr>
          <w:color w:val="auto"/>
          <w:highlight w:val="none"/>
        </w:rPr>
        <w:fldChar w:fldCharType="separate"/>
      </w:r>
      <w:r>
        <w:rPr>
          <w:rFonts w:hint="eastAsia"/>
          <w:color w:val="auto"/>
          <w:highlight w:val="none"/>
        </w:rPr>
        <w:t>③</w:t>
      </w:r>
      <w:r>
        <w:rPr>
          <w:color w:val="auto"/>
          <w:highlight w:val="none"/>
        </w:rPr>
        <w:fldChar w:fldCharType="end"/>
      </w:r>
      <w:r>
        <w:rPr>
          <w:color w:val="auto"/>
          <w:highlight w:val="none"/>
        </w:rPr>
        <w:t>人体健康：固体废物在堆置过程中，可能产生有毒物质和病原体，除能通过生物传播外，还会以水、气为媒介进行传播与扩散，危害人体健康。</w:t>
      </w:r>
    </w:p>
    <w:p w14:paraId="30666B72">
      <w:pPr>
        <w:ind w:firstLine="480" w:firstLineChars="200"/>
        <w:rPr>
          <w:color w:val="auto"/>
          <w:highlight w:val="none"/>
        </w:rPr>
      </w:pPr>
      <w:r>
        <w:rPr>
          <w:color w:val="auto"/>
          <w:highlight w:val="none"/>
        </w:rPr>
        <w:t>（2）危险废物</w:t>
      </w:r>
    </w:p>
    <w:p w14:paraId="3F5A85EC">
      <w:pPr>
        <w:ind w:firstLine="480" w:firstLineChars="200"/>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1 \* GB3</w:instrText>
      </w:r>
      <w:r>
        <w:rPr>
          <w:color w:val="auto"/>
          <w:highlight w:val="none"/>
        </w:rPr>
        <w:instrText xml:space="preserve"> </w:instrText>
      </w:r>
      <w:r>
        <w:rPr>
          <w:color w:val="auto"/>
          <w:highlight w:val="none"/>
        </w:rPr>
        <w:fldChar w:fldCharType="separate"/>
      </w:r>
      <w:r>
        <w:rPr>
          <w:rFonts w:hint="eastAsia"/>
          <w:color w:val="auto"/>
          <w:highlight w:val="none"/>
        </w:rPr>
        <w:t>①</w:t>
      </w:r>
      <w:r>
        <w:rPr>
          <w:color w:val="auto"/>
          <w:highlight w:val="none"/>
        </w:rPr>
        <w:fldChar w:fldCharType="end"/>
      </w:r>
      <w:r>
        <w:rPr>
          <w:color w:val="auto"/>
          <w:kern w:val="24"/>
          <w:highlight w:val="none"/>
        </w:rPr>
        <w:t>危险废物暂存间</w:t>
      </w:r>
      <w:r>
        <w:rPr>
          <w:color w:val="auto"/>
          <w:highlight w:val="none"/>
        </w:rPr>
        <w:t>选址可行性</w:t>
      </w:r>
    </w:p>
    <w:p w14:paraId="6868EAC2">
      <w:pPr>
        <w:ind w:firstLine="480" w:firstLineChars="200"/>
        <w:rPr>
          <w:color w:val="auto"/>
          <w:highlight w:val="none"/>
        </w:rPr>
      </w:pPr>
      <w:r>
        <w:rPr>
          <w:color w:val="auto"/>
          <w:highlight w:val="none"/>
        </w:rPr>
        <w:t>根据《建筑抗震设计规范（2016年版）》（GB50011-2010），本项目所在区域地震烈度属于</w:t>
      </w:r>
      <w:r>
        <w:rPr>
          <w:rFonts w:hint="eastAsia"/>
          <w:color w:val="auto"/>
          <w:highlight w:val="none"/>
        </w:rPr>
        <w:t>Ⅶ</w:t>
      </w:r>
      <w:r>
        <w:rPr>
          <w:color w:val="auto"/>
          <w:highlight w:val="none"/>
        </w:rPr>
        <w:t>、地震</w:t>
      </w:r>
      <w:r>
        <w:rPr>
          <w:rFonts w:hint="eastAsia"/>
          <w:color w:val="auto"/>
          <w:highlight w:val="none"/>
        </w:rPr>
        <w:t>峰值</w:t>
      </w:r>
      <w:r>
        <w:rPr>
          <w:color w:val="auto"/>
          <w:highlight w:val="none"/>
        </w:rPr>
        <w:t>加速度0.2g。根据</w:t>
      </w:r>
      <w:r>
        <w:rPr>
          <w:rFonts w:hint="eastAsia"/>
          <w:color w:val="auto"/>
          <w:highlight w:val="none"/>
        </w:rPr>
        <w:t>项目</w:t>
      </w:r>
      <w:r>
        <w:rPr>
          <w:color w:val="auto"/>
          <w:highlight w:val="none"/>
        </w:rPr>
        <w:t>岩土</w:t>
      </w:r>
      <w:r>
        <w:rPr>
          <w:rFonts w:hint="eastAsia"/>
          <w:color w:val="auto"/>
          <w:highlight w:val="none"/>
          <w:lang w:eastAsia="zh-CN"/>
        </w:rPr>
        <w:t>工程勘察</w:t>
      </w:r>
      <w:r>
        <w:rPr>
          <w:color w:val="auto"/>
          <w:highlight w:val="none"/>
        </w:rPr>
        <w:t>报告，项目勘察范围内未发现影响场地稳定性的地质现象，适宜建筑。由此可见，项目</w:t>
      </w:r>
      <w:r>
        <w:rPr>
          <w:rFonts w:hint="eastAsia"/>
          <w:color w:val="auto"/>
          <w:highlight w:val="none"/>
        </w:rPr>
        <w:t>场址</w:t>
      </w:r>
      <w:r>
        <w:rPr>
          <w:color w:val="auto"/>
          <w:highlight w:val="none"/>
        </w:rPr>
        <w:t>区域地质结构相对稳定。</w:t>
      </w:r>
    </w:p>
    <w:p w14:paraId="63165FD9">
      <w:pPr>
        <w:ind w:firstLine="480" w:firstLineChars="200"/>
        <w:rPr>
          <w:color w:val="auto"/>
          <w:highlight w:val="none"/>
        </w:rPr>
      </w:pPr>
      <w:r>
        <w:rPr>
          <w:color w:val="auto"/>
          <w:highlight w:val="none"/>
        </w:rPr>
        <w:t>根据</w:t>
      </w:r>
      <w:r>
        <w:rPr>
          <w:rFonts w:hint="eastAsia"/>
          <w:color w:val="auto"/>
          <w:highlight w:val="none"/>
        </w:rPr>
        <w:t>项目</w:t>
      </w:r>
      <w:r>
        <w:rPr>
          <w:color w:val="auto"/>
          <w:highlight w:val="none"/>
        </w:rPr>
        <w:t>岩土工程</w:t>
      </w:r>
      <w:r>
        <w:rPr>
          <w:rFonts w:hint="eastAsia"/>
          <w:color w:val="auto"/>
          <w:highlight w:val="none"/>
          <w:lang w:eastAsia="zh-CN"/>
        </w:rPr>
        <w:t>勘察</w:t>
      </w:r>
      <w:r>
        <w:rPr>
          <w:color w:val="auto"/>
          <w:highlight w:val="none"/>
        </w:rPr>
        <w:t>报告，</w:t>
      </w:r>
      <w:r>
        <w:rPr>
          <w:rFonts w:hint="eastAsia"/>
          <w:color w:val="auto"/>
          <w:highlight w:val="none"/>
        </w:rPr>
        <w:t>项目场地地下水位埋深</w:t>
      </w:r>
      <w:r>
        <w:rPr>
          <w:color w:val="auto"/>
          <w:highlight w:val="none"/>
        </w:rPr>
        <w:t>1.15~7.0m，水位绝对标高在259.984～270.902，受附近场区农田灌溉抽取地下水及区域降雨补给影响，地下水位变化幅度较大</w:t>
      </w:r>
      <w:r>
        <w:rPr>
          <w:rFonts w:hint="eastAsia"/>
          <w:color w:val="auto"/>
          <w:highlight w:val="none"/>
        </w:rPr>
        <w:t>。</w:t>
      </w:r>
      <w:r>
        <w:rPr>
          <w:color w:val="auto"/>
          <w:highlight w:val="none"/>
        </w:rPr>
        <w:t>本项目拟设置1</w:t>
      </w:r>
      <w:r>
        <w:rPr>
          <w:rFonts w:hint="eastAsia"/>
          <w:color w:val="auto"/>
          <w:highlight w:val="none"/>
          <w:lang w:val="en-US" w:eastAsia="zh-CN"/>
        </w:rPr>
        <w:t>处危废贮存点</w:t>
      </w:r>
      <w:r>
        <w:rPr>
          <w:color w:val="auto"/>
          <w:highlight w:val="none"/>
        </w:rPr>
        <w:t>，危险废物贮存设施均位于地面之上，能够满足“设施底部必须高于地下水最高水位”的要求。</w:t>
      </w:r>
    </w:p>
    <w:p w14:paraId="0088EDC3">
      <w:pPr>
        <w:ind w:firstLine="480" w:firstLineChars="200"/>
        <w:rPr>
          <w:color w:val="auto"/>
          <w:highlight w:val="none"/>
        </w:rPr>
      </w:pPr>
      <w:r>
        <w:rPr>
          <w:rFonts w:hint="eastAsia"/>
          <w:color w:val="auto"/>
          <w:highlight w:val="none"/>
        </w:rPr>
        <w:t>危废贮存点</w:t>
      </w:r>
      <w:r>
        <w:rPr>
          <w:color w:val="auto"/>
          <w:highlight w:val="none"/>
        </w:rPr>
        <w:t>严格按照《危险废物贮存污染控制标准》（GB18597-2023）的要求进行建设；地面与裙脚要用坚固、防渗的材料建造，建筑材料必须与危险废物相容，用以存放装载液体、半固体危险废物容器的地方，必须有耐腐蚀的硬化地面，且表面无裂隙，同时应关注“四防”，即防风、防雨、防晒、防渗漏，基础必须防渗，防渗层为至少1m厚粘土层（渗透系数≤10</w:t>
      </w:r>
      <w:r>
        <w:rPr>
          <w:color w:val="auto"/>
          <w:highlight w:val="none"/>
          <w:vertAlign w:val="superscript"/>
        </w:rPr>
        <w:t>-7</w:t>
      </w:r>
      <w:r>
        <w:rPr>
          <w:color w:val="auto"/>
          <w:highlight w:val="none"/>
        </w:rPr>
        <w:t>cm/s），或2mm厚高密度聚乙烯，或至少2mm厚的其它人工材料，渗透系数≤10</w:t>
      </w:r>
      <w:r>
        <w:rPr>
          <w:color w:val="auto"/>
          <w:highlight w:val="none"/>
          <w:vertAlign w:val="superscript"/>
        </w:rPr>
        <w:t>-10</w:t>
      </w:r>
      <w:r>
        <w:rPr>
          <w:color w:val="auto"/>
          <w:highlight w:val="none"/>
        </w:rPr>
        <w:t>cm/s。</w:t>
      </w:r>
    </w:p>
    <w:p w14:paraId="47277E01">
      <w:pPr>
        <w:ind w:firstLine="480" w:firstLineChars="200"/>
        <w:rPr>
          <w:color w:val="auto"/>
          <w:highlight w:val="none"/>
        </w:rPr>
      </w:pPr>
      <w:r>
        <w:rPr>
          <w:color w:val="auto"/>
          <w:highlight w:val="none"/>
        </w:rPr>
        <w:t>暂存</w:t>
      </w:r>
      <w:r>
        <w:rPr>
          <w:rFonts w:hint="eastAsia"/>
          <w:color w:val="auto"/>
          <w:highlight w:val="none"/>
        </w:rPr>
        <w:t>间</w:t>
      </w:r>
      <w:r>
        <w:rPr>
          <w:color w:val="auto"/>
          <w:highlight w:val="none"/>
        </w:rPr>
        <w:t>建设时采用混凝土、砖或经防腐处理的钢材等作为建材材料建成相对封闭式场所，并设通风口；外部配套建设雨水导排系统，防止雨水进入</w:t>
      </w:r>
      <w:r>
        <w:rPr>
          <w:rFonts w:hint="eastAsia"/>
          <w:color w:val="auto"/>
          <w:highlight w:val="none"/>
        </w:rPr>
        <w:t>危废贮存点</w:t>
      </w:r>
      <w:r>
        <w:rPr>
          <w:color w:val="auto"/>
          <w:highlight w:val="none"/>
        </w:rPr>
        <w:t>内；不同类别的危险废物应分区贮存</w:t>
      </w:r>
      <w:r>
        <w:rPr>
          <w:rFonts w:hint="eastAsia"/>
          <w:color w:val="auto"/>
          <w:highlight w:val="none"/>
        </w:rPr>
        <w:t>。应按照《危险废物识别标志设置技术规范》（HJ1276-2022）</w:t>
      </w:r>
      <w:r>
        <w:rPr>
          <w:color w:val="auto"/>
          <w:highlight w:val="none"/>
        </w:rPr>
        <w:t>设置危险废物警示标识。</w:t>
      </w:r>
    </w:p>
    <w:p w14:paraId="63B3C103">
      <w:pPr>
        <w:ind w:firstLine="480" w:firstLineChars="200"/>
        <w:rPr>
          <w:color w:val="auto"/>
          <w:highlight w:val="none"/>
        </w:rPr>
      </w:pPr>
      <w:r>
        <w:rPr>
          <w:color w:val="auto"/>
          <w:highlight w:val="none"/>
        </w:rPr>
        <w:t>综上所述，</w:t>
      </w:r>
      <w:r>
        <w:rPr>
          <w:rFonts w:hint="eastAsia"/>
          <w:color w:val="auto"/>
          <w:highlight w:val="none"/>
        </w:rPr>
        <w:t>危废贮存点</w:t>
      </w:r>
      <w:r>
        <w:rPr>
          <w:color w:val="auto"/>
          <w:highlight w:val="none"/>
        </w:rPr>
        <w:t>选址能够满足《危险废物贮存污染控制标准》（GB18597-2023）的相关要求。</w:t>
      </w:r>
    </w:p>
    <w:p w14:paraId="4B84BA53">
      <w:pPr>
        <w:ind w:firstLine="480" w:firstLineChars="200"/>
        <w:rPr>
          <w:color w:val="auto"/>
          <w:highlight w:val="none"/>
        </w:rPr>
      </w:pPr>
      <w:r>
        <w:rPr>
          <w:color w:val="auto"/>
          <w:highlight w:val="none"/>
        </w:rPr>
        <w:t>（2）贮存能力</w:t>
      </w:r>
    </w:p>
    <w:p w14:paraId="1AD2644A">
      <w:pPr>
        <w:ind w:firstLine="480" w:firstLineChars="200"/>
        <w:rPr>
          <w:color w:val="auto"/>
          <w:highlight w:val="none"/>
        </w:rPr>
      </w:pPr>
      <w:r>
        <w:rPr>
          <w:color w:val="auto"/>
          <w:highlight w:val="none"/>
        </w:rPr>
        <w:t>本项目运营期产生的危险废物主要有污油</w:t>
      </w:r>
      <w:r>
        <w:rPr>
          <w:rFonts w:hint="eastAsia"/>
          <w:color w:val="auto"/>
          <w:highlight w:val="none"/>
        </w:rPr>
        <w:t>，</w:t>
      </w:r>
      <w:r>
        <w:rPr>
          <w:color w:val="auto"/>
          <w:highlight w:val="none"/>
        </w:rPr>
        <w:t>年产生污油</w:t>
      </w:r>
      <w:r>
        <w:rPr>
          <w:rFonts w:hint="eastAsia"/>
          <w:color w:val="auto"/>
          <w:highlight w:val="none"/>
        </w:rPr>
        <w:t>约</w:t>
      </w:r>
      <w:r>
        <w:rPr>
          <w:color w:val="auto"/>
          <w:highlight w:val="none"/>
        </w:rPr>
        <w:t>0.5t，</w:t>
      </w:r>
      <w:r>
        <w:rPr>
          <w:rFonts w:hint="eastAsia"/>
          <w:color w:val="auto"/>
          <w:highlight w:val="none"/>
        </w:rPr>
        <w:t>拟</w:t>
      </w:r>
      <w:r>
        <w:rPr>
          <w:color w:val="auto"/>
          <w:highlight w:val="none"/>
        </w:rPr>
        <w:t>新建</w:t>
      </w:r>
      <w:r>
        <w:rPr>
          <w:rFonts w:hint="eastAsia"/>
          <w:color w:val="auto"/>
          <w:highlight w:val="none"/>
        </w:rPr>
        <w:t>的危废贮存点</w:t>
      </w:r>
      <w:r>
        <w:rPr>
          <w:color w:val="auto"/>
          <w:highlight w:val="none"/>
        </w:rPr>
        <w:t>贮存能力约</w:t>
      </w:r>
      <w:r>
        <w:rPr>
          <w:rFonts w:hint="eastAsia"/>
          <w:color w:val="auto"/>
          <w:highlight w:val="none"/>
        </w:rPr>
        <w:t>3</w:t>
      </w:r>
      <w:r>
        <w:rPr>
          <w:color w:val="auto"/>
          <w:highlight w:val="none"/>
        </w:rPr>
        <w:t>t</w:t>
      </w:r>
      <w:r>
        <w:rPr>
          <w:rFonts w:hint="eastAsia"/>
          <w:color w:val="auto"/>
          <w:highlight w:val="none"/>
        </w:rPr>
        <w:t>，危废贮存点</w:t>
      </w:r>
      <w:r>
        <w:rPr>
          <w:color w:val="auto"/>
          <w:highlight w:val="none"/>
        </w:rPr>
        <w:t>能够满足本项目危险废物的贮存要求。</w:t>
      </w:r>
    </w:p>
    <w:p w14:paraId="5087C317">
      <w:pPr>
        <w:ind w:firstLine="480" w:firstLineChars="200"/>
        <w:rPr>
          <w:color w:val="auto"/>
          <w:highlight w:val="none"/>
        </w:rPr>
      </w:pPr>
      <w:r>
        <w:rPr>
          <w:color w:val="auto"/>
          <w:highlight w:val="none"/>
        </w:rPr>
        <w:t>（3）</w:t>
      </w:r>
      <w:r>
        <w:rPr>
          <w:rFonts w:hint="eastAsia"/>
          <w:color w:val="auto"/>
          <w:highlight w:val="none"/>
        </w:rPr>
        <w:t>暂存</w:t>
      </w:r>
      <w:r>
        <w:rPr>
          <w:color w:val="auto"/>
          <w:highlight w:val="none"/>
        </w:rPr>
        <w:t>环境影响分析</w:t>
      </w:r>
    </w:p>
    <w:p w14:paraId="72BA798B">
      <w:pPr>
        <w:ind w:firstLine="480" w:firstLineChars="200"/>
        <w:rPr>
          <w:color w:val="auto"/>
          <w:highlight w:val="none"/>
        </w:rPr>
      </w:pPr>
      <w:r>
        <w:rPr>
          <w:color w:val="auto"/>
          <w:highlight w:val="none"/>
        </w:rPr>
        <w:t>在严格按照《危险废物贮存污染控制标准》（GB18597-2023）的要求进行建设、危险废物贮存和管理，并采取重点防渗区标准进行防渗处置后</w:t>
      </w:r>
      <w:r>
        <w:rPr>
          <w:rFonts w:hint="eastAsia"/>
          <w:color w:val="auto"/>
          <w:highlight w:val="none"/>
        </w:rPr>
        <w:t>，</w:t>
      </w:r>
      <w:r>
        <w:rPr>
          <w:color w:val="auto"/>
          <w:highlight w:val="none"/>
        </w:rPr>
        <w:t>本项目</w:t>
      </w:r>
      <w:r>
        <w:rPr>
          <w:rFonts w:hint="eastAsia"/>
          <w:color w:val="auto"/>
          <w:highlight w:val="none"/>
        </w:rPr>
        <w:t>危废贮存</w:t>
      </w:r>
      <w:r>
        <w:rPr>
          <w:color w:val="auto"/>
          <w:highlight w:val="none"/>
        </w:rPr>
        <w:t>对区域环境的影响较小。</w:t>
      </w:r>
    </w:p>
    <w:p w14:paraId="077D2B71">
      <w:pPr>
        <w:ind w:firstLine="480" w:firstLineChars="200"/>
        <w:rPr>
          <w:color w:val="auto"/>
          <w:highlight w:val="none"/>
        </w:rPr>
      </w:pPr>
      <w:r>
        <w:rPr>
          <w:color w:val="auto"/>
          <w:highlight w:val="none"/>
        </w:rPr>
        <w:t>（4）危险废物运输过程环境影响分析</w:t>
      </w:r>
    </w:p>
    <w:p w14:paraId="099FCC53">
      <w:pPr>
        <w:ind w:firstLine="480" w:firstLineChars="200"/>
        <w:rPr>
          <w:color w:val="auto"/>
          <w:highlight w:val="none"/>
        </w:rPr>
      </w:pPr>
      <w:r>
        <w:rPr>
          <w:color w:val="auto"/>
          <w:highlight w:val="none"/>
        </w:rPr>
        <w:t>按照《危险废物收集、贮存、运输技术规范》（HJ2025-2012），危险废物的收集包括两个方面：一是在危险废物产生节点将危险废物集中到适当的包装容器中或运输车辆上的活动；二是将已包装或装到运输车辆上的危险废物集中到危险废物产生单位内部临时贮存设施的内部转运。</w:t>
      </w:r>
    </w:p>
    <w:p w14:paraId="01D6C029">
      <w:pPr>
        <w:ind w:firstLine="480" w:firstLineChars="200"/>
        <w:rPr>
          <w:color w:val="auto"/>
          <w:highlight w:val="none"/>
        </w:rPr>
      </w:pPr>
      <w:r>
        <w:rPr>
          <w:color w:val="auto"/>
          <w:highlight w:val="none"/>
        </w:rPr>
        <w:t>危险废物的收集应满足如下要求：</w:t>
      </w:r>
    </w:p>
    <w:p w14:paraId="2BFD03D2">
      <w:pPr>
        <w:ind w:firstLine="480" w:firstLineChars="200"/>
        <w:rPr>
          <w:color w:val="auto"/>
          <w:highlight w:val="none"/>
        </w:rPr>
      </w:pPr>
      <w:r>
        <w:rPr>
          <w:rFonts w:hint="eastAsia"/>
          <w:color w:val="auto"/>
          <w:highlight w:val="none"/>
        </w:rPr>
        <w:t>①</w:t>
      </w:r>
      <w:r>
        <w:rPr>
          <w:color w:val="auto"/>
          <w:highlight w:val="none"/>
        </w:rPr>
        <w:t>应根据收集设备、转运车辆及现场人员等实际情况确定相应的作业区域，同时设置作业界限标志和警示牌。</w:t>
      </w:r>
    </w:p>
    <w:p w14:paraId="266FEFF5">
      <w:pPr>
        <w:ind w:firstLine="480" w:firstLineChars="200"/>
        <w:rPr>
          <w:color w:val="auto"/>
          <w:highlight w:val="none"/>
        </w:rPr>
      </w:pPr>
      <w:r>
        <w:rPr>
          <w:rFonts w:hint="eastAsia"/>
          <w:color w:val="auto"/>
          <w:highlight w:val="none"/>
        </w:rPr>
        <w:t>②</w:t>
      </w:r>
      <w:r>
        <w:rPr>
          <w:color w:val="auto"/>
          <w:highlight w:val="none"/>
        </w:rPr>
        <w:t>作业区域内应设置专门的危险废物专用收集通道和人员避险通道。</w:t>
      </w:r>
    </w:p>
    <w:p w14:paraId="1C8042F6">
      <w:pPr>
        <w:ind w:firstLine="480" w:firstLineChars="200"/>
        <w:rPr>
          <w:color w:val="auto"/>
          <w:highlight w:val="none"/>
        </w:rPr>
      </w:pPr>
      <w:r>
        <w:rPr>
          <w:rFonts w:hint="eastAsia"/>
          <w:color w:val="auto"/>
          <w:highlight w:val="none"/>
        </w:rPr>
        <w:t>③</w:t>
      </w:r>
      <w:r>
        <w:rPr>
          <w:color w:val="auto"/>
          <w:highlight w:val="none"/>
        </w:rPr>
        <w:t>危险废物收集应填写记录表，并存档妥善保存。</w:t>
      </w:r>
    </w:p>
    <w:p w14:paraId="2CDA977D">
      <w:pPr>
        <w:ind w:firstLine="480" w:firstLineChars="200"/>
        <w:rPr>
          <w:color w:val="auto"/>
          <w:highlight w:val="none"/>
        </w:rPr>
      </w:pPr>
      <w:r>
        <w:rPr>
          <w:rFonts w:hint="eastAsia"/>
          <w:color w:val="auto"/>
          <w:highlight w:val="none"/>
        </w:rPr>
        <w:t>④</w:t>
      </w:r>
      <w:r>
        <w:rPr>
          <w:color w:val="auto"/>
          <w:highlight w:val="none"/>
        </w:rPr>
        <w:t>收集结束后应清理和恢复收集作业区域，确保作业区域环境整洁安全。</w:t>
      </w:r>
    </w:p>
    <w:p w14:paraId="0DAB4810">
      <w:pPr>
        <w:ind w:firstLine="480" w:firstLineChars="200"/>
        <w:rPr>
          <w:color w:val="auto"/>
          <w:highlight w:val="none"/>
        </w:rPr>
      </w:pPr>
      <w:r>
        <w:rPr>
          <w:color w:val="auto"/>
          <w:highlight w:val="none"/>
        </w:rPr>
        <w:t>危险废物的内部转运应满足如下要求：</w:t>
      </w:r>
    </w:p>
    <w:p w14:paraId="25C68566">
      <w:pPr>
        <w:ind w:firstLine="480" w:firstLineChars="200"/>
        <w:rPr>
          <w:color w:val="auto"/>
          <w:highlight w:val="none"/>
        </w:rPr>
      </w:pPr>
      <w:r>
        <w:rPr>
          <w:rFonts w:hint="eastAsia"/>
          <w:color w:val="auto"/>
          <w:highlight w:val="none"/>
        </w:rPr>
        <w:t>①</w:t>
      </w:r>
      <w:r>
        <w:rPr>
          <w:color w:val="auto"/>
          <w:highlight w:val="none"/>
        </w:rPr>
        <w:t>危险废物的内部转运应综合考虑厂区的实际情况确定转运路线，尽量避开生活区和办公区。</w:t>
      </w:r>
      <w:r>
        <w:rPr>
          <w:rFonts w:hint="eastAsia"/>
          <w:color w:val="auto"/>
          <w:highlight w:val="none"/>
        </w:rPr>
        <w:t>②</w:t>
      </w:r>
      <w:r>
        <w:rPr>
          <w:color w:val="auto"/>
          <w:highlight w:val="none"/>
        </w:rPr>
        <w:t>危险废物内部转运应采用专用的工具，危险废物内部转运应填写《危险废物厂内转运记录表》。</w:t>
      </w:r>
      <w:r>
        <w:rPr>
          <w:rFonts w:hint="eastAsia"/>
          <w:color w:val="auto"/>
          <w:highlight w:val="none"/>
        </w:rPr>
        <w:t>③</w:t>
      </w:r>
      <w:r>
        <w:rPr>
          <w:color w:val="auto"/>
          <w:highlight w:val="none"/>
        </w:rPr>
        <w:t>危险废物内部转运结束后，应对转运路线进行检查和清理，确保无危险废物遗失在转运路线上，并对转运工具进行清理。</w:t>
      </w:r>
    </w:p>
    <w:p w14:paraId="2BD5DE5D">
      <w:pPr>
        <w:ind w:firstLine="480" w:firstLineChars="200"/>
        <w:rPr>
          <w:color w:val="auto"/>
          <w:highlight w:val="none"/>
        </w:rPr>
      </w:pPr>
      <w:r>
        <w:rPr>
          <w:color w:val="auto"/>
          <w:highlight w:val="none"/>
        </w:rPr>
        <w:t>本项目危险废物的运输主要为产生环节至</w:t>
      </w:r>
      <w:r>
        <w:rPr>
          <w:rFonts w:hint="eastAsia"/>
          <w:color w:val="auto"/>
          <w:highlight w:val="none"/>
        </w:rPr>
        <w:t>危废贮存点</w:t>
      </w:r>
      <w:r>
        <w:rPr>
          <w:color w:val="auto"/>
          <w:highlight w:val="none"/>
        </w:rPr>
        <w:t>。根据本项目产生的不同形式的危险废物特征，采取不同的收集措施，</w:t>
      </w:r>
      <w:r>
        <w:rPr>
          <w:rFonts w:hint="eastAsia"/>
          <w:color w:val="auto"/>
          <w:highlight w:val="none"/>
        </w:rPr>
        <w:t>大大减少了</w:t>
      </w:r>
      <w:r>
        <w:rPr>
          <w:color w:val="auto"/>
          <w:highlight w:val="none"/>
        </w:rPr>
        <w:t>场内运输</w:t>
      </w:r>
      <w:r>
        <w:rPr>
          <w:rFonts w:hint="eastAsia"/>
          <w:color w:val="auto"/>
          <w:highlight w:val="none"/>
        </w:rPr>
        <w:t>距离</w:t>
      </w:r>
      <w:r>
        <w:rPr>
          <w:color w:val="auto"/>
          <w:highlight w:val="none"/>
        </w:rPr>
        <w:t>，</w:t>
      </w:r>
      <w:r>
        <w:rPr>
          <w:rFonts w:hint="eastAsia"/>
          <w:color w:val="auto"/>
          <w:highlight w:val="none"/>
        </w:rPr>
        <w:t>降低因运输带来的环境风险，</w:t>
      </w:r>
      <w:r>
        <w:rPr>
          <w:color w:val="auto"/>
          <w:highlight w:val="none"/>
        </w:rPr>
        <w:t>因此，在加强管理，严格落实以上收集、运输规定要求，确保危险废物得到有效处置的情况下，本项目产生的危险废物场内运输对周围环境的影响较小。</w:t>
      </w:r>
    </w:p>
    <w:p w14:paraId="76CFEB21">
      <w:pPr>
        <w:ind w:firstLine="480" w:firstLineChars="200"/>
        <w:rPr>
          <w:color w:val="auto"/>
          <w:highlight w:val="none"/>
        </w:rPr>
      </w:pPr>
      <w:r>
        <w:rPr>
          <w:color w:val="auto"/>
          <w:highlight w:val="none"/>
        </w:rPr>
        <w:t>（5）委托利用或处置的环境影响分析</w:t>
      </w:r>
    </w:p>
    <w:p w14:paraId="77107FE3">
      <w:pPr>
        <w:ind w:firstLine="480" w:firstLineChars="200"/>
        <w:rPr>
          <w:color w:val="auto"/>
          <w:highlight w:val="none"/>
        </w:rPr>
      </w:pPr>
      <w:r>
        <w:rPr>
          <w:rFonts w:hint="eastAsia"/>
          <w:color w:val="auto"/>
          <w:highlight w:val="none"/>
        </w:rPr>
        <w:t>本项目环境影响评价阶段暂未确定危险废物处置单位，根据《建设项目危险废物环境影响评价指南》（环境保护部公告2017年第43号）中的相关要求，评价建议建设单位就近委托有资质单位作为本项目危险废物的处置单位。</w:t>
      </w:r>
    </w:p>
    <w:p w14:paraId="3A4CDBFC">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小结</w:t>
      </w:r>
    </w:p>
    <w:p w14:paraId="749D524E">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color w:val="auto"/>
          <w:highlight w:val="none"/>
        </w:rPr>
        <w:t>本项目施工期和运营期产生的各种固体废物均能得到妥善处理，航空垃圾、生活垃圾经分拣后，不可回收</w:t>
      </w:r>
      <w:r>
        <w:rPr>
          <w:rFonts w:hint="eastAsia"/>
          <w:color w:val="auto"/>
          <w:highlight w:val="none"/>
          <w:lang w:val="en-US" w:eastAsia="zh-CN"/>
        </w:rPr>
        <w:t>利用的</w:t>
      </w:r>
      <w:r>
        <w:rPr>
          <w:color w:val="auto"/>
          <w:highlight w:val="none"/>
        </w:rPr>
        <w:t>固体废物送往</w:t>
      </w:r>
      <w:r>
        <w:rPr>
          <w:rFonts w:hint="eastAsia"/>
          <w:color w:val="auto"/>
          <w:highlight w:val="none"/>
          <w:lang w:eastAsia="zh-CN"/>
        </w:rPr>
        <w:t>精河县城镇垃圾场</w:t>
      </w:r>
      <w:r>
        <w:rPr>
          <w:color w:val="auto"/>
          <w:highlight w:val="none"/>
        </w:rPr>
        <w:t>填埋处理；废污油及油泥</w:t>
      </w:r>
      <w:r>
        <w:rPr>
          <w:rFonts w:hint="eastAsia"/>
          <w:color w:val="auto"/>
          <w:highlight w:val="none"/>
        </w:rPr>
        <w:t>和废机油</w:t>
      </w:r>
      <w:r>
        <w:rPr>
          <w:color w:val="auto"/>
          <w:highlight w:val="none"/>
        </w:rPr>
        <w:t>属于危险废物，在</w:t>
      </w:r>
      <w:r>
        <w:rPr>
          <w:rFonts w:hint="eastAsia"/>
          <w:color w:val="auto"/>
          <w:highlight w:val="none"/>
        </w:rPr>
        <w:t>危废贮存点</w:t>
      </w:r>
      <w:r>
        <w:rPr>
          <w:color w:val="auto"/>
          <w:highlight w:val="none"/>
        </w:rPr>
        <w:t>暂存，定期委托</w:t>
      </w:r>
      <w:r>
        <w:rPr>
          <w:rFonts w:hint="eastAsia"/>
          <w:color w:val="auto"/>
          <w:kern w:val="0"/>
          <w:highlight w:val="none"/>
        </w:rPr>
        <w:t>有</w:t>
      </w:r>
      <w:r>
        <w:rPr>
          <w:color w:val="auto"/>
          <w:highlight w:val="none"/>
        </w:rPr>
        <w:t>资质的单位</w:t>
      </w:r>
      <w:r>
        <w:rPr>
          <w:rFonts w:hint="eastAsia"/>
          <w:color w:val="auto"/>
          <w:kern w:val="0"/>
          <w:highlight w:val="none"/>
        </w:rPr>
        <w:t>进行</w:t>
      </w:r>
      <w:r>
        <w:rPr>
          <w:color w:val="auto"/>
          <w:highlight w:val="none"/>
        </w:rPr>
        <w:t>回收处理。本项目各类固体废物经上述处理处置后，正常情况下不会对机场周围环境产生不利影响</w:t>
      </w:r>
      <w:r>
        <w:rPr>
          <w:rFonts w:ascii="Times New Roman" w:hAnsi="Times New Roman" w:eastAsia="宋体" w:cs="Times New Roman"/>
          <w:color w:val="auto"/>
          <w:szCs w:val="21"/>
          <w:highlight w:val="none"/>
        </w:rPr>
        <w:t>。</w:t>
      </w:r>
    </w:p>
    <w:p w14:paraId="724F7968">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83" w:name="_Toc27468"/>
      <w:bookmarkStart w:id="284" w:name="_Toc135735456"/>
      <w:r>
        <w:rPr>
          <w:rFonts w:hint="eastAsia" w:ascii="Times New Roman" w:hAnsi="Times New Roman" w:eastAsia="黑体" w:cs="Times New Roman"/>
          <w:bCs/>
          <w:color w:val="auto"/>
          <w:spacing w:val="0"/>
          <w:w w:val="100"/>
          <w:kern w:val="28"/>
          <w:sz w:val="30"/>
          <w:szCs w:val="30"/>
          <w:highlight w:val="none"/>
          <w:lang w:val="en-US" w:eastAsia="zh-CN" w:bidi="ar-SA"/>
        </w:rPr>
        <w:t>土壤环境影响预测与评价</w:t>
      </w:r>
      <w:bookmarkEnd w:id="283"/>
    </w:p>
    <w:bookmarkEnd w:id="284"/>
    <w:p w14:paraId="68805AD8">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土壤环境影响类型与影响途径识别</w:t>
      </w:r>
    </w:p>
    <w:p w14:paraId="5545A290">
      <w:pPr>
        <w:ind w:firstLine="480" w:firstLineChars="200"/>
        <w:rPr>
          <w:color w:val="auto"/>
          <w:highlight w:val="none"/>
        </w:rPr>
      </w:pPr>
      <w:r>
        <w:rPr>
          <w:color w:val="auto"/>
          <w:highlight w:val="none"/>
        </w:rPr>
        <w:t>根据《环境影响评价技术导则</w:t>
      </w:r>
      <w:r>
        <w:rPr>
          <w:rFonts w:hint="eastAsia"/>
          <w:color w:val="auto"/>
          <w:highlight w:val="none"/>
          <w:lang w:val="en-US" w:eastAsia="zh-CN"/>
        </w:rPr>
        <w:t xml:space="preserve"> </w:t>
      </w:r>
      <w:r>
        <w:rPr>
          <w:color w:val="auto"/>
          <w:highlight w:val="none"/>
        </w:rPr>
        <w:t>土壤环境（试行）》（</w:t>
      </w:r>
      <w:r>
        <w:rPr>
          <w:rFonts w:eastAsia="Times New Roman"/>
          <w:color w:val="auto"/>
          <w:highlight w:val="none"/>
        </w:rPr>
        <w:t>HJ964-2018</w:t>
      </w:r>
      <w:r>
        <w:rPr>
          <w:color w:val="auto"/>
          <w:highlight w:val="none"/>
        </w:rPr>
        <w:t>），本项目土壤环境影响评价等级为二级。</w:t>
      </w:r>
    </w:p>
    <w:p w14:paraId="6CB1FC45">
      <w:pPr>
        <w:pStyle w:val="133"/>
        <w:rPr>
          <w:color w:val="auto"/>
          <w:highlight w:val="none"/>
        </w:rPr>
      </w:pPr>
      <w:r>
        <w:rPr>
          <w:color w:val="auto"/>
          <w:kern w:val="0"/>
          <w:highlight w:val="none"/>
          <w:lang w:val="zh-CN" w:bidi="zh-CN"/>
        </w:rPr>
        <w:t>机场新建</w:t>
      </w:r>
      <w:r>
        <w:rPr>
          <w:rFonts w:hint="eastAsia" w:ascii="Times New Roman"/>
          <w:color w:val="auto"/>
          <w:kern w:val="0"/>
          <w:highlight w:val="none"/>
          <w:lang w:val="en-US" w:bidi="zh-CN"/>
        </w:rPr>
        <w:t>1座油车棚，内设2辆罐式加油车，容量共计35m</w:t>
      </w:r>
      <w:r>
        <w:rPr>
          <w:rFonts w:hint="eastAsia" w:ascii="Times New Roman"/>
          <w:color w:val="auto"/>
          <w:kern w:val="0"/>
          <w:highlight w:val="none"/>
          <w:vertAlign w:val="superscript"/>
          <w:lang w:val="en-US" w:bidi="zh-CN"/>
        </w:rPr>
        <w:t>3</w:t>
      </w:r>
      <w:r>
        <w:rPr>
          <w:color w:val="auto"/>
          <w:highlight w:val="none"/>
        </w:rPr>
        <w:t>（备注：航空煤油的临界量为</w:t>
      </w:r>
      <w:r>
        <w:rPr>
          <w:rFonts w:eastAsia="Times New Roman"/>
          <w:color w:val="auto"/>
          <w:highlight w:val="none"/>
        </w:rPr>
        <w:t>2500t</w:t>
      </w:r>
      <w:r>
        <w:rPr>
          <w:color w:val="auto"/>
          <w:highlight w:val="none"/>
        </w:rPr>
        <w:t>）。</w:t>
      </w:r>
    </w:p>
    <w:p w14:paraId="6ADB2EC4">
      <w:pPr>
        <w:pStyle w:val="729"/>
        <w:rPr>
          <w:color w:val="auto"/>
          <w:highlight w:val="none"/>
        </w:rPr>
      </w:pPr>
      <w:r>
        <w:rPr>
          <w:color w:val="auto"/>
          <w:highlight w:val="none"/>
        </w:rPr>
        <w:t>根据本项目污染物特征，本项目土壤影响类型</w:t>
      </w:r>
      <w:r>
        <w:rPr>
          <w:rFonts w:hint="eastAsia"/>
          <w:color w:val="auto"/>
          <w:highlight w:val="none"/>
          <w:lang w:eastAsia="zh-CN"/>
        </w:rPr>
        <w:t>与</w:t>
      </w:r>
      <w:r>
        <w:rPr>
          <w:color w:val="auto"/>
          <w:highlight w:val="none"/>
        </w:rPr>
        <w:t>途径见表5-7-1。</w:t>
      </w:r>
    </w:p>
    <w:p w14:paraId="26A35E85">
      <w:pPr>
        <w:pStyle w:val="1007"/>
        <w:spacing w:beforeLines="0" w:afterLines="0"/>
        <w:rPr>
          <w:rFonts w:ascii="Times New Roman"/>
          <w:color w:val="auto"/>
          <w:szCs w:val="24"/>
          <w:highlight w:val="none"/>
          <w:lang w:val="zh-CN"/>
        </w:rPr>
      </w:pPr>
      <w:r>
        <w:rPr>
          <w:rFonts w:ascii="Times New Roman"/>
          <w:color w:val="auto"/>
          <w:szCs w:val="24"/>
          <w:highlight w:val="none"/>
          <w:lang w:val="zh-CN"/>
        </w:rPr>
        <w:t>表5-7-1 建设项目土壤环境影响类型与影响途</w:t>
      </w:r>
      <w:r>
        <w:rPr>
          <w:rFonts w:hint="eastAsia" w:ascii="Times New Roman"/>
          <w:color w:val="auto"/>
          <w:szCs w:val="24"/>
          <w:highlight w:val="none"/>
          <w:lang w:val="zh-CN"/>
        </w:rPr>
        <w:t>径</w:t>
      </w:r>
      <w:r>
        <w:rPr>
          <w:rFonts w:ascii="Times New Roman"/>
          <w:color w:val="auto"/>
          <w:szCs w:val="24"/>
          <w:highlight w:val="none"/>
          <w:lang w:val="zh-CN"/>
        </w:rPr>
        <w:t>表</w:t>
      </w:r>
    </w:p>
    <w:tbl>
      <w:tblPr>
        <w:tblStyle w:val="8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1"/>
        <w:gridCol w:w="1744"/>
        <w:gridCol w:w="1744"/>
        <w:gridCol w:w="1744"/>
        <w:gridCol w:w="1746"/>
      </w:tblGrid>
      <w:tr w14:paraId="66CF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8" w:type="pct"/>
            <w:vMerge w:val="restart"/>
            <w:vAlign w:val="center"/>
          </w:tcPr>
          <w:p w14:paraId="28CF7BD3">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r>
              <w:rPr>
                <w:rFonts w:hint="default" w:ascii="Times New Roman" w:hAnsi="Times New Roman" w:eastAsia="宋体" w:cs="Times New Roman"/>
                <w:color w:val="auto"/>
                <w:sz w:val="21"/>
                <w:szCs w:val="21"/>
                <w:highlight w:val="none"/>
                <w:vertAlign w:val="baseline"/>
                <w:lang w:val="zh-CN"/>
              </w:rPr>
              <w:t>不同时段</w:t>
            </w:r>
          </w:p>
        </w:tc>
        <w:tc>
          <w:tcPr>
            <w:tcW w:w="4001" w:type="pct"/>
            <w:gridSpan w:val="4"/>
            <w:vAlign w:val="center"/>
          </w:tcPr>
          <w:p w14:paraId="3787AD32">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r>
              <w:rPr>
                <w:rFonts w:hint="default" w:ascii="Times New Roman" w:hAnsi="Times New Roman" w:eastAsia="宋体" w:cs="Times New Roman"/>
                <w:color w:val="auto"/>
                <w:sz w:val="21"/>
                <w:szCs w:val="21"/>
                <w:highlight w:val="none"/>
                <w:vertAlign w:val="baseline"/>
                <w:lang w:val="zh-CN"/>
              </w:rPr>
              <w:t>污染影响型</w:t>
            </w:r>
          </w:p>
        </w:tc>
      </w:tr>
      <w:tr w14:paraId="3483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8" w:type="pct"/>
            <w:vMerge w:val="continue"/>
            <w:vAlign w:val="center"/>
          </w:tcPr>
          <w:p w14:paraId="2ABA7A62">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p>
        </w:tc>
        <w:tc>
          <w:tcPr>
            <w:tcW w:w="1000" w:type="pct"/>
            <w:vAlign w:val="center"/>
          </w:tcPr>
          <w:p w14:paraId="53BBD3BD">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r>
              <w:rPr>
                <w:rFonts w:hint="default" w:ascii="Times New Roman" w:hAnsi="Times New Roman" w:eastAsia="宋体" w:cs="Times New Roman"/>
                <w:color w:val="auto"/>
                <w:sz w:val="21"/>
                <w:szCs w:val="21"/>
                <w:highlight w:val="none"/>
                <w:vertAlign w:val="baseline"/>
                <w:lang w:val="zh-CN"/>
              </w:rPr>
              <w:t>大气沉降</w:t>
            </w:r>
          </w:p>
        </w:tc>
        <w:tc>
          <w:tcPr>
            <w:tcW w:w="1000" w:type="pct"/>
            <w:vAlign w:val="center"/>
          </w:tcPr>
          <w:p w14:paraId="09F47C2A">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r>
              <w:rPr>
                <w:rFonts w:hint="default" w:ascii="Times New Roman" w:hAnsi="Times New Roman" w:eastAsia="宋体" w:cs="Times New Roman"/>
                <w:color w:val="auto"/>
                <w:sz w:val="21"/>
                <w:szCs w:val="21"/>
                <w:highlight w:val="none"/>
                <w:vertAlign w:val="baseline"/>
                <w:lang w:val="zh-CN"/>
              </w:rPr>
              <w:t>地面漫流</w:t>
            </w:r>
          </w:p>
        </w:tc>
        <w:tc>
          <w:tcPr>
            <w:tcW w:w="1000" w:type="pct"/>
            <w:vAlign w:val="center"/>
          </w:tcPr>
          <w:p w14:paraId="00A6659D">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r>
              <w:rPr>
                <w:rFonts w:hint="default" w:ascii="Times New Roman" w:hAnsi="Times New Roman" w:eastAsia="宋体" w:cs="Times New Roman"/>
                <w:color w:val="auto"/>
                <w:sz w:val="21"/>
                <w:szCs w:val="21"/>
                <w:highlight w:val="none"/>
                <w:vertAlign w:val="baseline"/>
                <w:lang w:val="zh-CN"/>
              </w:rPr>
              <w:t>垂直入渗</w:t>
            </w:r>
          </w:p>
        </w:tc>
        <w:tc>
          <w:tcPr>
            <w:tcW w:w="1000" w:type="pct"/>
            <w:vAlign w:val="center"/>
          </w:tcPr>
          <w:p w14:paraId="0C2BBDCB">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r>
              <w:rPr>
                <w:rFonts w:hint="default" w:ascii="Times New Roman" w:hAnsi="Times New Roman" w:eastAsia="宋体" w:cs="Times New Roman"/>
                <w:color w:val="auto"/>
                <w:sz w:val="21"/>
                <w:szCs w:val="21"/>
                <w:highlight w:val="none"/>
                <w:vertAlign w:val="baseline"/>
                <w:lang w:val="zh-CN"/>
              </w:rPr>
              <w:t>其他</w:t>
            </w:r>
          </w:p>
        </w:tc>
      </w:tr>
      <w:tr w14:paraId="55DA9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8" w:type="pct"/>
            <w:vAlign w:val="center"/>
          </w:tcPr>
          <w:p w14:paraId="63E9204A">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施工期</w:t>
            </w:r>
          </w:p>
        </w:tc>
        <w:tc>
          <w:tcPr>
            <w:tcW w:w="1000" w:type="pct"/>
            <w:vAlign w:val="center"/>
          </w:tcPr>
          <w:p w14:paraId="419CAD91">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p>
        </w:tc>
        <w:tc>
          <w:tcPr>
            <w:tcW w:w="1000" w:type="pct"/>
            <w:vAlign w:val="center"/>
          </w:tcPr>
          <w:p w14:paraId="12CB53B6">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p>
        </w:tc>
        <w:tc>
          <w:tcPr>
            <w:tcW w:w="1000" w:type="pct"/>
            <w:vAlign w:val="center"/>
          </w:tcPr>
          <w:p w14:paraId="4EAB8F95">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p>
        </w:tc>
        <w:tc>
          <w:tcPr>
            <w:tcW w:w="1000" w:type="pct"/>
            <w:vAlign w:val="center"/>
          </w:tcPr>
          <w:p w14:paraId="25CF5A97">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r>
              <w:rPr>
                <w:rFonts w:hint="default" w:ascii="Times New Roman" w:hAnsi="Times New Roman" w:eastAsia="宋体" w:cs="Times New Roman"/>
                <w:color w:val="auto"/>
                <w:sz w:val="21"/>
                <w:szCs w:val="21"/>
                <w:highlight w:val="none"/>
                <w:vertAlign w:val="baseline"/>
                <w:lang w:val="zh-CN"/>
              </w:rPr>
              <w:t>√</w:t>
            </w:r>
          </w:p>
        </w:tc>
      </w:tr>
      <w:tr w14:paraId="2B8C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8" w:type="pct"/>
            <w:vAlign w:val="center"/>
          </w:tcPr>
          <w:p w14:paraId="13DCBF50">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运营期</w:t>
            </w:r>
          </w:p>
        </w:tc>
        <w:tc>
          <w:tcPr>
            <w:tcW w:w="1000" w:type="pct"/>
            <w:vAlign w:val="center"/>
          </w:tcPr>
          <w:p w14:paraId="34E706CB">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p>
        </w:tc>
        <w:tc>
          <w:tcPr>
            <w:tcW w:w="1000" w:type="pct"/>
            <w:vAlign w:val="center"/>
          </w:tcPr>
          <w:p w14:paraId="71EA3EB7">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p>
        </w:tc>
        <w:tc>
          <w:tcPr>
            <w:tcW w:w="1000" w:type="pct"/>
            <w:vAlign w:val="center"/>
          </w:tcPr>
          <w:p w14:paraId="25641FC2">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r>
              <w:rPr>
                <w:rFonts w:hint="default" w:ascii="Times New Roman" w:hAnsi="Times New Roman" w:eastAsia="宋体" w:cs="Times New Roman"/>
                <w:color w:val="auto"/>
                <w:sz w:val="21"/>
                <w:szCs w:val="21"/>
                <w:highlight w:val="none"/>
                <w:vertAlign w:val="baseline"/>
                <w:lang w:val="zh-CN"/>
              </w:rPr>
              <w:t>√</w:t>
            </w:r>
          </w:p>
        </w:tc>
        <w:tc>
          <w:tcPr>
            <w:tcW w:w="1000" w:type="pct"/>
            <w:vAlign w:val="center"/>
          </w:tcPr>
          <w:p w14:paraId="6E6BAFA9">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p>
        </w:tc>
      </w:tr>
      <w:tr w14:paraId="52F7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8" w:type="pct"/>
            <w:vAlign w:val="center"/>
          </w:tcPr>
          <w:p w14:paraId="4E5B5853">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服务期满后</w:t>
            </w:r>
          </w:p>
        </w:tc>
        <w:tc>
          <w:tcPr>
            <w:tcW w:w="1000" w:type="pct"/>
            <w:vAlign w:val="center"/>
          </w:tcPr>
          <w:p w14:paraId="3F55F700">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p>
        </w:tc>
        <w:tc>
          <w:tcPr>
            <w:tcW w:w="1000" w:type="pct"/>
            <w:vAlign w:val="center"/>
          </w:tcPr>
          <w:p w14:paraId="789928CD">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p>
        </w:tc>
        <w:tc>
          <w:tcPr>
            <w:tcW w:w="1000" w:type="pct"/>
            <w:vAlign w:val="center"/>
          </w:tcPr>
          <w:p w14:paraId="7002D1E6">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p>
        </w:tc>
        <w:tc>
          <w:tcPr>
            <w:tcW w:w="1000" w:type="pct"/>
            <w:vAlign w:val="center"/>
          </w:tcPr>
          <w:p w14:paraId="7B728210">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p>
        </w:tc>
      </w:tr>
    </w:tbl>
    <w:p w14:paraId="6657C69A">
      <w:pPr>
        <w:pStyle w:val="1007"/>
        <w:spacing w:beforeLines="0" w:afterLines="0"/>
        <w:rPr>
          <w:rFonts w:ascii="Times New Roman"/>
          <w:color w:val="auto"/>
          <w:szCs w:val="24"/>
          <w:highlight w:val="none"/>
          <w:lang w:val="zh-CN"/>
        </w:rPr>
      </w:pPr>
    </w:p>
    <w:p w14:paraId="469AA8C9">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土壤环境影响源及影响因子识别</w:t>
      </w:r>
    </w:p>
    <w:p w14:paraId="511C8EBE">
      <w:pPr>
        <w:pStyle w:val="1007"/>
        <w:spacing w:before="120" w:after="120"/>
        <w:rPr>
          <w:rFonts w:ascii="Times New Roman"/>
          <w:color w:val="auto"/>
          <w:szCs w:val="24"/>
          <w:highlight w:val="none"/>
          <w:lang w:val="zh-CN"/>
        </w:rPr>
      </w:pPr>
      <w:r>
        <w:rPr>
          <w:rFonts w:ascii="Times New Roman"/>
          <w:color w:val="auto"/>
          <w:szCs w:val="24"/>
          <w:highlight w:val="none"/>
          <w:lang w:val="zh-CN"/>
        </w:rPr>
        <w:t>表5-7-2 污染影响型建设项目土壤环境影响源及影响因子识别表</w:t>
      </w:r>
    </w:p>
    <w:tbl>
      <w:tblPr>
        <w:tblStyle w:val="8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1453"/>
        <w:gridCol w:w="1453"/>
        <w:gridCol w:w="1453"/>
        <w:gridCol w:w="1454"/>
        <w:gridCol w:w="1454"/>
      </w:tblGrid>
      <w:tr w14:paraId="1593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1" w:type="pct"/>
            <w:vAlign w:val="center"/>
          </w:tcPr>
          <w:p w14:paraId="4C18AA52">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污染源</w:t>
            </w:r>
          </w:p>
        </w:tc>
        <w:tc>
          <w:tcPr>
            <w:tcW w:w="833" w:type="pct"/>
            <w:vAlign w:val="center"/>
          </w:tcPr>
          <w:p w14:paraId="6ED08315">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r>
              <w:rPr>
                <w:rFonts w:hint="eastAsia" w:ascii="Times New Roman" w:hAnsi="Times New Roman" w:eastAsia="宋体" w:cs="Times New Roman"/>
                <w:color w:val="auto"/>
                <w:sz w:val="21"/>
                <w:szCs w:val="21"/>
                <w:highlight w:val="none"/>
                <w:vertAlign w:val="baseline"/>
                <w:lang w:val="en-US" w:eastAsia="zh-CN"/>
              </w:rPr>
              <w:t>工艺流程</w:t>
            </w:r>
          </w:p>
        </w:tc>
        <w:tc>
          <w:tcPr>
            <w:tcW w:w="833" w:type="pct"/>
            <w:vAlign w:val="center"/>
          </w:tcPr>
          <w:p w14:paraId="61D641A7">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r>
              <w:rPr>
                <w:rFonts w:hint="eastAsia" w:ascii="Times New Roman" w:hAnsi="Times New Roman" w:eastAsia="宋体" w:cs="Times New Roman"/>
                <w:color w:val="auto"/>
                <w:sz w:val="21"/>
                <w:szCs w:val="21"/>
                <w:highlight w:val="none"/>
                <w:vertAlign w:val="baseline"/>
                <w:lang w:val="en-US" w:eastAsia="zh-CN"/>
              </w:rPr>
              <w:t>污染途径</w:t>
            </w:r>
          </w:p>
        </w:tc>
        <w:tc>
          <w:tcPr>
            <w:tcW w:w="833" w:type="pct"/>
            <w:vAlign w:val="center"/>
          </w:tcPr>
          <w:p w14:paraId="068B4B7C">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r>
              <w:rPr>
                <w:rFonts w:hint="eastAsia" w:ascii="Times New Roman" w:hAnsi="Times New Roman" w:eastAsia="宋体" w:cs="Times New Roman"/>
                <w:color w:val="auto"/>
                <w:sz w:val="21"/>
                <w:szCs w:val="21"/>
                <w:highlight w:val="none"/>
                <w:vertAlign w:val="baseline"/>
                <w:lang w:val="en-US" w:eastAsia="zh-CN"/>
              </w:rPr>
              <w:t>全部污染物指标</w:t>
            </w:r>
          </w:p>
        </w:tc>
        <w:tc>
          <w:tcPr>
            <w:tcW w:w="834" w:type="pct"/>
            <w:vAlign w:val="center"/>
          </w:tcPr>
          <w:p w14:paraId="68A35176">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r>
              <w:rPr>
                <w:rFonts w:hint="eastAsia" w:ascii="Times New Roman" w:hAnsi="Times New Roman" w:eastAsia="宋体" w:cs="Times New Roman"/>
                <w:color w:val="auto"/>
                <w:sz w:val="21"/>
                <w:szCs w:val="21"/>
                <w:highlight w:val="none"/>
                <w:vertAlign w:val="baseline"/>
                <w:lang w:val="en-US" w:eastAsia="zh-CN"/>
              </w:rPr>
              <w:t>特征因子</w:t>
            </w:r>
          </w:p>
        </w:tc>
        <w:tc>
          <w:tcPr>
            <w:tcW w:w="834" w:type="pct"/>
            <w:vAlign w:val="center"/>
          </w:tcPr>
          <w:p w14:paraId="45A5F76C">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r>
              <w:rPr>
                <w:rFonts w:hint="eastAsia" w:ascii="Times New Roman" w:hAnsi="Times New Roman" w:eastAsia="宋体" w:cs="Times New Roman"/>
                <w:color w:val="auto"/>
                <w:sz w:val="21"/>
                <w:szCs w:val="21"/>
                <w:highlight w:val="none"/>
                <w:vertAlign w:val="baseline"/>
                <w:lang w:val="en-US" w:eastAsia="zh-CN"/>
              </w:rPr>
              <w:t>备注</w:t>
            </w:r>
          </w:p>
        </w:tc>
      </w:tr>
      <w:tr w14:paraId="7E67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1" w:type="pct"/>
            <w:vAlign w:val="center"/>
          </w:tcPr>
          <w:p w14:paraId="7607F2B0">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eastAsia="宋体" w:cs="Times New Roman"/>
                <w:color w:val="auto"/>
                <w:sz w:val="21"/>
                <w:szCs w:val="21"/>
                <w:highlight w:val="none"/>
                <w:vertAlign w:val="baseline"/>
                <w:lang w:val="en-US" w:eastAsia="zh-CN"/>
              </w:rPr>
              <w:t>油车棚内罐式加油车</w:t>
            </w:r>
          </w:p>
        </w:tc>
        <w:tc>
          <w:tcPr>
            <w:tcW w:w="833" w:type="pct"/>
            <w:vAlign w:val="center"/>
          </w:tcPr>
          <w:p w14:paraId="2D956FAB">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r>
              <w:rPr>
                <w:rFonts w:hint="eastAsia" w:ascii="Times New Roman" w:hAnsi="Times New Roman" w:eastAsia="宋体" w:cs="Times New Roman"/>
                <w:color w:val="auto"/>
                <w:sz w:val="21"/>
                <w:szCs w:val="21"/>
                <w:highlight w:val="none"/>
                <w:vertAlign w:val="baseline"/>
                <w:lang w:val="en-US" w:eastAsia="zh-CN"/>
              </w:rPr>
              <w:t>/</w:t>
            </w:r>
          </w:p>
        </w:tc>
        <w:tc>
          <w:tcPr>
            <w:tcW w:w="833" w:type="pct"/>
            <w:vAlign w:val="center"/>
          </w:tcPr>
          <w:p w14:paraId="49C3AB06">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r>
              <w:rPr>
                <w:rFonts w:hint="eastAsia" w:ascii="Times New Roman" w:hAnsi="Times New Roman" w:eastAsia="宋体" w:cs="Times New Roman"/>
                <w:color w:val="auto"/>
                <w:sz w:val="21"/>
                <w:szCs w:val="21"/>
                <w:highlight w:val="none"/>
                <w:vertAlign w:val="baseline"/>
                <w:lang w:val="en-US" w:eastAsia="zh-CN"/>
              </w:rPr>
              <w:t>垂直入渗</w:t>
            </w:r>
          </w:p>
        </w:tc>
        <w:tc>
          <w:tcPr>
            <w:tcW w:w="833" w:type="pct"/>
            <w:vAlign w:val="center"/>
          </w:tcPr>
          <w:p w14:paraId="1FAEBDAB">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r>
              <w:rPr>
                <w:rFonts w:hint="eastAsia" w:ascii="Times New Roman" w:hAnsi="Times New Roman" w:eastAsia="宋体" w:cs="Times New Roman"/>
                <w:color w:val="auto"/>
                <w:sz w:val="21"/>
                <w:szCs w:val="21"/>
                <w:highlight w:val="none"/>
                <w:vertAlign w:val="baseline"/>
                <w:lang w:val="en-US" w:eastAsia="zh-CN"/>
              </w:rPr>
              <w:t>航空煤油</w:t>
            </w:r>
          </w:p>
        </w:tc>
        <w:tc>
          <w:tcPr>
            <w:tcW w:w="834" w:type="pct"/>
            <w:vAlign w:val="center"/>
          </w:tcPr>
          <w:p w14:paraId="13CC5CAB">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r>
              <w:rPr>
                <w:rFonts w:hint="eastAsia" w:ascii="Times New Roman" w:hAnsi="Times New Roman" w:eastAsia="宋体" w:cs="Times New Roman"/>
                <w:color w:val="auto"/>
                <w:sz w:val="21"/>
                <w:szCs w:val="21"/>
                <w:highlight w:val="none"/>
                <w:vertAlign w:val="baseline"/>
                <w:lang w:val="en-US" w:eastAsia="zh-CN"/>
              </w:rPr>
              <w:t>石油类</w:t>
            </w:r>
          </w:p>
        </w:tc>
        <w:tc>
          <w:tcPr>
            <w:tcW w:w="834" w:type="pct"/>
            <w:vAlign w:val="center"/>
          </w:tcPr>
          <w:p w14:paraId="3E49D826">
            <w:pPr>
              <w:pStyle w:val="1007"/>
              <w:keepNext w:val="0"/>
              <w:keepLines w:val="0"/>
              <w:suppressLineNumbers w:val="0"/>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auto"/>
                <w:sz w:val="21"/>
                <w:szCs w:val="21"/>
                <w:highlight w:val="none"/>
                <w:vertAlign w:val="baseline"/>
                <w:lang w:val="zh-CN"/>
              </w:rPr>
            </w:pPr>
            <w:r>
              <w:rPr>
                <w:rFonts w:hint="eastAsia" w:ascii="Times New Roman" w:hAnsi="Times New Roman" w:eastAsia="宋体" w:cs="Times New Roman"/>
                <w:color w:val="auto"/>
                <w:sz w:val="21"/>
                <w:szCs w:val="21"/>
                <w:highlight w:val="none"/>
                <w:vertAlign w:val="baseline"/>
                <w:lang w:val="en-US" w:eastAsia="zh-CN"/>
              </w:rPr>
              <w:t>事故</w:t>
            </w:r>
          </w:p>
        </w:tc>
      </w:tr>
    </w:tbl>
    <w:p w14:paraId="53D580C1">
      <w:pPr>
        <w:pStyle w:val="729"/>
        <w:rPr>
          <w:color w:val="auto"/>
          <w:highlight w:val="none"/>
        </w:rPr>
      </w:pPr>
      <w:r>
        <w:rPr>
          <w:color w:val="auto"/>
          <w:highlight w:val="none"/>
        </w:rPr>
        <w:t>本项目对土壤环境可能产生的影响主要为</w:t>
      </w:r>
      <w:r>
        <w:rPr>
          <w:rFonts w:hint="eastAsia"/>
          <w:color w:val="auto"/>
          <w:highlight w:val="none"/>
        </w:rPr>
        <w:t>油车棚内罐式加油车</w:t>
      </w:r>
      <w:r>
        <w:rPr>
          <w:rFonts w:hint="eastAsia"/>
          <w:color w:val="auto"/>
          <w:highlight w:val="none"/>
          <w:lang w:eastAsia="zh-CN"/>
        </w:rPr>
        <w:t>泄漏</w:t>
      </w:r>
      <w:r>
        <w:rPr>
          <w:color w:val="auto"/>
          <w:highlight w:val="none"/>
        </w:rPr>
        <w:t>垂直下渗造成的土壤污染。故将本项目土壤环境影响类型划分为污染影响型，主要影响方式为垂直下渗。</w:t>
      </w:r>
    </w:p>
    <w:p w14:paraId="7A8FC6CD">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施工期土壤环境影响分析</w:t>
      </w:r>
    </w:p>
    <w:p w14:paraId="5EB4D04F">
      <w:pPr>
        <w:pStyle w:val="729"/>
        <w:rPr>
          <w:color w:val="auto"/>
          <w:highlight w:val="none"/>
        </w:rPr>
      </w:pPr>
      <w:r>
        <w:rPr>
          <w:color w:val="auto"/>
          <w:highlight w:val="none"/>
        </w:rPr>
        <w:t>施工期对土壤质量的影响</w:t>
      </w:r>
      <w:r>
        <w:rPr>
          <w:rFonts w:hint="eastAsia"/>
          <w:color w:val="auto"/>
          <w:highlight w:val="none"/>
          <w:lang w:eastAsia="zh-CN"/>
        </w:rPr>
        <w:t>主要</w:t>
      </w:r>
      <w:r>
        <w:rPr>
          <w:color w:val="auto"/>
          <w:highlight w:val="none"/>
        </w:rPr>
        <w:t>体现</w:t>
      </w:r>
      <w:r>
        <w:rPr>
          <w:rFonts w:hint="eastAsia"/>
          <w:color w:val="auto"/>
          <w:highlight w:val="none"/>
          <w:lang w:val="en-US" w:eastAsia="zh-CN"/>
        </w:rPr>
        <w:t>在</w:t>
      </w:r>
      <w:r>
        <w:rPr>
          <w:color w:val="auto"/>
          <w:highlight w:val="none"/>
        </w:rPr>
        <w:t>机场施工过程中开挖和回填的人为扰动、车辆行驶和机械施工对土壤理化性质及</w:t>
      </w:r>
      <w:r>
        <w:rPr>
          <w:rFonts w:hint="eastAsia"/>
          <w:color w:val="auto"/>
          <w:highlight w:val="none"/>
          <w:lang w:val="en-US" w:eastAsia="zh-CN"/>
        </w:rPr>
        <w:t>水土流失</w:t>
      </w:r>
      <w:r>
        <w:rPr>
          <w:color w:val="auto"/>
          <w:highlight w:val="none"/>
        </w:rPr>
        <w:t>的影响。</w:t>
      </w:r>
    </w:p>
    <w:p w14:paraId="5D957007">
      <w:pPr>
        <w:pStyle w:val="729"/>
        <w:rPr>
          <w:color w:val="auto"/>
          <w:highlight w:val="none"/>
        </w:rPr>
      </w:pPr>
      <w:r>
        <w:rPr>
          <w:rFonts w:hint="eastAsia" w:ascii="宋体" w:hAnsi="宋体" w:cs="宋体"/>
          <w:color w:val="auto"/>
          <w:highlight w:val="none"/>
        </w:rPr>
        <w:t>①</w:t>
      </w:r>
      <w:r>
        <w:rPr>
          <w:color w:val="auto"/>
          <w:highlight w:val="none"/>
        </w:rPr>
        <w:t>破坏土壤原有结构</w:t>
      </w:r>
    </w:p>
    <w:p w14:paraId="6E8600EF">
      <w:pPr>
        <w:pStyle w:val="729"/>
        <w:rPr>
          <w:color w:val="auto"/>
          <w:highlight w:val="none"/>
        </w:rPr>
      </w:pPr>
      <w:r>
        <w:rPr>
          <w:color w:val="auto"/>
          <w:highlight w:val="none"/>
        </w:rPr>
        <w:t>土壤结构是经过较长的历史时期形成的，开挖和回填必将破坏土壤的结构。尤其是土壤中的团粒结构，一旦遭到破坏，必须经过较长的时间才能恢复。除了开挖的土壤会受到直接的破坏外，开挖土堆放两边占用土地，也会破坏土壤结构，此外，土层的混合和扰动，同样会改变原有土壤层的性质。在施工中由于打乱土层，改变土壤容重，地表植被受到破坏，使得地表填筑物由于太阳热能的吸收量增加。</w:t>
      </w:r>
    </w:p>
    <w:p w14:paraId="683B47FD">
      <w:pPr>
        <w:pStyle w:val="729"/>
        <w:rPr>
          <w:color w:val="auto"/>
          <w:highlight w:val="none"/>
        </w:rPr>
      </w:pPr>
      <w:r>
        <w:rPr>
          <w:rFonts w:hint="eastAsia" w:ascii="宋体" w:hAnsi="宋体" w:cs="宋体"/>
          <w:color w:val="auto"/>
          <w:highlight w:val="none"/>
        </w:rPr>
        <w:t>②</w:t>
      </w:r>
      <w:r>
        <w:rPr>
          <w:color w:val="auto"/>
          <w:highlight w:val="none"/>
        </w:rPr>
        <w:t>混合土壤层次、改变土壤质地</w:t>
      </w:r>
    </w:p>
    <w:p w14:paraId="6A1EC03A">
      <w:pPr>
        <w:pStyle w:val="729"/>
        <w:rPr>
          <w:color w:val="auto"/>
          <w:highlight w:val="none"/>
        </w:rPr>
      </w:pPr>
      <w:r>
        <w:rPr>
          <w:color w:val="auto"/>
          <w:highlight w:val="none"/>
        </w:rPr>
        <w:t>土壤质地因地形和土壤形成条件的不同而有较大的变化，即使同一土壤剖面，表层土壤质地与底层的也截然不同。开挖和回填，必定混合原有的土壤层次，降低土壤的蓄水保肥能力，易受风蚀，从而影响土壤的发育，植被的恢复。</w:t>
      </w:r>
    </w:p>
    <w:p w14:paraId="60EBA173">
      <w:pPr>
        <w:pStyle w:val="729"/>
        <w:rPr>
          <w:color w:val="auto"/>
          <w:highlight w:val="none"/>
        </w:rPr>
      </w:pPr>
      <w:r>
        <w:rPr>
          <w:rFonts w:hint="eastAsia" w:ascii="宋体" w:hAnsi="宋体" w:cs="宋体"/>
          <w:color w:val="auto"/>
          <w:highlight w:val="none"/>
        </w:rPr>
        <w:t>③</w:t>
      </w:r>
      <w:r>
        <w:rPr>
          <w:color w:val="auto"/>
          <w:highlight w:val="none"/>
        </w:rPr>
        <w:t>影响土壤养分</w:t>
      </w:r>
    </w:p>
    <w:p w14:paraId="21CAA73C">
      <w:pPr>
        <w:pStyle w:val="729"/>
        <w:rPr>
          <w:color w:val="auto"/>
          <w:highlight w:val="none"/>
        </w:rPr>
      </w:pPr>
      <w:r>
        <w:rPr>
          <w:color w:val="auto"/>
          <w:highlight w:val="none"/>
        </w:rPr>
        <w:t>土体构型是土壤剖面中各种土层的组合情况。施工对原有土体构型势必扰动，使土壤养分状况受到影响，严重者使土壤性质恶化，并波及其上生长的植被，甚至难以恢复。</w:t>
      </w:r>
    </w:p>
    <w:p w14:paraId="73450986">
      <w:pPr>
        <w:pStyle w:val="729"/>
        <w:rPr>
          <w:color w:val="auto"/>
          <w:highlight w:val="none"/>
        </w:rPr>
      </w:pPr>
      <w:r>
        <w:rPr>
          <w:rFonts w:hint="eastAsia" w:ascii="宋体" w:hAnsi="宋体" w:cs="宋体"/>
          <w:color w:val="auto"/>
          <w:highlight w:val="none"/>
        </w:rPr>
        <w:t>④</w:t>
      </w:r>
      <w:r>
        <w:rPr>
          <w:color w:val="auto"/>
          <w:highlight w:val="none"/>
        </w:rPr>
        <w:t>影响土壤紧实度</w:t>
      </w:r>
    </w:p>
    <w:p w14:paraId="5FA66BE5">
      <w:pPr>
        <w:pStyle w:val="729"/>
        <w:rPr>
          <w:color w:val="auto"/>
          <w:highlight w:val="none"/>
        </w:rPr>
      </w:pPr>
      <w:r>
        <w:rPr>
          <w:color w:val="auto"/>
          <w:highlight w:val="none"/>
        </w:rPr>
        <w:t>施工中机械碾压，人员</w:t>
      </w:r>
      <w:r>
        <w:rPr>
          <w:rFonts w:hint="eastAsia"/>
          <w:color w:val="auto"/>
          <w:highlight w:val="none"/>
          <w:lang w:eastAsia="zh-CN"/>
        </w:rPr>
        <w:t>踩踏</w:t>
      </w:r>
      <w:r>
        <w:rPr>
          <w:color w:val="auto"/>
          <w:highlight w:val="none"/>
        </w:rPr>
        <w:t>等都会影响土壤的紧实度。土层过松，易引起水土流失，土体过紧，又会影响作物生长。</w:t>
      </w:r>
    </w:p>
    <w:p w14:paraId="759C579B">
      <w:pPr>
        <w:pStyle w:val="729"/>
        <w:rPr>
          <w:color w:val="auto"/>
          <w:highlight w:val="none"/>
        </w:rPr>
      </w:pPr>
      <w:r>
        <w:rPr>
          <w:rFonts w:hint="eastAsia" w:ascii="宋体" w:hAnsi="宋体" w:cs="宋体"/>
          <w:color w:val="auto"/>
          <w:highlight w:val="none"/>
        </w:rPr>
        <w:t>⑤</w:t>
      </w:r>
      <w:r>
        <w:rPr>
          <w:rFonts w:hint="eastAsia"/>
          <w:color w:val="auto"/>
          <w:highlight w:val="none"/>
          <w:lang w:val="en-US" w:eastAsia="zh-CN"/>
        </w:rPr>
        <w:t>水土流失</w:t>
      </w:r>
      <w:r>
        <w:rPr>
          <w:color w:val="auto"/>
          <w:highlight w:val="none"/>
        </w:rPr>
        <w:t>影响</w:t>
      </w:r>
    </w:p>
    <w:p w14:paraId="38BADC0B">
      <w:pPr>
        <w:pStyle w:val="729"/>
        <w:rPr>
          <w:color w:val="auto"/>
          <w:highlight w:val="none"/>
        </w:rPr>
      </w:pPr>
      <w:r>
        <w:rPr>
          <w:rFonts w:hint="eastAsia"/>
          <w:color w:val="auto"/>
          <w:highlight w:val="none"/>
          <w:lang w:val="en-US" w:eastAsia="zh-CN"/>
        </w:rPr>
        <w:t>施工</w:t>
      </w:r>
      <w:r>
        <w:rPr>
          <w:color w:val="auto"/>
          <w:highlight w:val="none"/>
        </w:rPr>
        <w:t>期间，施工车辆对地表的大面积碾压，使所经过地段的植被和地表结构遭到不同程度的破坏，会使风蚀荒漠化的过程加剧，从而造成水土流失，这种影响在短时间内不会完全恢复；在地面构筑物建设中，最直接而且易引起水土流失的是施工过程中使影响范围内的地表保护层变得松散，增加风蚀量，但各项目区的硬化措施可有效防止风蚀造成水土流失。</w:t>
      </w:r>
    </w:p>
    <w:p w14:paraId="5524D1D7">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运营期土壤环境影响分析</w:t>
      </w:r>
    </w:p>
    <w:p w14:paraId="44DF8911">
      <w:pPr>
        <w:pStyle w:val="729"/>
        <w:rPr>
          <w:color w:val="auto"/>
          <w:highlight w:val="none"/>
        </w:rPr>
      </w:pPr>
      <w:r>
        <w:rPr>
          <w:color w:val="auto"/>
          <w:highlight w:val="none"/>
        </w:rPr>
        <w:t>（1）正常状况下对土壤环境的影响分析</w:t>
      </w:r>
    </w:p>
    <w:p w14:paraId="71956883">
      <w:pPr>
        <w:ind w:firstLine="480"/>
        <w:rPr>
          <w:color w:val="auto"/>
          <w:highlight w:val="none"/>
        </w:rPr>
      </w:pPr>
      <w:r>
        <w:rPr>
          <w:color w:val="auto"/>
          <w:highlight w:val="none"/>
        </w:rPr>
        <w:t>本项目航煤</w:t>
      </w:r>
      <w:r>
        <w:rPr>
          <w:rFonts w:hint="eastAsia"/>
          <w:color w:val="auto"/>
          <w:highlight w:val="none"/>
          <w:lang w:val="en-US" w:eastAsia="zh-CN"/>
        </w:rPr>
        <w:t>加油</w:t>
      </w:r>
      <w:r>
        <w:rPr>
          <w:color w:val="auto"/>
          <w:highlight w:val="none"/>
        </w:rPr>
        <w:t>装置按《通用航空供油工程建设规范》</w:t>
      </w:r>
      <w:r>
        <w:rPr>
          <w:rFonts w:hint="eastAsia"/>
          <w:color w:val="auto"/>
          <w:highlight w:val="none"/>
          <w:lang w:eastAsia="zh-CN"/>
        </w:rPr>
        <w:t>（MH/T5030-2014）配备</w:t>
      </w:r>
      <w:r>
        <w:rPr>
          <w:color w:val="auto"/>
          <w:highlight w:val="none"/>
        </w:rPr>
        <w:t>2台加油机设备，四周设围堰。正常情况下不会对土壤环境造成影响。</w:t>
      </w:r>
    </w:p>
    <w:p w14:paraId="20AD1B10">
      <w:pPr>
        <w:pStyle w:val="729"/>
        <w:rPr>
          <w:color w:val="auto"/>
          <w:highlight w:val="none"/>
        </w:rPr>
      </w:pPr>
      <w:r>
        <w:rPr>
          <w:color w:val="auto"/>
          <w:highlight w:val="none"/>
        </w:rPr>
        <w:t>（2）非正常状况下对土壤环境的影响分析</w:t>
      </w:r>
    </w:p>
    <w:p w14:paraId="59ACDA11">
      <w:pPr>
        <w:pStyle w:val="729"/>
        <w:rPr>
          <w:color w:val="auto"/>
          <w:highlight w:val="none"/>
        </w:rPr>
      </w:pPr>
      <w:r>
        <w:rPr>
          <w:color w:val="auto"/>
          <w:highlight w:val="none"/>
        </w:rPr>
        <w:t>1）预测范围</w:t>
      </w:r>
    </w:p>
    <w:p w14:paraId="1FC0CCC1">
      <w:pPr>
        <w:pStyle w:val="729"/>
        <w:rPr>
          <w:color w:val="auto"/>
          <w:highlight w:val="none"/>
        </w:rPr>
      </w:pPr>
      <w:r>
        <w:rPr>
          <w:color w:val="auto"/>
          <w:highlight w:val="none"/>
        </w:rPr>
        <w:t>运营期预测范围与现状调查评价范围一致，为项目占地范围内及占地范围外</w:t>
      </w:r>
      <w:r>
        <w:rPr>
          <w:rFonts w:eastAsia="Times New Roman"/>
          <w:color w:val="auto"/>
          <w:highlight w:val="none"/>
        </w:rPr>
        <w:t>0.2km</w:t>
      </w:r>
      <w:r>
        <w:rPr>
          <w:color w:val="auto"/>
          <w:highlight w:val="none"/>
        </w:rPr>
        <w:t>范围内。</w:t>
      </w:r>
    </w:p>
    <w:p w14:paraId="189E6B69">
      <w:pPr>
        <w:pStyle w:val="729"/>
        <w:rPr>
          <w:color w:val="auto"/>
          <w:highlight w:val="none"/>
        </w:rPr>
      </w:pPr>
      <w:r>
        <w:rPr>
          <w:color w:val="auto"/>
          <w:highlight w:val="none"/>
        </w:rPr>
        <w:t>2）预测情景</w:t>
      </w:r>
    </w:p>
    <w:p w14:paraId="03D64603">
      <w:pPr>
        <w:pStyle w:val="729"/>
        <w:rPr>
          <w:color w:val="auto"/>
          <w:highlight w:val="none"/>
        </w:rPr>
      </w:pPr>
      <w:r>
        <w:rPr>
          <w:rFonts w:hint="eastAsia" w:ascii="宋体" w:hAnsi="宋体" w:cs="宋体"/>
          <w:color w:val="auto"/>
          <w:highlight w:val="none"/>
        </w:rPr>
        <w:t>①</w:t>
      </w:r>
      <w:r>
        <w:rPr>
          <w:color w:val="auto"/>
          <w:highlight w:val="none"/>
        </w:rPr>
        <w:t>选择机场</w:t>
      </w:r>
      <w:r>
        <w:rPr>
          <w:rFonts w:hint="eastAsia" w:eastAsia="宋体"/>
          <w:color w:val="auto"/>
          <w:highlight w:val="none"/>
          <w:lang w:val="en-US" w:eastAsia="zh-CN"/>
        </w:rPr>
        <w:t>油车棚</w:t>
      </w:r>
      <w:r>
        <w:rPr>
          <w:color w:val="auto"/>
          <w:highlight w:val="none"/>
        </w:rPr>
        <w:t>进行预测，假设</w:t>
      </w:r>
      <w:r>
        <w:rPr>
          <w:rFonts w:hint="eastAsia"/>
          <w:color w:val="auto"/>
          <w:highlight w:val="none"/>
          <w:lang w:val="en-US" w:eastAsia="zh-CN"/>
        </w:rPr>
        <w:t>罐车</w:t>
      </w:r>
      <w:r>
        <w:rPr>
          <w:color w:val="auto"/>
          <w:highlight w:val="none"/>
        </w:rPr>
        <w:t>底部发生破裂，同时底部防渗层破裂，导致石油类污染物渗漏。</w:t>
      </w:r>
    </w:p>
    <w:p w14:paraId="777B1B08">
      <w:pPr>
        <w:pStyle w:val="729"/>
        <w:rPr>
          <w:color w:val="auto"/>
          <w:highlight w:val="none"/>
        </w:rPr>
      </w:pPr>
      <w:r>
        <w:rPr>
          <w:color w:val="auto"/>
          <w:highlight w:val="none"/>
        </w:rPr>
        <w:t>3）预测因子：</w:t>
      </w:r>
      <w:r>
        <w:rPr>
          <w:rFonts w:hint="eastAsia"/>
          <w:color w:val="auto"/>
          <w:highlight w:val="none"/>
        </w:rPr>
        <w:t>石油烃</w:t>
      </w:r>
    </w:p>
    <w:p w14:paraId="2EF3E92A">
      <w:pPr>
        <w:pStyle w:val="729"/>
        <w:rPr>
          <w:color w:val="auto"/>
          <w:highlight w:val="none"/>
        </w:rPr>
      </w:pPr>
      <w:r>
        <w:rPr>
          <w:color w:val="auto"/>
          <w:highlight w:val="none"/>
        </w:rPr>
        <w:t>4）预测评价标准</w:t>
      </w:r>
    </w:p>
    <w:p w14:paraId="489490CC">
      <w:pPr>
        <w:pStyle w:val="729"/>
        <w:rPr>
          <w:color w:val="auto"/>
          <w:highlight w:val="none"/>
        </w:rPr>
      </w:pPr>
      <w:r>
        <w:rPr>
          <w:color w:val="auto"/>
          <w:highlight w:val="none"/>
        </w:rPr>
        <w:t>项目区占地范围内执行《土壤环境质量 建设用地土壤污染风险管控标准（试行）》（GB36600-2018）第二类用地风险筛选值要求。</w:t>
      </w:r>
    </w:p>
    <w:p w14:paraId="7BE9E6F8">
      <w:pPr>
        <w:pStyle w:val="729"/>
        <w:rPr>
          <w:color w:val="auto"/>
          <w:highlight w:val="none"/>
        </w:rPr>
      </w:pPr>
      <w:r>
        <w:rPr>
          <w:color w:val="auto"/>
          <w:highlight w:val="none"/>
        </w:rPr>
        <w:t>项目区占地范围外执行《土壤环境质量 农用地土壤污染风险管控标准（试行）》（GB15618-2018）中“表.1农用地土壤污染风险筛选值（基本项目）”。</w:t>
      </w:r>
    </w:p>
    <w:p w14:paraId="23AA585A">
      <w:pPr>
        <w:pStyle w:val="729"/>
        <w:rPr>
          <w:color w:val="auto"/>
          <w:highlight w:val="none"/>
        </w:rPr>
      </w:pPr>
      <w:r>
        <w:rPr>
          <w:color w:val="auto"/>
          <w:highlight w:val="none"/>
        </w:rPr>
        <w:t>5）预测方法：</w:t>
      </w:r>
    </w:p>
    <w:p w14:paraId="01FC21C0">
      <w:pPr>
        <w:pStyle w:val="729"/>
        <w:rPr>
          <w:color w:val="auto"/>
          <w:highlight w:val="none"/>
        </w:rPr>
      </w:pPr>
      <w:r>
        <w:rPr>
          <w:color w:val="auto"/>
          <w:highlight w:val="none"/>
        </w:rPr>
        <w:t>废水穿透含水层上部非饱水带的时间按下列公式计算：</w:t>
      </w:r>
    </w:p>
    <w:p w14:paraId="24A94C8B">
      <w:pPr>
        <w:pStyle w:val="729"/>
        <w:jc w:val="center"/>
        <w:rPr>
          <w:color w:val="auto"/>
          <w:highlight w:val="none"/>
        </w:rPr>
      </w:pPr>
      <w:r>
        <w:rPr>
          <w:color w:val="auto"/>
          <w:highlight w:val="none"/>
        </w:rPr>
        <w:t>渗水通量：</w:t>
      </w:r>
      <m:oMath>
        <m:r>
          <m:rPr/>
          <w:rPr>
            <w:rFonts w:ascii="Cambria Math" w:hAnsi="Cambria Math"/>
            <w:color w:val="auto"/>
            <w:highlight w:val="none"/>
          </w:rPr>
          <m:t>q=k×</m:t>
        </m:r>
        <m:f>
          <m:fPr>
            <m:ctrlPr>
              <w:rPr>
                <w:rFonts w:ascii="Cambria Math" w:hAnsi="Cambria Math"/>
                <w:i/>
                <w:color w:val="auto"/>
                <w:highlight w:val="none"/>
              </w:rPr>
            </m:ctrlPr>
          </m:fPr>
          <m:num>
            <m:r>
              <m:rPr/>
              <w:rPr>
                <w:rFonts w:ascii="Cambria Math" w:hAnsi="Cambria Math"/>
                <w:color w:val="auto"/>
                <w:highlight w:val="none"/>
              </w:rPr>
              <m:t>d+h</m:t>
            </m:r>
            <m:ctrlPr>
              <w:rPr>
                <w:rFonts w:ascii="Cambria Math" w:hAnsi="Cambria Math"/>
                <w:i/>
                <w:color w:val="auto"/>
                <w:highlight w:val="none"/>
              </w:rPr>
            </m:ctrlPr>
          </m:num>
          <m:den>
            <m:r>
              <m:rPr/>
              <w:rPr>
                <w:rFonts w:ascii="Cambria Math" w:hAnsi="Cambria Math"/>
                <w:color w:val="auto"/>
                <w:highlight w:val="none"/>
              </w:rPr>
              <m:t>d</m:t>
            </m:r>
            <m:ctrlPr>
              <w:rPr>
                <w:rFonts w:ascii="Cambria Math" w:hAnsi="Cambria Math"/>
                <w:i/>
                <w:color w:val="auto"/>
                <w:highlight w:val="none"/>
              </w:rPr>
            </m:ctrlPr>
          </m:den>
        </m:f>
      </m:oMath>
    </w:p>
    <w:p w14:paraId="2DB23CE9">
      <w:pPr>
        <w:pStyle w:val="729"/>
        <w:jc w:val="center"/>
        <w:rPr>
          <w:color w:val="auto"/>
          <w:highlight w:val="none"/>
        </w:rPr>
      </w:pPr>
      <w:r>
        <w:rPr>
          <w:color w:val="auto"/>
          <w:highlight w:val="none"/>
        </w:rPr>
        <w:t>穿透时间：</w:t>
      </w:r>
      <w:r>
        <w:rPr>
          <w:rFonts w:eastAsia="Cambria Math"/>
          <w:color w:val="auto"/>
          <w:highlight w:val="none"/>
        </w:rPr>
        <w:t>T=</w:t>
      </w:r>
      <w:r>
        <w:rPr>
          <w:rFonts w:ascii="Cambria Math" w:hAnsi="Cambria Math" w:eastAsia="Cambria Math" w:cs="Cambria Math"/>
          <w:color w:val="auto"/>
          <w:highlight w:val="none"/>
        </w:rPr>
        <w:t>𝑑</w:t>
      </w:r>
      <w:r>
        <w:rPr>
          <w:rFonts w:eastAsia="Cambria Math"/>
          <w:color w:val="auto"/>
          <w:highlight w:val="none"/>
        </w:rPr>
        <w:t>⁄</w:t>
      </w:r>
      <w:r>
        <w:rPr>
          <w:rFonts w:ascii="Cambria Math" w:hAnsi="Cambria Math" w:eastAsia="Cambria Math" w:cs="Cambria Math"/>
          <w:color w:val="auto"/>
          <w:highlight w:val="none"/>
        </w:rPr>
        <w:t>𝑞</w:t>
      </w:r>
    </w:p>
    <w:p w14:paraId="373ABAA1">
      <w:pPr>
        <w:pStyle w:val="729"/>
        <w:rPr>
          <w:color w:val="auto"/>
          <w:highlight w:val="none"/>
        </w:rPr>
      </w:pPr>
      <w:r>
        <w:rPr>
          <w:color w:val="auto"/>
          <w:highlight w:val="none"/>
        </w:rPr>
        <w:t>其中：</w:t>
      </w:r>
      <w:r>
        <w:rPr>
          <w:rFonts w:eastAsia="Times New Roman"/>
          <w:color w:val="auto"/>
          <w:highlight w:val="none"/>
        </w:rPr>
        <w:t>T</w:t>
      </w:r>
      <w:r>
        <w:rPr>
          <w:color w:val="auto"/>
          <w:highlight w:val="none"/>
        </w:rPr>
        <w:t>为穿过覆盖层的时间（</w:t>
      </w:r>
      <w:r>
        <w:rPr>
          <w:rFonts w:eastAsia="Times New Roman"/>
          <w:color w:val="auto"/>
          <w:highlight w:val="none"/>
        </w:rPr>
        <w:t>d</w:t>
      </w:r>
      <w:r>
        <w:rPr>
          <w:color w:val="auto"/>
          <w:highlight w:val="none"/>
        </w:rPr>
        <w:t>）；</w:t>
      </w:r>
    </w:p>
    <w:p w14:paraId="5EC9395A">
      <w:pPr>
        <w:pStyle w:val="729"/>
        <w:ind w:firstLine="1200" w:firstLineChars="500"/>
        <w:rPr>
          <w:color w:val="auto"/>
          <w:highlight w:val="none"/>
        </w:rPr>
      </w:pPr>
      <w:r>
        <w:rPr>
          <w:rFonts w:eastAsia="Times New Roman"/>
          <w:color w:val="auto"/>
          <w:highlight w:val="none"/>
        </w:rPr>
        <w:t>d</w:t>
      </w:r>
      <w:r>
        <w:rPr>
          <w:color w:val="auto"/>
          <w:highlight w:val="none"/>
        </w:rPr>
        <w:t>为包气带的厚度（</w:t>
      </w:r>
      <w:r>
        <w:rPr>
          <w:rFonts w:eastAsia="Times New Roman"/>
          <w:color w:val="auto"/>
          <w:highlight w:val="none"/>
        </w:rPr>
        <w:t>m</w:t>
      </w:r>
      <w:r>
        <w:rPr>
          <w:color w:val="auto"/>
          <w:highlight w:val="none"/>
        </w:rPr>
        <w:t>）；</w:t>
      </w:r>
    </w:p>
    <w:p w14:paraId="5866E1C6">
      <w:pPr>
        <w:pStyle w:val="729"/>
        <w:ind w:firstLine="1200" w:firstLineChars="500"/>
        <w:rPr>
          <w:color w:val="auto"/>
          <w:highlight w:val="none"/>
        </w:rPr>
      </w:pPr>
      <w:r>
        <w:rPr>
          <w:rFonts w:eastAsia="Times New Roman"/>
          <w:color w:val="auto"/>
          <w:highlight w:val="none"/>
        </w:rPr>
        <w:t>k</w:t>
      </w:r>
      <w:r>
        <w:rPr>
          <w:color w:val="auto"/>
          <w:highlight w:val="none"/>
        </w:rPr>
        <w:t>为包气带的等效渗透系数（</w:t>
      </w:r>
      <w:r>
        <w:rPr>
          <w:rFonts w:eastAsia="Times New Roman"/>
          <w:color w:val="auto"/>
          <w:highlight w:val="none"/>
        </w:rPr>
        <w:t>m/d</w:t>
      </w:r>
      <w:r>
        <w:rPr>
          <w:color w:val="auto"/>
          <w:highlight w:val="none"/>
        </w:rPr>
        <w:t>）；</w:t>
      </w:r>
    </w:p>
    <w:p w14:paraId="408A5B27">
      <w:pPr>
        <w:pStyle w:val="729"/>
        <w:ind w:firstLine="1200" w:firstLineChars="500"/>
        <w:rPr>
          <w:color w:val="auto"/>
          <w:highlight w:val="none"/>
        </w:rPr>
      </w:pPr>
      <w:r>
        <w:rPr>
          <w:rFonts w:eastAsia="Times New Roman"/>
          <w:color w:val="auto"/>
          <w:highlight w:val="none"/>
        </w:rPr>
        <w:t>h</w:t>
      </w:r>
      <w:r>
        <w:rPr>
          <w:color w:val="auto"/>
          <w:highlight w:val="none"/>
        </w:rPr>
        <w:t>为水池的积水高度（</w:t>
      </w:r>
      <w:r>
        <w:rPr>
          <w:rFonts w:eastAsia="Times New Roman"/>
          <w:color w:val="auto"/>
          <w:highlight w:val="none"/>
        </w:rPr>
        <w:t>m</w:t>
      </w:r>
      <w:r>
        <w:rPr>
          <w:color w:val="auto"/>
          <w:highlight w:val="none"/>
        </w:rPr>
        <w:t>）。</w:t>
      </w:r>
    </w:p>
    <w:p w14:paraId="5263B3E5">
      <w:pPr>
        <w:pStyle w:val="729"/>
        <w:rPr>
          <w:color w:val="auto"/>
          <w:highlight w:val="none"/>
        </w:rPr>
      </w:pPr>
      <w:r>
        <w:rPr>
          <w:color w:val="auto"/>
          <w:highlight w:val="none"/>
        </w:rPr>
        <w:t>参数取值如下：</w:t>
      </w:r>
    </w:p>
    <w:p w14:paraId="0D4D3E8F">
      <w:pPr>
        <w:pStyle w:val="729"/>
        <w:ind w:firstLine="1200" w:firstLineChars="500"/>
        <w:rPr>
          <w:color w:val="auto"/>
          <w:highlight w:val="none"/>
        </w:rPr>
      </w:pPr>
      <w:r>
        <w:rPr>
          <w:rFonts w:eastAsia="Times New Roman"/>
          <w:color w:val="auto"/>
          <w:highlight w:val="none"/>
        </w:rPr>
        <w:t>d</w:t>
      </w:r>
      <w:r>
        <w:rPr>
          <w:color w:val="auto"/>
          <w:highlight w:val="none"/>
        </w:rPr>
        <w:t>：按</w:t>
      </w:r>
      <w:r>
        <w:rPr>
          <w:rFonts w:eastAsia="Times New Roman"/>
          <w:color w:val="auto"/>
          <w:highlight w:val="none"/>
        </w:rPr>
        <w:t>30m</w:t>
      </w:r>
      <w:r>
        <w:rPr>
          <w:color w:val="auto"/>
          <w:highlight w:val="none"/>
        </w:rPr>
        <w:t>计（场地覆盖层厚度大于</w:t>
      </w:r>
      <w:r>
        <w:rPr>
          <w:rFonts w:eastAsia="Times New Roman"/>
          <w:color w:val="auto"/>
          <w:highlight w:val="none"/>
        </w:rPr>
        <w:t>100m</w:t>
      </w:r>
      <w:r>
        <w:rPr>
          <w:color w:val="auto"/>
          <w:highlight w:val="none"/>
        </w:rPr>
        <w:t>）。</w:t>
      </w:r>
    </w:p>
    <w:p w14:paraId="563793DC">
      <w:pPr>
        <w:pStyle w:val="729"/>
        <w:ind w:firstLine="1200" w:firstLineChars="500"/>
        <w:rPr>
          <w:color w:val="auto"/>
          <w:highlight w:val="none"/>
        </w:rPr>
      </w:pPr>
      <w:r>
        <w:rPr>
          <w:rFonts w:eastAsia="Times New Roman"/>
          <w:color w:val="auto"/>
          <w:highlight w:val="none"/>
        </w:rPr>
        <w:t>k</w:t>
      </w:r>
      <w:r>
        <w:rPr>
          <w:color w:val="auto"/>
          <w:highlight w:val="none"/>
        </w:rPr>
        <w:t>：根据项目渗水试验，场地粉砂层的渗透系数为</w:t>
      </w:r>
      <w:r>
        <w:rPr>
          <w:rFonts w:eastAsia="Times New Roman"/>
          <w:color w:val="auto"/>
          <w:highlight w:val="none"/>
        </w:rPr>
        <w:t>8.65m/d</w:t>
      </w:r>
      <w:r>
        <w:rPr>
          <w:color w:val="auto"/>
          <w:highlight w:val="none"/>
        </w:rPr>
        <w:t>。</w:t>
      </w:r>
    </w:p>
    <w:p w14:paraId="041A98A9">
      <w:pPr>
        <w:pStyle w:val="729"/>
        <w:ind w:firstLine="1200" w:firstLineChars="500"/>
        <w:rPr>
          <w:color w:val="auto"/>
          <w:highlight w:val="none"/>
        </w:rPr>
      </w:pPr>
      <w:r>
        <w:rPr>
          <w:rFonts w:eastAsia="Times New Roman"/>
          <w:color w:val="auto"/>
          <w:highlight w:val="none"/>
        </w:rPr>
        <w:t>h</w:t>
      </w:r>
      <w:r>
        <w:rPr>
          <w:color w:val="auto"/>
          <w:highlight w:val="none"/>
        </w:rPr>
        <w:t>：</w:t>
      </w:r>
      <w:r>
        <w:rPr>
          <w:rFonts w:hint="eastAsia"/>
          <w:color w:val="auto"/>
          <w:highlight w:val="none"/>
          <w:lang w:val="en-US" w:eastAsia="zh-CN"/>
        </w:rPr>
        <w:t>罐式加油车内</w:t>
      </w:r>
      <w:r>
        <w:rPr>
          <w:color w:val="auto"/>
          <w:highlight w:val="none"/>
        </w:rPr>
        <w:t>液位高度按照</w:t>
      </w:r>
      <w:r>
        <w:rPr>
          <w:rFonts w:eastAsia="Times New Roman"/>
          <w:color w:val="auto"/>
          <w:highlight w:val="none"/>
        </w:rPr>
        <w:t>2.5m</w:t>
      </w:r>
      <w:r>
        <w:rPr>
          <w:color w:val="auto"/>
          <w:highlight w:val="none"/>
        </w:rPr>
        <w:t>考虑。</w:t>
      </w:r>
    </w:p>
    <w:p w14:paraId="655B7B14">
      <w:pPr>
        <w:pStyle w:val="729"/>
        <w:rPr>
          <w:color w:val="auto"/>
          <w:highlight w:val="none"/>
        </w:rPr>
      </w:pPr>
      <w:r>
        <w:rPr>
          <w:rFonts w:eastAsia="Times New Roman"/>
          <w:color w:val="auto"/>
          <w:highlight w:val="none"/>
        </w:rPr>
        <w:t>6</w:t>
      </w:r>
      <w:r>
        <w:rPr>
          <w:color w:val="auto"/>
          <w:highlight w:val="none"/>
        </w:rPr>
        <w:t>）预测与评价</w:t>
      </w:r>
    </w:p>
    <w:p w14:paraId="5B6B5509">
      <w:pPr>
        <w:pStyle w:val="729"/>
        <w:rPr>
          <w:color w:val="auto"/>
          <w:highlight w:val="none"/>
        </w:rPr>
      </w:pPr>
      <w:r>
        <w:rPr>
          <w:color w:val="auto"/>
          <w:highlight w:val="none"/>
        </w:rPr>
        <w:t>根据计算，</w:t>
      </w:r>
      <w:r>
        <w:rPr>
          <w:rFonts w:hint="eastAsia"/>
          <w:color w:val="auto"/>
          <w:highlight w:val="none"/>
          <w:lang w:val="en-US" w:eastAsia="zh-CN"/>
        </w:rPr>
        <w:t>油车棚</w:t>
      </w:r>
      <w:r>
        <w:rPr>
          <w:color w:val="auto"/>
          <w:highlight w:val="none"/>
        </w:rPr>
        <w:t>发生渗漏情况下，渗水通量</w:t>
      </w:r>
      <w:r>
        <w:rPr>
          <w:rFonts w:eastAsia="Times New Roman"/>
          <w:color w:val="auto"/>
          <w:highlight w:val="none"/>
        </w:rPr>
        <w:t>q</w:t>
      </w:r>
      <w:r>
        <w:rPr>
          <w:color w:val="auto"/>
          <w:highlight w:val="none"/>
        </w:rPr>
        <w:t>为</w:t>
      </w:r>
      <w:r>
        <w:rPr>
          <w:rFonts w:eastAsia="Times New Roman"/>
          <w:color w:val="auto"/>
          <w:highlight w:val="none"/>
        </w:rPr>
        <w:t>9.37m/d</w:t>
      </w:r>
      <w:r>
        <w:rPr>
          <w:color w:val="auto"/>
          <w:highlight w:val="none"/>
        </w:rPr>
        <w:t>，穿透时间</w:t>
      </w:r>
      <w:r>
        <w:rPr>
          <w:rFonts w:eastAsia="Times New Roman"/>
          <w:color w:val="auto"/>
          <w:highlight w:val="none"/>
        </w:rPr>
        <w:t>T</w:t>
      </w:r>
      <w:r>
        <w:rPr>
          <w:color w:val="auto"/>
          <w:highlight w:val="none"/>
        </w:rPr>
        <w:t>为</w:t>
      </w:r>
      <w:r>
        <w:rPr>
          <w:rFonts w:eastAsia="Times New Roman"/>
          <w:color w:val="auto"/>
          <w:highlight w:val="none"/>
        </w:rPr>
        <w:t>3.2d</w:t>
      </w:r>
      <w:r>
        <w:rPr>
          <w:color w:val="auto"/>
          <w:highlight w:val="none"/>
        </w:rPr>
        <w:t>。</w:t>
      </w:r>
    </w:p>
    <w:p w14:paraId="1D7AE816">
      <w:pPr>
        <w:pStyle w:val="729"/>
        <w:rPr>
          <w:color w:val="auto"/>
          <w:highlight w:val="none"/>
        </w:rPr>
      </w:pPr>
      <w:r>
        <w:rPr>
          <w:color w:val="auto"/>
          <w:highlight w:val="none"/>
        </w:rPr>
        <w:t>考虑到油类特性和包气带的粘滞性，认为石油类穿透包气带的时间为公式计算结果的</w:t>
      </w:r>
      <w:r>
        <w:rPr>
          <w:rFonts w:eastAsia="Times New Roman"/>
          <w:color w:val="auto"/>
          <w:highlight w:val="none"/>
        </w:rPr>
        <w:t>3</w:t>
      </w:r>
      <w:r>
        <w:rPr>
          <w:color w:val="auto"/>
          <w:highlight w:val="none"/>
        </w:rPr>
        <w:t>倍。因此，</w:t>
      </w:r>
      <w:r>
        <w:rPr>
          <w:rFonts w:hint="eastAsia"/>
          <w:color w:val="auto"/>
          <w:highlight w:val="none"/>
          <w:lang w:val="en-US" w:eastAsia="zh-CN"/>
        </w:rPr>
        <w:t>油车棚</w:t>
      </w:r>
      <w:r>
        <w:rPr>
          <w:color w:val="auto"/>
          <w:highlight w:val="none"/>
        </w:rPr>
        <w:t>渗水通量</w:t>
      </w:r>
      <w:r>
        <w:rPr>
          <w:rFonts w:eastAsia="Times New Roman"/>
          <w:color w:val="auto"/>
          <w:highlight w:val="none"/>
        </w:rPr>
        <w:t>q</w:t>
      </w:r>
      <w:r>
        <w:rPr>
          <w:color w:val="auto"/>
          <w:highlight w:val="none"/>
        </w:rPr>
        <w:t>为</w:t>
      </w:r>
      <w:r>
        <w:rPr>
          <w:rFonts w:eastAsia="Times New Roman"/>
          <w:color w:val="auto"/>
          <w:highlight w:val="none"/>
        </w:rPr>
        <w:t>28.11m/d</w:t>
      </w:r>
      <w:r>
        <w:rPr>
          <w:color w:val="auto"/>
          <w:highlight w:val="none"/>
        </w:rPr>
        <w:t>，穿透时间</w:t>
      </w:r>
      <w:r>
        <w:rPr>
          <w:rFonts w:eastAsia="Times New Roman"/>
          <w:color w:val="auto"/>
          <w:highlight w:val="none"/>
        </w:rPr>
        <w:t>T</w:t>
      </w:r>
      <w:r>
        <w:rPr>
          <w:color w:val="auto"/>
          <w:highlight w:val="none"/>
        </w:rPr>
        <w:t>为</w:t>
      </w:r>
      <w:r>
        <w:rPr>
          <w:rFonts w:eastAsia="Times New Roman"/>
          <w:color w:val="auto"/>
          <w:highlight w:val="none"/>
        </w:rPr>
        <w:t>9.6d</w:t>
      </w:r>
      <w:r>
        <w:rPr>
          <w:color w:val="auto"/>
          <w:highlight w:val="none"/>
        </w:rPr>
        <w:t>。</w:t>
      </w:r>
    </w:p>
    <w:p w14:paraId="5FDAE602">
      <w:pPr>
        <w:pStyle w:val="729"/>
        <w:rPr>
          <w:color w:val="auto"/>
          <w:highlight w:val="none"/>
        </w:rPr>
      </w:pPr>
      <w:r>
        <w:rPr>
          <w:color w:val="auto"/>
          <w:highlight w:val="none"/>
        </w:rPr>
        <w:t>可见，在一个监测周期内，非正常状况下</w:t>
      </w:r>
      <w:r>
        <w:rPr>
          <w:rFonts w:hint="eastAsia"/>
          <w:color w:val="auto"/>
          <w:highlight w:val="none"/>
        </w:rPr>
        <w:t>油车棚</w:t>
      </w:r>
      <w:r>
        <w:rPr>
          <w:color w:val="auto"/>
          <w:highlight w:val="none"/>
        </w:rPr>
        <w:t>渗漏的石油类在未采取任何防渗措施下穿透土壤层，到达地下含水层最短所需的时间为9.6d，所以需要采取措施降低非正常状况的发生率，并落实</w:t>
      </w:r>
      <w:r>
        <w:rPr>
          <w:rFonts w:hint="eastAsia"/>
          <w:color w:val="auto"/>
          <w:highlight w:val="none"/>
        </w:rPr>
        <w:t>油车棚</w:t>
      </w:r>
      <w:r>
        <w:rPr>
          <w:color w:val="auto"/>
          <w:highlight w:val="none"/>
        </w:rPr>
        <w:t>的防渗工程，将非正常状况下对土壤和地下水的污染程度降低到</w:t>
      </w:r>
      <w:r>
        <w:rPr>
          <w:rFonts w:hint="eastAsia"/>
          <w:color w:val="auto"/>
          <w:highlight w:val="none"/>
          <w:lang w:eastAsia="zh-CN"/>
        </w:rPr>
        <w:t>最低程度</w:t>
      </w:r>
      <w:r>
        <w:rPr>
          <w:color w:val="auto"/>
          <w:highlight w:val="none"/>
        </w:rPr>
        <w:t>。</w:t>
      </w:r>
    </w:p>
    <w:p w14:paraId="114FF0D5">
      <w:pPr>
        <w:pStyle w:val="729"/>
        <w:rPr>
          <w:color w:val="auto"/>
          <w:highlight w:val="none"/>
        </w:rPr>
      </w:pPr>
      <w:r>
        <w:rPr>
          <w:color w:val="auto"/>
          <w:highlight w:val="none"/>
        </w:rPr>
        <w:t>故在项目运营期间，需加强管理和监督检查，定期检查</w:t>
      </w:r>
      <w:r>
        <w:rPr>
          <w:rFonts w:hint="eastAsia"/>
          <w:color w:val="auto"/>
          <w:highlight w:val="none"/>
        </w:rPr>
        <w:t>油车棚</w:t>
      </w:r>
      <w:r>
        <w:rPr>
          <w:rFonts w:hint="eastAsia"/>
          <w:color w:val="auto"/>
          <w:highlight w:val="none"/>
          <w:lang w:val="en-US" w:eastAsia="zh-CN"/>
        </w:rPr>
        <w:t>内罐车</w:t>
      </w:r>
      <w:r>
        <w:rPr>
          <w:color w:val="auto"/>
          <w:highlight w:val="none"/>
        </w:rPr>
        <w:t>的破损或破裂情况，若发现有破损或破裂部位须及时进行修补，杜绝非正常情况的发生，避免污染物进入土壤及地下水含水层中。在项目做好防渗、定期监测、严格执行本次环评提出的污染防治措施的前提下本项目对土壤环境影响可接受。</w:t>
      </w:r>
    </w:p>
    <w:p w14:paraId="7462C699">
      <w:pPr>
        <w:pStyle w:val="729"/>
        <w:rPr>
          <w:rFonts w:hint="eastAsia"/>
          <w:color w:val="auto"/>
          <w:highlight w:val="none"/>
          <w:lang w:eastAsia="zh-CN"/>
        </w:rPr>
      </w:pPr>
      <w:r>
        <w:rPr>
          <w:color w:val="auto"/>
          <w:highlight w:val="none"/>
        </w:rPr>
        <w:t>综上，本项目正常工况下无废水及固废等污染物外排，不会造成土壤环境污染。非正常工况下，如果发生</w:t>
      </w:r>
      <w:r>
        <w:rPr>
          <w:rFonts w:hint="eastAsia"/>
          <w:color w:val="auto"/>
          <w:highlight w:val="none"/>
        </w:rPr>
        <w:t>油车棚油类物质</w:t>
      </w:r>
      <w:r>
        <w:rPr>
          <w:color w:val="auto"/>
          <w:highlight w:val="none"/>
        </w:rPr>
        <w:t>泄漏等事故，泄漏的油类物质会对土壤环境产生一定的影响，覆盖于地表可使土壤透气性下降、土壤理化性状发生变化。泄漏的油品如果进入土壤，从而使土壤质地、结构发生改变，</w:t>
      </w:r>
      <w:r>
        <w:rPr>
          <w:rFonts w:hint="eastAsia"/>
          <w:color w:val="auto"/>
          <w:highlight w:val="none"/>
          <w:lang w:eastAsia="zh-CN"/>
        </w:rPr>
        <w:t>影响</w:t>
      </w:r>
      <w:r>
        <w:rPr>
          <w:color w:val="auto"/>
          <w:highlight w:val="none"/>
        </w:rPr>
        <w:t>土地功能，进而影响地表植被的生长。根据环境风险分析可知，本项目风险潜势很低，发生泄漏事故的可能性很小，在做好源头控制、过程防控等措施的前提下，可避免项目实施对土壤环境产生污染影响</w:t>
      </w:r>
      <w:r>
        <w:rPr>
          <w:rFonts w:hint="eastAsia"/>
          <w:color w:val="auto"/>
          <w:highlight w:val="none"/>
          <w:lang w:eastAsia="zh-CN"/>
        </w:rPr>
        <w:t>。</w:t>
      </w:r>
    </w:p>
    <w:p w14:paraId="6CE1F412">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土壤环境影响评价自查表</w:t>
      </w:r>
    </w:p>
    <w:p w14:paraId="64B21FBD">
      <w:pPr>
        <w:pStyle w:val="729"/>
        <w:rPr>
          <w:color w:val="auto"/>
          <w:highlight w:val="none"/>
        </w:rPr>
      </w:pPr>
      <w:r>
        <w:rPr>
          <w:color w:val="auto"/>
          <w:highlight w:val="none"/>
        </w:rPr>
        <w:t>本项目土壤环境影响评价自查表，见表5-7-3。</w:t>
      </w:r>
    </w:p>
    <w:p w14:paraId="5189F5DE">
      <w:pPr>
        <w:pStyle w:val="683"/>
        <w:spacing w:before="0" w:after="0" w:line="360" w:lineRule="auto"/>
        <w:rPr>
          <w:rFonts w:eastAsia="黑体"/>
          <w:b w:val="0"/>
          <w:color w:val="auto"/>
          <w:sz w:val="21"/>
          <w:highlight w:val="none"/>
        </w:rPr>
      </w:pPr>
      <w:r>
        <w:rPr>
          <w:rFonts w:eastAsia="黑体"/>
          <w:b w:val="0"/>
          <w:color w:val="auto"/>
          <w:sz w:val="21"/>
          <w:highlight w:val="none"/>
        </w:rPr>
        <w:t>表5-7-3  土壤环境影响评价自查表</w:t>
      </w:r>
    </w:p>
    <w:tbl>
      <w:tblPr>
        <w:tblStyle w:val="5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
        <w:gridCol w:w="1491"/>
        <w:gridCol w:w="1172"/>
        <w:gridCol w:w="370"/>
        <w:gridCol w:w="741"/>
        <w:gridCol w:w="804"/>
        <w:gridCol w:w="307"/>
        <w:gridCol w:w="2359"/>
        <w:gridCol w:w="1102"/>
      </w:tblGrid>
      <w:tr w14:paraId="0A81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8" w:type="pct"/>
            <w:gridSpan w:val="2"/>
            <w:vAlign w:val="center"/>
          </w:tcPr>
          <w:p w14:paraId="557DB490">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工作内容</w:t>
            </w:r>
          </w:p>
        </w:tc>
        <w:tc>
          <w:tcPr>
            <w:tcW w:w="3300" w:type="pct"/>
            <w:gridSpan w:val="6"/>
            <w:vAlign w:val="center"/>
          </w:tcPr>
          <w:p w14:paraId="750C1C8F">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完成情况</w:t>
            </w:r>
          </w:p>
        </w:tc>
        <w:tc>
          <w:tcPr>
            <w:tcW w:w="631" w:type="pct"/>
            <w:vAlign w:val="center"/>
          </w:tcPr>
          <w:p w14:paraId="3FE8B8AB">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备注</w:t>
            </w:r>
          </w:p>
        </w:tc>
      </w:tr>
      <w:tr w14:paraId="0654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restart"/>
            <w:vAlign w:val="center"/>
          </w:tcPr>
          <w:p w14:paraId="19EB9E88">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影响识别</w:t>
            </w:r>
          </w:p>
        </w:tc>
        <w:tc>
          <w:tcPr>
            <w:tcW w:w="855" w:type="pct"/>
            <w:vAlign w:val="center"/>
          </w:tcPr>
          <w:p w14:paraId="3FE2A581">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影响类型</w:t>
            </w:r>
          </w:p>
        </w:tc>
        <w:tc>
          <w:tcPr>
            <w:tcW w:w="3300" w:type="pct"/>
            <w:gridSpan w:val="6"/>
            <w:vAlign w:val="center"/>
          </w:tcPr>
          <w:p w14:paraId="4CC65732">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污染影响型</w:t>
            </w:r>
            <w:r>
              <w:rPr>
                <w:rFonts w:hint="default" w:ascii="Times New Roman" w:hAnsi="Times New Roman" w:eastAsia="宋体" w:cs="Times New Roman"/>
                <w:color w:val="auto"/>
                <w:kern w:val="2"/>
                <w:sz w:val="21"/>
                <w:szCs w:val="21"/>
                <w:highlight w:val="none"/>
                <w:lang w:val="en-US" w:eastAsia="zh-CN" w:bidi="ar-SA"/>
              </w:rPr>
              <w:sym w:font="Wingdings 2" w:char="0052"/>
            </w:r>
            <w:r>
              <w:rPr>
                <w:rFonts w:hint="default" w:ascii="Times New Roman" w:hAnsi="Times New Roman" w:eastAsia="宋体" w:cs="Times New Roman"/>
                <w:color w:val="auto"/>
                <w:kern w:val="2"/>
                <w:sz w:val="21"/>
                <w:szCs w:val="21"/>
                <w:highlight w:val="none"/>
                <w:lang w:val="en-US" w:eastAsia="zh-CN" w:bidi="ar-SA"/>
              </w:rPr>
              <w:t>；生态影响型□；两种兼有 □</w:t>
            </w:r>
          </w:p>
        </w:tc>
        <w:tc>
          <w:tcPr>
            <w:tcW w:w="631" w:type="pct"/>
            <w:vAlign w:val="center"/>
          </w:tcPr>
          <w:p w14:paraId="341282BC">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5B99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05F56A84">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Align w:val="center"/>
          </w:tcPr>
          <w:p w14:paraId="6950AE01">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土地利用类型</w:t>
            </w:r>
          </w:p>
        </w:tc>
        <w:tc>
          <w:tcPr>
            <w:tcW w:w="3300" w:type="pct"/>
            <w:gridSpan w:val="6"/>
            <w:vAlign w:val="center"/>
          </w:tcPr>
          <w:p w14:paraId="6210E83A">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建设用地□；农用地</w:t>
            </w:r>
            <w:r>
              <w:rPr>
                <w:rFonts w:hint="default" w:ascii="Times New Roman" w:hAnsi="Times New Roman" w:eastAsia="宋体" w:cs="Times New Roman"/>
                <w:color w:val="auto"/>
                <w:kern w:val="2"/>
                <w:sz w:val="21"/>
                <w:szCs w:val="21"/>
                <w:highlight w:val="none"/>
                <w:lang w:val="en-US" w:eastAsia="zh-CN" w:bidi="ar-SA"/>
              </w:rPr>
              <w:sym w:font="Wingdings 2" w:char="0052"/>
            </w:r>
            <w:r>
              <w:rPr>
                <w:rFonts w:hint="default" w:ascii="Times New Roman" w:hAnsi="Times New Roman" w:eastAsia="宋体" w:cs="Times New Roman"/>
                <w:color w:val="auto"/>
                <w:kern w:val="2"/>
                <w:sz w:val="21"/>
                <w:szCs w:val="21"/>
                <w:highlight w:val="none"/>
                <w:lang w:val="en-US" w:eastAsia="zh-CN" w:bidi="ar-SA"/>
              </w:rPr>
              <w:t>；未利用地</w:t>
            </w:r>
            <w:r>
              <w:rPr>
                <w:rFonts w:hint="default" w:ascii="Times New Roman" w:hAnsi="Times New Roman" w:eastAsia="宋体" w:cs="Times New Roman"/>
                <w:color w:val="auto"/>
                <w:kern w:val="2"/>
                <w:sz w:val="21"/>
                <w:szCs w:val="21"/>
                <w:highlight w:val="none"/>
                <w:lang w:val="en-US" w:eastAsia="zh-CN" w:bidi="ar-SA"/>
              </w:rPr>
              <w:sym w:font="Wingdings 2" w:char="00A3"/>
            </w:r>
          </w:p>
        </w:tc>
        <w:tc>
          <w:tcPr>
            <w:tcW w:w="631" w:type="pct"/>
            <w:vAlign w:val="center"/>
          </w:tcPr>
          <w:p w14:paraId="60A2ACC6">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土地利用类型图</w:t>
            </w:r>
          </w:p>
        </w:tc>
      </w:tr>
      <w:tr w14:paraId="273E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22F3CCB3">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Align w:val="center"/>
          </w:tcPr>
          <w:p w14:paraId="32C277B6">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占地规模</w:t>
            </w:r>
          </w:p>
        </w:tc>
        <w:tc>
          <w:tcPr>
            <w:tcW w:w="3300" w:type="pct"/>
            <w:gridSpan w:val="6"/>
            <w:vAlign w:val="center"/>
          </w:tcPr>
          <w:p w14:paraId="0EB6BBED">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（0.65</w:t>
            </w:r>
            <w:r>
              <w:rPr>
                <w:rFonts w:hint="eastAsia"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km</w:t>
            </w:r>
            <w:bookmarkStart w:id="285" w:name="_Toc374724194"/>
            <w:r>
              <w:rPr>
                <w:rFonts w:hint="default" w:ascii="Times New Roman" w:hAnsi="Times New Roman" w:eastAsia="宋体" w:cs="Times New Roman"/>
                <w:color w:val="auto"/>
                <w:kern w:val="2"/>
                <w:sz w:val="21"/>
                <w:szCs w:val="21"/>
                <w:highlight w:val="none"/>
                <w:vertAlign w:val="superscript"/>
                <w:lang w:val="en-US" w:eastAsia="zh-CN" w:bidi="ar-SA"/>
              </w:rPr>
              <w:t>2</w:t>
            </w:r>
          </w:p>
        </w:tc>
        <w:tc>
          <w:tcPr>
            <w:tcW w:w="631" w:type="pct"/>
            <w:vAlign w:val="center"/>
          </w:tcPr>
          <w:p w14:paraId="7C0C39B8">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w:t>
            </w:r>
            <w:r>
              <w:rPr>
                <w:rFonts w:hint="default" w:ascii="Times New Roman" w:hAnsi="Times New Roman" w:eastAsia="宋体" w:cs="Times New Roman"/>
                <w:color w:val="auto"/>
                <w:kern w:val="2"/>
                <w:sz w:val="21"/>
                <w:szCs w:val="21"/>
                <w:highlight w:val="none"/>
                <w:lang w:val="en-US" w:eastAsia="zh-CN" w:bidi="ar-SA"/>
              </w:rPr>
              <w:t>期</w:t>
            </w:r>
          </w:p>
        </w:tc>
      </w:tr>
      <w:tr w14:paraId="29ED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6158D8B1">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Align w:val="center"/>
          </w:tcPr>
          <w:p w14:paraId="7C6F04AF">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敏感目标信息</w:t>
            </w:r>
          </w:p>
        </w:tc>
        <w:tc>
          <w:tcPr>
            <w:tcW w:w="3300" w:type="pct"/>
            <w:gridSpan w:val="6"/>
            <w:vAlign w:val="center"/>
          </w:tcPr>
          <w:p w14:paraId="5E9CD4AC">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敏感目标（</w:t>
            </w:r>
            <w:r>
              <w:rPr>
                <w:rFonts w:hint="eastAsia" w:ascii="Times New Roman" w:hAnsi="Times New Roman" w:eastAsia="宋体" w:cs="Times New Roman"/>
                <w:color w:val="auto"/>
                <w:kern w:val="2"/>
                <w:sz w:val="21"/>
                <w:szCs w:val="21"/>
                <w:highlight w:val="none"/>
                <w:lang w:val="en-US" w:eastAsia="zh-CN" w:bidi="ar-SA"/>
              </w:rPr>
              <w:t>耕地</w:t>
            </w:r>
            <w:r>
              <w:rPr>
                <w:rFonts w:hint="default" w:ascii="Times New Roman" w:hAnsi="Times New Roman" w:eastAsia="宋体" w:cs="Times New Roman"/>
                <w:color w:val="auto"/>
                <w:kern w:val="2"/>
                <w:sz w:val="21"/>
                <w:szCs w:val="21"/>
                <w:highlight w:val="none"/>
                <w:lang w:val="en-US" w:eastAsia="zh-CN" w:bidi="ar-SA"/>
              </w:rPr>
              <w:t>）、方位（</w:t>
            </w:r>
            <w:r>
              <w:rPr>
                <w:rFonts w:hint="eastAsia" w:ascii="Times New Roman" w:hAnsi="Times New Roman" w:eastAsia="宋体" w:cs="Times New Roman"/>
                <w:color w:val="auto"/>
                <w:kern w:val="2"/>
                <w:sz w:val="21"/>
                <w:szCs w:val="21"/>
                <w:highlight w:val="none"/>
                <w:lang w:val="en-US" w:eastAsia="zh-CN" w:bidi="ar-SA"/>
              </w:rPr>
              <w:t>项目区</w:t>
            </w:r>
            <w:r>
              <w:rPr>
                <w:rFonts w:hint="default" w:ascii="Times New Roman" w:hAnsi="Times New Roman" w:eastAsia="宋体" w:cs="Times New Roman"/>
                <w:color w:val="auto"/>
                <w:kern w:val="2"/>
                <w:sz w:val="21"/>
                <w:szCs w:val="21"/>
                <w:highlight w:val="none"/>
                <w:lang w:val="en-US" w:eastAsia="zh-CN" w:bidi="ar-SA"/>
              </w:rPr>
              <w:t>）、距离（</w:t>
            </w:r>
            <w:r>
              <w:rPr>
                <w:rFonts w:hint="eastAsia" w:ascii="Times New Roman" w:hAnsi="Times New Roman" w:eastAsia="宋体"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w:t>
            </w:r>
          </w:p>
        </w:tc>
        <w:tc>
          <w:tcPr>
            <w:tcW w:w="631" w:type="pct"/>
            <w:vAlign w:val="center"/>
          </w:tcPr>
          <w:p w14:paraId="0DC638E8">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303FB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200A1C1C">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Align w:val="center"/>
          </w:tcPr>
          <w:p w14:paraId="0C2671BD">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影响途径</w:t>
            </w:r>
          </w:p>
        </w:tc>
        <w:tc>
          <w:tcPr>
            <w:tcW w:w="3300" w:type="pct"/>
            <w:gridSpan w:val="6"/>
            <w:vAlign w:val="center"/>
          </w:tcPr>
          <w:p w14:paraId="52CFC5FD">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大气沉降 □；地面漫流 □；垂直入渗</w:t>
            </w:r>
            <w:r>
              <w:rPr>
                <w:rFonts w:hint="default" w:ascii="Times New Roman" w:hAnsi="Times New Roman" w:eastAsia="宋体" w:cs="Times New Roman"/>
                <w:color w:val="auto"/>
                <w:kern w:val="2"/>
                <w:sz w:val="21"/>
                <w:szCs w:val="21"/>
                <w:highlight w:val="none"/>
                <w:lang w:val="en-US" w:eastAsia="zh-CN" w:bidi="ar-SA"/>
              </w:rPr>
              <w:sym w:font="Wingdings 2" w:char="0052"/>
            </w:r>
            <w:r>
              <w:rPr>
                <w:rFonts w:hint="default" w:ascii="Times New Roman" w:hAnsi="Times New Roman" w:eastAsia="宋体" w:cs="Times New Roman"/>
                <w:color w:val="auto"/>
                <w:kern w:val="2"/>
                <w:sz w:val="21"/>
                <w:szCs w:val="21"/>
                <w:highlight w:val="none"/>
                <w:lang w:val="en-US" w:eastAsia="zh-CN" w:bidi="ar-SA"/>
              </w:rPr>
              <w:t>；地下水位 □；其他（）</w:t>
            </w:r>
          </w:p>
        </w:tc>
        <w:tc>
          <w:tcPr>
            <w:tcW w:w="631" w:type="pct"/>
            <w:vAlign w:val="center"/>
          </w:tcPr>
          <w:p w14:paraId="420A47A9">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38F0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06ACD92E">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Align w:val="center"/>
          </w:tcPr>
          <w:p w14:paraId="25D32247">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全部污染物</w:t>
            </w:r>
          </w:p>
        </w:tc>
        <w:tc>
          <w:tcPr>
            <w:tcW w:w="3300" w:type="pct"/>
            <w:gridSpan w:val="6"/>
            <w:vAlign w:val="center"/>
          </w:tcPr>
          <w:p w14:paraId="5431EC22">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石油类</w:t>
            </w:r>
          </w:p>
        </w:tc>
        <w:tc>
          <w:tcPr>
            <w:tcW w:w="631" w:type="pct"/>
            <w:vAlign w:val="center"/>
          </w:tcPr>
          <w:p w14:paraId="57D4B3A1">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6639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427D4EF9">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Align w:val="center"/>
          </w:tcPr>
          <w:p w14:paraId="469E7354">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特征因子</w:t>
            </w:r>
          </w:p>
        </w:tc>
        <w:tc>
          <w:tcPr>
            <w:tcW w:w="3300" w:type="pct"/>
            <w:gridSpan w:val="6"/>
            <w:vAlign w:val="center"/>
          </w:tcPr>
          <w:p w14:paraId="38336520">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石油烃</w:t>
            </w:r>
          </w:p>
        </w:tc>
        <w:tc>
          <w:tcPr>
            <w:tcW w:w="631" w:type="pct"/>
            <w:vAlign w:val="center"/>
          </w:tcPr>
          <w:p w14:paraId="3E5F8F8D">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3F50B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4560D7C8">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Align w:val="center"/>
          </w:tcPr>
          <w:p w14:paraId="6B7092E9">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所属土壤环境影响评价项目类别</w:t>
            </w:r>
          </w:p>
        </w:tc>
        <w:tc>
          <w:tcPr>
            <w:tcW w:w="3300" w:type="pct"/>
            <w:gridSpan w:val="6"/>
            <w:vAlign w:val="center"/>
          </w:tcPr>
          <w:p w14:paraId="16B52241">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Ⅰ类□； Ⅱ类 </w:t>
            </w:r>
            <w:r>
              <w:rPr>
                <w:rFonts w:hint="default" w:ascii="Times New Roman" w:hAnsi="Times New Roman" w:eastAsia="宋体" w:cs="Times New Roman"/>
                <w:color w:val="auto"/>
                <w:kern w:val="2"/>
                <w:sz w:val="21"/>
                <w:szCs w:val="21"/>
                <w:highlight w:val="none"/>
                <w:lang w:val="en-US" w:eastAsia="zh-CN" w:bidi="ar-SA"/>
              </w:rPr>
              <w:sym w:font="Wingdings 2" w:char="0052"/>
            </w:r>
            <w:r>
              <w:rPr>
                <w:rFonts w:hint="default" w:ascii="Times New Roman" w:hAnsi="Times New Roman" w:eastAsia="宋体" w:cs="Times New Roman"/>
                <w:color w:val="auto"/>
                <w:kern w:val="2"/>
                <w:sz w:val="21"/>
                <w:szCs w:val="21"/>
                <w:highlight w:val="none"/>
                <w:lang w:val="en-US" w:eastAsia="zh-CN" w:bidi="ar-SA"/>
              </w:rPr>
              <w:t>； Ⅲ类 □； Ⅳ类 □</w:t>
            </w:r>
          </w:p>
        </w:tc>
        <w:tc>
          <w:tcPr>
            <w:tcW w:w="631" w:type="pct"/>
            <w:vAlign w:val="center"/>
          </w:tcPr>
          <w:p w14:paraId="61997C5D">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78803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79ADC246">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Align w:val="center"/>
          </w:tcPr>
          <w:p w14:paraId="399EDB36">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敏感程度</w:t>
            </w:r>
          </w:p>
        </w:tc>
        <w:tc>
          <w:tcPr>
            <w:tcW w:w="3300" w:type="pct"/>
            <w:gridSpan w:val="6"/>
            <w:vAlign w:val="center"/>
          </w:tcPr>
          <w:p w14:paraId="4451234B">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敏感</w:t>
            </w:r>
            <w:r>
              <w:rPr>
                <w:rFonts w:hint="default" w:ascii="Times New Roman" w:hAnsi="Times New Roman" w:eastAsia="宋体" w:cs="Times New Roman"/>
                <w:color w:val="auto"/>
                <w:kern w:val="2"/>
                <w:sz w:val="21"/>
                <w:szCs w:val="21"/>
                <w:highlight w:val="none"/>
                <w:lang w:val="en-US" w:eastAsia="zh-CN" w:bidi="ar-SA"/>
              </w:rPr>
              <w:sym w:font="Wingdings 2" w:char="0052"/>
            </w:r>
            <w:r>
              <w:rPr>
                <w:rFonts w:hint="default" w:ascii="Times New Roman" w:hAnsi="Times New Roman" w:eastAsia="宋体" w:cs="Times New Roman"/>
                <w:color w:val="auto"/>
                <w:kern w:val="2"/>
                <w:sz w:val="21"/>
                <w:szCs w:val="21"/>
                <w:highlight w:val="none"/>
                <w:lang w:val="en-US" w:eastAsia="zh-CN" w:bidi="ar-SA"/>
              </w:rPr>
              <w:t>；较敏感□；不敏感□</w:t>
            </w:r>
          </w:p>
        </w:tc>
        <w:tc>
          <w:tcPr>
            <w:tcW w:w="631" w:type="pct"/>
            <w:vAlign w:val="center"/>
          </w:tcPr>
          <w:p w14:paraId="6117C745">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2BC9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8" w:type="pct"/>
            <w:gridSpan w:val="2"/>
            <w:vAlign w:val="center"/>
          </w:tcPr>
          <w:p w14:paraId="59CC460A">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评价工作等级</w:t>
            </w:r>
          </w:p>
        </w:tc>
        <w:tc>
          <w:tcPr>
            <w:tcW w:w="3300" w:type="pct"/>
            <w:gridSpan w:val="6"/>
            <w:vAlign w:val="center"/>
          </w:tcPr>
          <w:p w14:paraId="346A578A">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一级□；二级</w:t>
            </w:r>
            <w:r>
              <w:rPr>
                <w:rFonts w:hint="default" w:ascii="Times New Roman" w:hAnsi="Times New Roman" w:eastAsia="宋体" w:cs="Times New Roman"/>
                <w:color w:val="auto"/>
                <w:kern w:val="2"/>
                <w:sz w:val="21"/>
                <w:szCs w:val="21"/>
                <w:highlight w:val="none"/>
                <w:lang w:val="en-US" w:eastAsia="zh-CN" w:bidi="ar-SA"/>
              </w:rPr>
              <w:sym w:font="Wingdings 2" w:char="0052"/>
            </w:r>
            <w:r>
              <w:rPr>
                <w:rFonts w:hint="default" w:ascii="Times New Roman" w:hAnsi="Times New Roman" w:eastAsia="宋体" w:cs="Times New Roman"/>
                <w:color w:val="auto"/>
                <w:kern w:val="2"/>
                <w:sz w:val="21"/>
                <w:szCs w:val="21"/>
                <w:highlight w:val="none"/>
                <w:lang w:val="en-US" w:eastAsia="zh-CN" w:bidi="ar-SA"/>
              </w:rPr>
              <w:t>；三级 □</w:t>
            </w:r>
          </w:p>
        </w:tc>
        <w:tc>
          <w:tcPr>
            <w:tcW w:w="631" w:type="pct"/>
            <w:vAlign w:val="center"/>
          </w:tcPr>
          <w:p w14:paraId="69DE7B78">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5182F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restart"/>
            <w:vAlign w:val="center"/>
          </w:tcPr>
          <w:p w14:paraId="24B3AD8F">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现状调查内容</w:t>
            </w:r>
          </w:p>
        </w:tc>
        <w:tc>
          <w:tcPr>
            <w:tcW w:w="855" w:type="pct"/>
            <w:vAlign w:val="center"/>
          </w:tcPr>
          <w:p w14:paraId="0F23B328">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资料收集</w:t>
            </w:r>
          </w:p>
        </w:tc>
        <w:tc>
          <w:tcPr>
            <w:tcW w:w="3300" w:type="pct"/>
            <w:gridSpan w:val="6"/>
            <w:vAlign w:val="center"/>
          </w:tcPr>
          <w:p w14:paraId="471B682F">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a</w:t>
            </w:r>
            <w:r>
              <w:rPr>
                <w:rFonts w:hint="eastAsia"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 xml:space="preserve"> </w:t>
            </w:r>
            <w:r>
              <w:rPr>
                <w:rFonts w:hint="default" w:ascii="Times New Roman" w:hAnsi="Times New Roman" w:eastAsia="宋体" w:cs="Times New Roman"/>
                <w:color w:val="auto"/>
                <w:kern w:val="2"/>
                <w:sz w:val="21"/>
                <w:szCs w:val="21"/>
                <w:highlight w:val="none"/>
                <w:lang w:val="en-US" w:eastAsia="zh-CN" w:bidi="ar-SA"/>
              </w:rPr>
              <w:sym w:font="Wingdings 2" w:char="0052"/>
            </w:r>
            <w:r>
              <w:rPr>
                <w:rFonts w:hint="eastAsia"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 xml:space="preserve"> b</w:t>
            </w:r>
            <w:r>
              <w:rPr>
                <w:rFonts w:hint="eastAsia"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 xml:space="preserve"> </w:t>
            </w:r>
            <w:r>
              <w:rPr>
                <w:rFonts w:hint="default" w:ascii="Times New Roman" w:hAnsi="Times New Roman" w:eastAsia="宋体" w:cs="Times New Roman"/>
                <w:color w:val="auto"/>
                <w:kern w:val="2"/>
                <w:sz w:val="21"/>
                <w:szCs w:val="21"/>
                <w:highlight w:val="none"/>
                <w:lang w:val="en-US" w:eastAsia="zh-CN" w:bidi="ar-SA"/>
              </w:rPr>
              <w:sym w:font="Wingdings 2" w:char="0052"/>
            </w:r>
            <w:r>
              <w:rPr>
                <w:rFonts w:hint="eastAsia"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 xml:space="preserve"> c</w:t>
            </w:r>
            <w:r>
              <w:rPr>
                <w:rFonts w:hint="eastAsia"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 xml:space="preserve"> </w:t>
            </w:r>
            <w:r>
              <w:rPr>
                <w:rFonts w:hint="default" w:ascii="Times New Roman" w:hAnsi="Times New Roman" w:eastAsia="宋体" w:cs="Times New Roman"/>
                <w:color w:val="auto"/>
                <w:kern w:val="2"/>
                <w:sz w:val="21"/>
                <w:szCs w:val="21"/>
                <w:highlight w:val="none"/>
                <w:lang w:val="en-US" w:eastAsia="zh-CN" w:bidi="ar-SA"/>
              </w:rPr>
              <w:sym w:font="Wingdings 2" w:char="0052"/>
            </w:r>
            <w:r>
              <w:rPr>
                <w:rFonts w:hint="eastAsia"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 xml:space="preserve"> d</w:t>
            </w:r>
            <w:r>
              <w:rPr>
                <w:rFonts w:hint="eastAsia"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 xml:space="preserve"> □ </w:t>
            </w:r>
          </w:p>
        </w:tc>
        <w:tc>
          <w:tcPr>
            <w:tcW w:w="631" w:type="pct"/>
            <w:vAlign w:val="center"/>
          </w:tcPr>
          <w:p w14:paraId="0BA6B737">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3D56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22FFE637">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Align w:val="center"/>
          </w:tcPr>
          <w:p w14:paraId="7EB75B4E">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理化特性</w:t>
            </w:r>
          </w:p>
        </w:tc>
        <w:tc>
          <w:tcPr>
            <w:tcW w:w="3300" w:type="pct"/>
            <w:gridSpan w:val="6"/>
            <w:vAlign w:val="center"/>
          </w:tcPr>
          <w:p w14:paraId="52A56B3C">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631" w:type="pct"/>
            <w:vAlign w:val="center"/>
          </w:tcPr>
          <w:p w14:paraId="23A35D33">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同附录 C</w:t>
            </w:r>
          </w:p>
        </w:tc>
      </w:tr>
      <w:tr w14:paraId="07ADB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182AA5CC">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Merge w:val="restart"/>
            <w:vAlign w:val="center"/>
          </w:tcPr>
          <w:p w14:paraId="1595DB36">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现状监测点位</w:t>
            </w:r>
          </w:p>
        </w:tc>
        <w:tc>
          <w:tcPr>
            <w:tcW w:w="673" w:type="pct"/>
            <w:vAlign w:val="center"/>
          </w:tcPr>
          <w:p w14:paraId="4866B852">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637" w:type="pct"/>
            <w:gridSpan w:val="2"/>
            <w:vAlign w:val="center"/>
          </w:tcPr>
          <w:p w14:paraId="7E173BBC">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占地范围内</w:t>
            </w:r>
          </w:p>
        </w:tc>
        <w:tc>
          <w:tcPr>
            <w:tcW w:w="637" w:type="pct"/>
            <w:gridSpan w:val="2"/>
            <w:vAlign w:val="center"/>
          </w:tcPr>
          <w:p w14:paraId="5C5C18AC">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占地范围外</w:t>
            </w:r>
          </w:p>
        </w:tc>
        <w:tc>
          <w:tcPr>
            <w:tcW w:w="1351" w:type="pct"/>
            <w:vAlign w:val="center"/>
          </w:tcPr>
          <w:p w14:paraId="505B6817">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深度</w:t>
            </w:r>
          </w:p>
        </w:tc>
        <w:tc>
          <w:tcPr>
            <w:tcW w:w="631" w:type="pct"/>
            <w:vMerge w:val="restart"/>
            <w:vAlign w:val="center"/>
          </w:tcPr>
          <w:p w14:paraId="24851DE2">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点位</w:t>
            </w:r>
          </w:p>
          <w:p w14:paraId="42238F02">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布置图</w:t>
            </w:r>
          </w:p>
        </w:tc>
      </w:tr>
      <w:tr w14:paraId="66964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73D0D38F">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Merge w:val="continue"/>
            <w:vAlign w:val="center"/>
          </w:tcPr>
          <w:p w14:paraId="2388EF3D">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673" w:type="pct"/>
            <w:vAlign w:val="center"/>
          </w:tcPr>
          <w:p w14:paraId="388413DC">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表层样点数</w:t>
            </w:r>
          </w:p>
        </w:tc>
        <w:tc>
          <w:tcPr>
            <w:tcW w:w="637" w:type="pct"/>
            <w:gridSpan w:val="2"/>
            <w:vAlign w:val="center"/>
          </w:tcPr>
          <w:p w14:paraId="4631A1B2">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c>
          <w:tcPr>
            <w:tcW w:w="637" w:type="pct"/>
            <w:gridSpan w:val="2"/>
            <w:vAlign w:val="center"/>
          </w:tcPr>
          <w:p w14:paraId="79EA192D">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w:t>
            </w:r>
          </w:p>
        </w:tc>
        <w:tc>
          <w:tcPr>
            <w:tcW w:w="1351" w:type="pct"/>
            <w:vAlign w:val="center"/>
          </w:tcPr>
          <w:p w14:paraId="356703F7">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20cm</w:t>
            </w:r>
          </w:p>
        </w:tc>
        <w:tc>
          <w:tcPr>
            <w:tcW w:w="631" w:type="pct"/>
            <w:vMerge w:val="continue"/>
            <w:vAlign w:val="center"/>
          </w:tcPr>
          <w:p w14:paraId="60F0CF85">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5552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50D17046">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Merge w:val="continue"/>
            <w:vAlign w:val="center"/>
          </w:tcPr>
          <w:p w14:paraId="0F2CF26F">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673" w:type="pct"/>
            <w:vAlign w:val="center"/>
          </w:tcPr>
          <w:p w14:paraId="03B9482D">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柱状样点数</w:t>
            </w:r>
          </w:p>
        </w:tc>
        <w:tc>
          <w:tcPr>
            <w:tcW w:w="637" w:type="pct"/>
            <w:gridSpan w:val="2"/>
            <w:vAlign w:val="center"/>
          </w:tcPr>
          <w:p w14:paraId="12201E74">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w:t>
            </w:r>
          </w:p>
        </w:tc>
        <w:tc>
          <w:tcPr>
            <w:tcW w:w="637" w:type="pct"/>
            <w:gridSpan w:val="2"/>
            <w:vAlign w:val="center"/>
          </w:tcPr>
          <w:p w14:paraId="46F5CCBC">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p>
        </w:tc>
        <w:tc>
          <w:tcPr>
            <w:tcW w:w="1351" w:type="pct"/>
            <w:vAlign w:val="center"/>
          </w:tcPr>
          <w:p w14:paraId="6C6AB6EF">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0~0.5m</w:t>
            </w:r>
            <w:r>
              <w:rPr>
                <w:rFonts w:hint="eastAsia"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0.5~1.5m</w:t>
            </w:r>
            <w:r>
              <w:rPr>
                <w:rFonts w:hint="eastAsia"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1.5~3m</w:t>
            </w:r>
          </w:p>
        </w:tc>
        <w:tc>
          <w:tcPr>
            <w:tcW w:w="631" w:type="pct"/>
            <w:vMerge w:val="continue"/>
            <w:vAlign w:val="center"/>
          </w:tcPr>
          <w:p w14:paraId="53032C43">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55D4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00C6B4B4">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Align w:val="center"/>
          </w:tcPr>
          <w:p w14:paraId="7D2D8EC9">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现状监测因子</w:t>
            </w:r>
          </w:p>
        </w:tc>
        <w:tc>
          <w:tcPr>
            <w:tcW w:w="3300" w:type="pct"/>
            <w:gridSpan w:val="6"/>
            <w:vAlign w:val="center"/>
          </w:tcPr>
          <w:p w14:paraId="0A4D6F9E">
            <w:pPr>
              <w:keepNext w:val="0"/>
              <w:keepLines w:val="0"/>
              <w:widowControl w:val="0"/>
              <w:suppressLineNumbers w:val="0"/>
              <w:adjustRightInd w:val="0"/>
              <w:snapToGrid w:val="0"/>
              <w:spacing w:before="0" w:beforeAutospacing="0" w:after="0" w:afterAutospacing="0" w:line="280" w:lineRule="exact"/>
              <w:ind w:left="-28" w:right="-28" w:firstLine="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《土壤环境质量 建设用地土壤污染风险管控标准（试行）》（GB36600-2018）中基本项目45项和pH、石油烃；《土壤环境质量 农用地土壤污染风险管控标准（试行）》（GB15618-2018）中基本项目8项和pH、石油烃</w:t>
            </w:r>
          </w:p>
        </w:tc>
        <w:tc>
          <w:tcPr>
            <w:tcW w:w="631" w:type="pct"/>
            <w:vAlign w:val="center"/>
          </w:tcPr>
          <w:p w14:paraId="03560F93">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714D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restart"/>
            <w:vAlign w:val="center"/>
          </w:tcPr>
          <w:p w14:paraId="69501D27">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现状评价</w:t>
            </w:r>
          </w:p>
        </w:tc>
        <w:tc>
          <w:tcPr>
            <w:tcW w:w="855" w:type="pct"/>
            <w:vAlign w:val="center"/>
          </w:tcPr>
          <w:p w14:paraId="4B981340">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评价因子</w:t>
            </w:r>
          </w:p>
        </w:tc>
        <w:tc>
          <w:tcPr>
            <w:tcW w:w="3300" w:type="pct"/>
            <w:gridSpan w:val="6"/>
            <w:vAlign w:val="center"/>
          </w:tcPr>
          <w:p w14:paraId="1AAC84DA">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石油烃</w:t>
            </w:r>
          </w:p>
        </w:tc>
        <w:tc>
          <w:tcPr>
            <w:tcW w:w="631" w:type="pct"/>
            <w:vAlign w:val="center"/>
          </w:tcPr>
          <w:p w14:paraId="601CF2A8">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6AEE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1AB22AF9">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Align w:val="center"/>
          </w:tcPr>
          <w:p w14:paraId="64B9B21A">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评价标准</w:t>
            </w:r>
          </w:p>
        </w:tc>
        <w:tc>
          <w:tcPr>
            <w:tcW w:w="3300" w:type="pct"/>
            <w:gridSpan w:val="6"/>
            <w:vAlign w:val="center"/>
          </w:tcPr>
          <w:p w14:paraId="0DC4C50B">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GB 15618□</w:t>
            </w:r>
            <w:r>
              <w:rPr>
                <w:rFonts w:hint="default" w:ascii="Times New Roman" w:hAnsi="Times New Roman" w:eastAsia="宋体" w:cs="Times New Roman"/>
                <w:color w:val="auto"/>
                <w:kern w:val="2"/>
                <w:sz w:val="21"/>
                <w:szCs w:val="21"/>
                <w:highlight w:val="none"/>
                <w:lang w:val="en-US" w:eastAsia="zh-CN" w:bidi="ar-SA"/>
              </w:rPr>
              <w:sym w:font="Wingdings 2" w:char="0052"/>
            </w:r>
            <w:r>
              <w:rPr>
                <w:rFonts w:hint="default" w:ascii="Times New Roman" w:hAnsi="Times New Roman" w:eastAsia="宋体" w:cs="Times New Roman"/>
                <w:color w:val="auto"/>
                <w:kern w:val="2"/>
                <w:sz w:val="21"/>
                <w:szCs w:val="21"/>
                <w:highlight w:val="none"/>
                <w:lang w:val="en-US" w:eastAsia="zh-CN" w:bidi="ar-SA"/>
              </w:rPr>
              <w:t>； GB 36600</w:t>
            </w:r>
            <w:r>
              <w:rPr>
                <w:rFonts w:hint="default" w:ascii="Times New Roman" w:hAnsi="Times New Roman" w:eastAsia="宋体" w:cs="Times New Roman"/>
                <w:color w:val="auto"/>
                <w:kern w:val="2"/>
                <w:sz w:val="21"/>
                <w:szCs w:val="21"/>
                <w:highlight w:val="none"/>
                <w:lang w:val="en-US" w:eastAsia="zh-CN" w:bidi="ar-SA"/>
              </w:rPr>
              <w:sym w:font="Wingdings 2" w:char="0052"/>
            </w:r>
            <w:r>
              <w:rPr>
                <w:rFonts w:hint="default" w:ascii="Times New Roman" w:hAnsi="Times New Roman" w:eastAsia="宋体" w:cs="Times New Roman"/>
                <w:color w:val="auto"/>
                <w:kern w:val="2"/>
                <w:sz w:val="21"/>
                <w:szCs w:val="21"/>
                <w:highlight w:val="none"/>
                <w:lang w:val="en-US" w:eastAsia="zh-CN" w:bidi="ar-SA"/>
              </w:rPr>
              <w:t>；表 D.1□；表 D.2□；其他）</w:t>
            </w:r>
          </w:p>
        </w:tc>
        <w:tc>
          <w:tcPr>
            <w:tcW w:w="631" w:type="pct"/>
            <w:vAlign w:val="center"/>
          </w:tcPr>
          <w:p w14:paraId="6E4AF983">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20FC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2A16B44B">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Align w:val="center"/>
          </w:tcPr>
          <w:p w14:paraId="295479EF">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现状评价结论</w:t>
            </w:r>
          </w:p>
        </w:tc>
        <w:tc>
          <w:tcPr>
            <w:tcW w:w="3300" w:type="pct"/>
            <w:gridSpan w:val="6"/>
            <w:vAlign w:val="center"/>
          </w:tcPr>
          <w:p w14:paraId="0F08B673">
            <w:pPr>
              <w:keepNext w:val="0"/>
              <w:keepLines w:val="0"/>
              <w:widowControl w:val="0"/>
              <w:suppressLineNumbers w:val="0"/>
              <w:adjustRightInd w:val="0"/>
              <w:snapToGrid w:val="0"/>
              <w:spacing w:before="0" w:beforeAutospacing="0" w:after="0" w:afterAutospacing="0" w:line="280" w:lineRule="exact"/>
              <w:ind w:left="-28" w:right="-28" w:firstLine="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项目区占地范围内：土壤的挥发性有机物和半挥发性有机物均未检出；土壤中石油烃含量较低，满足《土壤环境质量 建设用地土壤污染风险管控标准（试行）》（GB36600-2018）第二类用地风险筛选值要求；重金属元素含量相对较低，项目区内土壤满足《土壤环境质量 建设用地土壤污染风险管控标准（试行）》（GB36600-2018）中表1 第二类用地筛选值标准要求。</w:t>
            </w:r>
          </w:p>
          <w:p w14:paraId="162D46DA">
            <w:pPr>
              <w:keepNext w:val="0"/>
              <w:keepLines w:val="0"/>
              <w:widowControl w:val="0"/>
              <w:suppressLineNumbers w:val="0"/>
              <w:adjustRightInd w:val="0"/>
              <w:snapToGrid w:val="0"/>
              <w:spacing w:before="0" w:beforeAutospacing="0" w:after="0" w:afterAutospacing="0" w:line="280" w:lineRule="exact"/>
              <w:ind w:left="-28" w:right="-28" w:firstLine="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项目区占地范围外：土壤中重金属元素含量相对较低，小于《土壤环境质量 农用地土壤污染风险管控标准（试行）》（GB156 18-2018）中“表.1农用地土壤污染风险筛选值（基本项目）”的pH&gt;7.5所列标准；土壤中石油烃含量较低，满足《土壤环境质量 建设用地土壤污染风险管控标准（试行）》（GB36600-2018）第二类用地风险筛选值要求。</w:t>
            </w:r>
          </w:p>
        </w:tc>
        <w:tc>
          <w:tcPr>
            <w:tcW w:w="631" w:type="pct"/>
            <w:vAlign w:val="center"/>
          </w:tcPr>
          <w:p w14:paraId="3DBC1FE6">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3541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restart"/>
            <w:vAlign w:val="center"/>
          </w:tcPr>
          <w:p w14:paraId="166576AF">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影响预测</w:t>
            </w:r>
          </w:p>
        </w:tc>
        <w:tc>
          <w:tcPr>
            <w:tcW w:w="855" w:type="pct"/>
            <w:vAlign w:val="center"/>
          </w:tcPr>
          <w:p w14:paraId="42E99169">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预测因子</w:t>
            </w:r>
          </w:p>
        </w:tc>
        <w:tc>
          <w:tcPr>
            <w:tcW w:w="3300" w:type="pct"/>
            <w:gridSpan w:val="6"/>
            <w:vAlign w:val="center"/>
          </w:tcPr>
          <w:p w14:paraId="693B7793">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石油烃</w:t>
            </w:r>
          </w:p>
        </w:tc>
        <w:tc>
          <w:tcPr>
            <w:tcW w:w="631" w:type="pct"/>
            <w:vAlign w:val="center"/>
          </w:tcPr>
          <w:p w14:paraId="705439ED">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0B4B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2435BDDE">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Align w:val="center"/>
          </w:tcPr>
          <w:p w14:paraId="239083E6">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预测方法</w:t>
            </w:r>
          </w:p>
        </w:tc>
        <w:tc>
          <w:tcPr>
            <w:tcW w:w="3300" w:type="pct"/>
            <w:gridSpan w:val="6"/>
            <w:vAlign w:val="center"/>
          </w:tcPr>
          <w:p w14:paraId="4730B865">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附录 E□；附录 F□；其他（</w:t>
            </w:r>
            <w:r>
              <w:rPr>
                <w:rFonts w:hint="default" w:ascii="Times New Roman" w:hAnsi="Times New Roman" w:eastAsia="宋体" w:cs="Times New Roman"/>
                <w:color w:val="auto"/>
                <w:kern w:val="2"/>
                <w:sz w:val="21"/>
                <w:szCs w:val="21"/>
                <w:highlight w:val="none"/>
                <w:lang w:val="en-US" w:eastAsia="zh-CN" w:bidi="ar-SA"/>
              </w:rPr>
              <w:sym w:font="Wingdings 2" w:char="0052"/>
            </w:r>
            <w:r>
              <w:rPr>
                <w:rFonts w:hint="default" w:ascii="Times New Roman" w:hAnsi="Times New Roman" w:eastAsia="宋体" w:cs="Times New Roman"/>
                <w:color w:val="auto"/>
                <w:kern w:val="2"/>
                <w:sz w:val="21"/>
                <w:szCs w:val="21"/>
                <w:highlight w:val="none"/>
                <w:lang w:val="en-US" w:eastAsia="zh-CN" w:bidi="ar-SA"/>
              </w:rPr>
              <w:t>）</w:t>
            </w:r>
          </w:p>
        </w:tc>
        <w:tc>
          <w:tcPr>
            <w:tcW w:w="631" w:type="pct"/>
            <w:vAlign w:val="center"/>
          </w:tcPr>
          <w:p w14:paraId="7999ECBC">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1EE2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499A24D1">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Align w:val="center"/>
          </w:tcPr>
          <w:p w14:paraId="4396A848">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预测分析内容</w:t>
            </w:r>
          </w:p>
        </w:tc>
        <w:tc>
          <w:tcPr>
            <w:tcW w:w="3300" w:type="pct"/>
            <w:gridSpan w:val="6"/>
            <w:vAlign w:val="center"/>
          </w:tcPr>
          <w:p w14:paraId="0A3E0B60">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影响范围（）影响程度（</w:t>
            </w:r>
            <w:r>
              <w:rPr>
                <w:rFonts w:hint="default" w:ascii="Times New Roman" w:hAnsi="Times New Roman" w:eastAsia="宋体" w:cs="Times New Roman"/>
                <w:color w:val="auto"/>
                <w:kern w:val="2"/>
                <w:sz w:val="21"/>
                <w:szCs w:val="21"/>
                <w:highlight w:val="none"/>
                <w:lang w:val="en-US" w:eastAsia="zh-CN" w:bidi="ar-SA"/>
              </w:rPr>
              <w:sym w:font="Wingdings 2" w:char="0052"/>
            </w:r>
            <w:r>
              <w:rPr>
                <w:rFonts w:hint="default" w:ascii="Times New Roman" w:hAnsi="Times New Roman" w:eastAsia="宋体" w:cs="Times New Roman"/>
                <w:color w:val="auto"/>
                <w:kern w:val="2"/>
                <w:sz w:val="21"/>
                <w:szCs w:val="21"/>
                <w:highlight w:val="none"/>
                <w:lang w:val="en-US" w:eastAsia="zh-CN" w:bidi="ar-SA"/>
              </w:rPr>
              <w:t>）</w:t>
            </w:r>
          </w:p>
        </w:tc>
        <w:tc>
          <w:tcPr>
            <w:tcW w:w="631" w:type="pct"/>
            <w:vAlign w:val="center"/>
          </w:tcPr>
          <w:p w14:paraId="57583AF3">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7A12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548D62EE">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Align w:val="center"/>
          </w:tcPr>
          <w:p w14:paraId="016E62C4">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预测结论</w:t>
            </w:r>
          </w:p>
        </w:tc>
        <w:tc>
          <w:tcPr>
            <w:tcW w:w="3300" w:type="pct"/>
            <w:gridSpan w:val="6"/>
            <w:vAlign w:val="center"/>
          </w:tcPr>
          <w:p w14:paraId="7394560E">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达标结论： a）□； b） □； c）</w:t>
            </w:r>
            <w:r>
              <w:rPr>
                <w:rFonts w:hint="default" w:ascii="Times New Roman" w:hAnsi="Times New Roman" w:eastAsia="宋体" w:cs="Times New Roman"/>
                <w:color w:val="auto"/>
                <w:kern w:val="2"/>
                <w:sz w:val="21"/>
                <w:szCs w:val="21"/>
                <w:highlight w:val="none"/>
                <w:lang w:val="en-US" w:eastAsia="zh-CN" w:bidi="ar-SA"/>
              </w:rPr>
              <w:sym w:font="Wingdings 2" w:char="0052"/>
            </w:r>
          </w:p>
          <w:p w14:paraId="418B4B06">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不达标结论： a） □； b） □</w:t>
            </w:r>
          </w:p>
        </w:tc>
        <w:tc>
          <w:tcPr>
            <w:tcW w:w="631" w:type="pct"/>
            <w:vAlign w:val="center"/>
          </w:tcPr>
          <w:p w14:paraId="00480258">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3068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restart"/>
            <w:vAlign w:val="center"/>
          </w:tcPr>
          <w:p w14:paraId="3C9A584C">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防治措施</w:t>
            </w:r>
          </w:p>
        </w:tc>
        <w:tc>
          <w:tcPr>
            <w:tcW w:w="855" w:type="pct"/>
            <w:vAlign w:val="center"/>
          </w:tcPr>
          <w:p w14:paraId="6EF46182">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防控措施</w:t>
            </w:r>
          </w:p>
        </w:tc>
        <w:tc>
          <w:tcPr>
            <w:tcW w:w="3300" w:type="pct"/>
            <w:gridSpan w:val="6"/>
            <w:vAlign w:val="center"/>
          </w:tcPr>
          <w:p w14:paraId="3071FC93">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土壤环境质量现状保障 </w:t>
            </w:r>
            <w:r>
              <w:rPr>
                <w:rFonts w:hint="default" w:ascii="Times New Roman" w:hAnsi="Times New Roman" w:eastAsia="宋体" w:cs="Times New Roman"/>
                <w:color w:val="auto"/>
                <w:kern w:val="2"/>
                <w:sz w:val="21"/>
                <w:szCs w:val="21"/>
                <w:highlight w:val="none"/>
                <w:lang w:val="en-US" w:eastAsia="zh-CN" w:bidi="ar-SA"/>
              </w:rPr>
              <w:sym w:font="Wingdings 2" w:char="0052"/>
            </w:r>
            <w:r>
              <w:rPr>
                <w:rFonts w:hint="default" w:ascii="Times New Roman" w:hAnsi="Times New Roman" w:eastAsia="宋体" w:cs="Times New Roman"/>
                <w:color w:val="auto"/>
                <w:kern w:val="2"/>
                <w:sz w:val="21"/>
                <w:szCs w:val="21"/>
                <w:highlight w:val="none"/>
                <w:lang w:val="en-US" w:eastAsia="zh-CN" w:bidi="ar-SA"/>
              </w:rPr>
              <w:t>；源头控制</w:t>
            </w:r>
            <w:r>
              <w:rPr>
                <w:rFonts w:hint="default" w:ascii="Times New Roman" w:hAnsi="Times New Roman" w:eastAsia="宋体" w:cs="Times New Roman"/>
                <w:color w:val="auto"/>
                <w:kern w:val="2"/>
                <w:sz w:val="21"/>
                <w:szCs w:val="21"/>
                <w:highlight w:val="none"/>
                <w:lang w:val="en-US" w:eastAsia="zh-CN" w:bidi="ar-SA"/>
              </w:rPr>
              <w:sym w:font="Wingdings 2" w:char="0052"/>
            </w:r>
            <w:r>
              <w:rPr>
                <w:rFonts w:hint="default" w:ascii="Times New Roman" w:hAnsi="Times New Roman" w:eastAsia="宋体" w:cs="Times New Roman"/>
                <w:color w:val="auto"/>
                <w:kern w:val="2"/>
                <w:sz w:val="21"/>
                <w:szCs w:val="21"/>
                <w:highlight w:val="none"/>
                <w:lang w:val="en-US" w:eastAsia="zh-CN" w:bidi="ar-SA"/>
              </w:rPr>
              <w:t xml:space="preserve">；过程防控 </w:t>
            </w:r>
            <w:r>
              <w:rPr>
                <w:rFonts w:hint="default" w:ascii="Times New Roman" w:hAnsi="Times New Roman" w:eastAsia="宋体" w:cs="Times New Roman"/>
                <w:color w:val="auto"/>
                <w:kern w:val="2"/>
                <w:sz w:val="21"/>
                <w:szCs w:val="21"/>
                <w:highlight w:val="none"/>
                <w:lang w:val="en-US" w:eastAsia="zh-CN" w:bidi="ar-SA"/>
              </w:rPr>
              <w:sym w:font="Wingdings 2" w:char="0052"/>
            </w:r>
            <w:r>
              <w:rPr>
                <w:rFonts w:hint="default" w:ascii="Times New Roman" w:hAnsi="Times New Roman" w:eastAsia="宋体" w:cs="Times New Roman"/>
                <w:color w:val="auto"/>
                <w:kern w:val="2"/>
                <w:sz w:val="21"/>
                <w:szCs w:val="21"/>
                <w:highlight w:val="none"/>
                <w:lang w:val="en-US" w:eastAsia="zh-CN" w:bidi="ar-SA"/>
              </w:rPr>
              <w:t>；其他（）</w:t>
            </w:r>
          </w:p>
        </w:tc>
        <w:tc>
          <w:tcPr>
            <w:tcW w:w="631" w:type="pct"/>
            <w:vAlign w:val="center"/>
          </w:tcPr>
          <w:p w14:paraId="257F8F12">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08AE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5CA65600">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Merge w:val="restart"/>
            <w:vAlign w:val="center"/>
          </w:tcPr>
          <w:p w14:paraId="29BC4D00">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跟踪监测</w:t>
            </w:r>
          </w:p>
        </w:tc>
        <w:tc>
          <w:tcPr>
            <w:tcW w:w="885" w:type="pct"/>
            <w:gridSpan w:val="2"/>
            <w:vAlign w:val="center"/>
          </w:tcPr>
          <w:p w14:paraId="3E426B0B">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监测点数</w:t>
            </w:r>
          </w:p>
        </w:tc>
        <w:tc>
          <w:tcPr>
            <w:tcW w:w="886" w:type="pct"/>
            <w:gridSpan w:val="2"/>
            <w:vAlign w:val="center"/>
          </w:tcPr>
          <w:p w14:paraId="37E7C2E2">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监测指标</w:t>
            </w:r>
          </w:p>
        </w:tc>
        <w:tc>
          <w:tcPr>
            <w:tcW w:w="1528" w:type="pct"/>
            <w:gridSpan w:val="2"/>
            <w:vAlign w:val="center"/>
          </w:tcPr>
          <w:p w14:paraId="354B1389">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监测频次</w:t>
            </w:r>
          </w:p>
        </w:tc>
        <w:tc>
          <w:tcPr>
            <w:tcW w:w="631" w:type="pct"/>
            <w:vMerge w:val="restart"/>
            <w:vAlign w:val="center"/>
          </w:tcPr>
          <w:p w14:paraId="249949B0">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0669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67281C3E">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Merge w:val="continue"/>
            <w:vAlign w:val="center"/>
          </w:tcPr>
          <w:p w14:paraId="6C1E51F8">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85" w:type="pct"/>
            <w:gridSpan w:val="2"/>
            <w:vAlign w:val="center"/>
          </w:tcPr>
          <w:p w14:paraId="7C784AD2">
            <w:pPr>
              <w:keepNext w:val="0"/>
              <w:keepLines w:val="0"/>
              <w:widowControl w:val="0"/>
              <w:suppressLineNumbers w:val="0"/>
              <w:adjustRightInd w:val="0"/>
              <w:snapToGrid w:val="0"/>
              <w:spacing w:before="0" w:beforeAutospacing="0" w:after="0" w:afterAutospacing="0" w:line="280" w:lineRule="exact"/>
              <w:ind w:left="-28" w:right="-28" w:firstLine="0"/>
              <w:jc w:val="both"/>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pacing w:val="-11"/>
                <w:kern w:val="2"/>
                <w:sz w:val="21"/>
                <w:szCs w:val="21"/>
                <w:highlight w:val="none"/>
                <w:lang w:val="en-US" w:eastAsia="zh-CN" w:bidi="ar-SA"/>
              </w:rPr>
              <w:t>油车棚</w:t>
            </w:r>
            <w:r>
              <w:rPr>
                <w:rFonts w:hint="default" w:ascii="Times New Roman" w:hAnsi="Times New Roman" w:eastAsia="宋体" w:cs="Times New Roman"/>
                <w:color w:val="auto"/>
                <w:spacing w:val="-11"/>
                <w:kern w:val="2"/>
                <w:sz w:val="21"/>
                <w:szCs w:val="21"/>
                <w:highlight w:val="none"/>
                <w:lang w:val="en-US" w:eastAsia="zh-CN" w:bidi="ar-SA"/>
              </w:rPr>
              <w:t>、</w:t>
            </w:r>
            <w:r>
              <w:rPr>
                <w:rFonts w:hint="eastAsia" w:ascii="Times New Roman" w:hAnsi="Times New Roman" w:eastAsia="宋体" w:cs="Times New Roman"/>
                <w:color w:val="auto"/>
                <w:spacing w:val="-11"/>
                <w:kern w:val="2"/>
                <w:sz w:val="21"/>
                <w:szCs w:val="21"/>
                <w:highlight w:val="none"/>
                <w:lang w:val="en-US" w:eastAsia="zh-CN" w:bidi="ar-SA"/>
              </w:rPr>
              <w:t>污水处理装置</w:t>
            </w:r>
            <w:r>
              <w:rPr>
                <w:rFonts w:hint="default" w:ascii="Times New Roman" w:hAnsi="Times New Roman" w:eastAsia="宋体" w:cs="Times New Roman"/>
                <w:color w:val="auto"/>
                <w:spacing w:val="-11"/>
                <w:kern w:val="2"/>
                <w:sz w:val="21"/>
                <w:szCs w:val="21"/>
                <w:highlight w:val="none"/>
                <w:lang w:val="en-US" w:eastAsia="zh-CN" w:bidi="ar-SA"/>
              </w:rPr>
              <w:t>区域占地</w:t>
            </w:r>
            <w:r>
              <w:rPr>
                <w:rFonts w:hint="eastAsia" w:ascii="Times New Roman" w:hAnsi="Times New Roman" w:eastAsia="宋体" w:cs="Times New Roman"/>
                <w:color w:val="auto"/>
                <w:spacing w:val="-11"/>
                <w:kern w:val="2"/>
                <w:sz w:val="21"/>
                <w:szCs w:val="21"/>
                <w:highlight w:val="none"/>
                <w:lang w:val="en-US" w:eastAsia="zh-CN" w:bidi="ar-SA"/>
              </w:rPr>
              <w:t>以及</w:t>
            </w:r>
            <w:r>
              <w:rPr>
                <w:rFonts w:hint="default" w:ascii="Times New Roman" w:hAnsi="Times New Roman" w:eastAsia="宋体" w:cs="Times New Roman"/>
                <w:color w:val="auto"/>
                <w:spacing w:val="-11"/>
                <w:kern w:val="2"/>
                <w:sz w:val="21"/>
                <w:szCs w:val="21"/>
                <w:highlight w:val="none"/>
                <w:lang w:val="en-US" w:eastAsia="zh-CN" w:bidi="ar-SA"/>
              </w:rPr>
              <w:t>范围外</w:t>
            </w:r>
            <w:r>
              <w:rPr>
                <w:rFonts w:hint="eastAsia" w:ascii="Times New Roman" w:hAnsi="Times New Roman" w:eastAsia="宋体" w:cs="Times New Roman"/>
                <w:color w:val="auto"/>
                <w:spacing w:val="-11"/>
                <w:kern w:val="2"/>
                <w:sz w:val="21"/>
                <w:szCs w:val="21"/>
                <w:highlight w:val="none"/>
                <w:lang w:val="en-US" w:eastAsia="zh-CN" w:bidi="ar-SA"/>
              </w:rPr>
              <w:t>耕地、</w:t>
            </w:r>
            <w:r>
              <w:rPr>
                <w:rFonts w:hint="default" w:ascii="Times New Roman" w:hAnsi="Times New Roman" w:eastAsia="宋体" w:cs="Times New Roman"/>
                <w:color w:val="auto"/>
                <w:spacing w:val="-11"/>
                <w:kern w:val="2"/>
                <w:sz w:val="21"/>
                <w:szCs w:val="21"/>
                <w:highlight w:val="none"/>
                <w:lang w:val="en-US" w:eastAsia="zh-CN" w:bidi="ar-SA"/>
              </w:rPr>
              <w:t>牧草地区域</w:t>
            </w:r>
          </w:p>
        </w:tc>
        <w:tc>
          <w:tcPr>
            <w:tcW w:w="886" w:type="pct"/>
            <w:gridSpan w:val="2"/>
            <w:vAlign w:val="center"/>
          </w:tcPr>
          <w:p w14:paraId="08362377">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石油烃</w:t>
            </w:r>
          </w:p>
        </w:tc>
        <w:tc>
          <w:tcPr>
            <w:tcW w:w="1528" w:type="pct"/>
            <w:gridSpan w:val="2"/>
            <w:vAlign w:val="center"/>
          </w:tcPr>
          <w:p w14:paraId="5BB871F0">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1次/5年</w:t>
            </w:r>
          </w:p>
        </w:tc>
        <w:tc>
          <w:tcPr>
            <w:tcW w:w="631" w:type="pct"/>
            <w:vMerge w:val="continue"/>
            <w:vAlign w:val="center"/>
          </w:tcPr>
          <w:p w14:paraId="69E03205">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15E4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 w:type="pct"/>
            <w:vMerge w:val="continue"/>
            <w:vAlign w:val="center"/>
          </w:tcPr>
          <w:p w14:paraId="003D0664">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855" w:type="pct"/>
            <w:vAlign w:val="center"/>
          </w:tcPr>
          <w:p w14:paraId="247F5242">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信息公开指标</w:t>
            </w:r>
          </w:p>
        </w:tc>
        <w:tc>
          <w:tcPr>
            <w:tcW w:w="3300" w:type="pct"/>
            <w:gridSpan w:val="6"/>
            <w:vAlign w:val="center"/>
          </w:tcPr>
          <w:p w14:paraId="41A65624">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c>
          <w:tcPr>
            <w:tcW w:w="631" w:type="pct"/>
            <w:vMerge w:val="continue"/>
            <w:vAlign w:val="center"/>
          </w:tcPr>
          <w:p w14:paraId="4CD6C576">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0188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8" w:type="pct"/>
            <w:gridSpan w:val="2"/>
            <w:vAlign w:val="center"/>
          </w:tcPr>
          <w:p w14:paraId="3DFA3A36">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评价结论</w:t>
            </w:r>
          </w:p>
        </w:tc>
        <w:tc>
          <w:tcPr>
            <w:tcW w:w="3300" w:type="pct"/>
            <w:gridSpan w:val="6"/>
            <w:vAlign w:val="center"/>
          </w:tcPr>
          <w:p w14:paraId="3FAA9B5B">
            <w:pPr>
              <w:keepNext w:val="0"/>
              <w:keepLines w:val="0"/>
              <w:widowControl w:val="0"/>
              <w:suppressLineNumbers w:val="0"/>
              <w:adjustRightInd w:val="0"/>
              <w:snapToGrid w:val="0"/>
              <w:spacing w:before="0" w:beforeAutospacing="0" w:after="0" w:afterAutospacing="0" w:line="280" w:lineRule="exact"/>
              <w:ind w:left="-28" w:right="-28" w:firstLine="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pacing w:val="-6"/>
                <w:kern w:val="2"/>
                <w:sz w:val="21"/>
                <w:szCs w:val="21"/>
                <w:highlight w:val="none"/>
                <w:lang w:val="en-US" w:eastAsia="zh-CN" w:bidi="ar-SA"/>
              </w:rPr>
              <w:t>本项目正常工况下无废水及固废等污染物外排，不会造成土壤环境污染。非正常工况下，如果发生</w:t>
            </w:r>
            <w:r>
              <w:rPr>
                <w:rFonts w:hint="eastAsia" w:ascii="Times New Roman" w:hAnsi="Times New Roman" w:eastAsia="宋体" w:cs="Times New Roman"/>
                <w:color w:val="auto"/>
                <w:spacing w:val="-6"/>
                <w:kern w:val="2"/>
                <w:sz w:val="21"/>
                <w:szCs w:val="21"/>
                <w:highlight w:val="none"/>
                <w:lang w:val="en-US" w:eastAsia="zh-CN" w:bidi="ar-SA"/>
              </w:rPr>
              <w:t>罐车</w:t>
            </w:r>
            <w:r>
              <w:rPr>
                <w:rFonts w:hint="default" w:ascii="Times New Roman" w:hAnsi="Times New Roman" w:eastAsia="宋体" w:cs="Times New Roman"/>
                <w:color w:val="auto"/>
                <w:spacing w:val="-6"/>
                <w:kern w:val="2"/>
                <w:sz w:val="21"/>
                <w:szCs w:val="21"/>
                <w:highlight w:val="none"/>
                <w:lang w:val="en-US" w:eastAsia="zh-CN" w:bidi="ar-SA"/>
              </w:rPr>
              <w:t>泄漏等事故，泄漏的油类物质会对土壤环境产生一定的影响，覆盖于地表可使土壤透气性下降、土壤理化性状发生变化。泄漏的油品如果进入土壤，从而使土壤质地、结构发生改变，</w:t>
            </w:r>
            <w:r>
              <w:rPr>
                <w:rFonts w:hint="eastAsia" w:cs="Times New Roman"/>
                <w:color w:val="auto"/>
                <w:spacing w:val="-6"/>
                <w:kern w:val="2"/>
                <w:sz w:val="21"/>
                <w:szCs w:val="21"/>
                <w:highlight w:val="none"/>
                <w:lang w:val="en-US" w:eastAsia="zh-CN" w:bidi="ar-SA"/>
              </w:rPr>
              <w:t>影响</w:t>
            </w:r>
            <w:r>
              <w:rPr>
                <w:rFonts w:hint="default" w:ascii="Times New Roman" w:hAnsi="Times New Roman" w:eastAsia="宋体" w:cs="Times New Roman"/>
                <w:color w:val="auto"/>
                <w:spacing w:val="-6"/>
                <w:kern w:val="2"/>
                <w:sz w:val="21"/>
                <w:szCs w:val="21"/>
                <w:highlight w:val="none"/>
                <w:lang w:val="en-US" w:eastAsia="zh-CN" w:bidi="ar-SA"/>
              </w:rPr>
              <w:t>土地功能，进而影响地表植被的生长。根据环境风险分析可知，本项目风险潜势很低，发生泄漏事故的可能性很小，在做好源头控制、过程防控等措施的前提下，可避免项目实施对土壤环境产生污染影响。</w:t>
            </w:r>
          </w:p>
        </w:tc>
        <w:tc>
          <w:tcPr>
            <w:tcW w:w="631" w:type="pct"/>
            <w:vAlign w:val="center"/>
          </w:tcPr>
          <w:p w14:paraId="247DCF67">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eastAsia="宋体" w:cs="Times New Roman"/>
                <w:color w:val="auto"/>
                <w:kern w:val="2"/>
                <w:sz w:val="21"/>
                <w:szCs w:val="21"/>
                <w:highlight w:val="none"/>
                <w:lang w:val="en-US" w:eastAsia="zh-CN" w:bidi="ar-SA"/>
              </w:rPr>
            </w:pPr>
          </w:p>
        </w:tc>
      </w:tr>
      <w:tr w14:paraId="700D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9"/>
            <w:vAlign w:val="center"/>
          </w:tcPr>
          <w:p w14:paraId="45193BD6">
            <w:pPr>
              <w:keepNext w:val="0"/>
              <w:keepLines w:val="0"/>
              <w:widowControl w:val="0"/>
              <w:suppressLineNumbers w:val="0"/>
              <w:adjustRightInd w:val="0"/>
              <w:snapToGrid w:val="0"/>
              <w:spacing w:before="0" w:beforeAutospacing="0" w:after="0" w:afterAutospacing="0" w:line="280" w:lineRule="exact"/>
              <w:ind w:left="-28" w:right="-28" w:firstLine="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注 1： “□”为勾选项，可 √； “（） ”为内容填写项； “备注 ”为其他补充内容。</w:t>
            </w:r>
          </w:p>
          <w:p w14:paraId="248DAB6F">
            <w:pPr>
              <w:keepNext w:val="0"/>
              <w:keepLines w:val="0"/>
              <w:widowControl w:val="0"/>
              <w:suppressLineNumbers w:val="0"/>
              <w:adjustRightInd w:val="0"/>
              <w:snapToGrid w:val="0"/>
              <w:spacing w:before="0" w:beforeAutospacing="0" w:after="0" w:afterAutospacing="0" w:line="280" w:lineRule="exact"/>
              <w:ind w:left="-28" w:right="-28" w:firstLine="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注 2：需要分别开展土壤</w:t>
            </w:r>
            <w:r>
              <w:rPr>
                <w:rFonts w:hint="eastAsia" w:cs="Times New Roman"/>
                <w:color w:val="auto"/>
                <w:kern w:val="2"/>
                <w:sz w:val="21"/>
                <w:szCs w:val="21"/>
                <w:highlight w:val="none"/>
                <w:lang w:val="en-US" w:eastAsia="zh-CN" w:bidi="ar-SA"/>
              </w:rPr>
              <w:t>环境影响评价</w:t>
            </w:r>
            <w:r>
              <w:rPr>
                <w:rFonts w:hint="default" w:ascii="Times New Roman" w:hAnsi="Times New Roman" w:eastAsia="宋体" w:cs="Times New Roman"/>
                <w:color w:val="auto"/>
                <w:kern w:val="2"/>
                <w:sz w:val="21"/>
                <w:szCs w:val="21"/>
                <w:highlight w:val="none"/>
                <w:lang w:val="en-US" w:eastAsia="zh-CN" w:bidi="ar-SA"/>
              </w:rPr>
              <w:t>工作的，分别填写自查表。</w:t>
            </w:r>
          </w:p>
        </w:tc>
      </w:tr>
      <w:bookmarkEnd w:id="285"/>
    </w:tbl>
    <w:p w14:paraId="0F535277">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86" w:name="_Toc16258"/>
      <w:r>
        <w:rPr>
          <w:rFonts w:hint="eastAsia" w:ascii="Times New Roman" w:hAnsi="Times New Roman" w:eastAsia="黑体" w:cs="Times New Roman"/>
          <w:bCs/>
          <w:color w:val="auto"/>
          <w:spacing w:val="0"/>
          <w:w w:val="100"/>
          <w:kern w:val="28"/>
          <w:sz w:val="30"/>
          <w:szCs w:val="30"/>
          <w:highlight w:val="none"/>
          <w:lang w:val="en-US" w:eastAsia="zh-CN" w:bidi="ar-SA"/>
        </w:rPr>
        <w:t>环境风险预测与评价</w:t>
      </w:r>
      <w:bookmarkEnd w:id="286"/>
    </w:p>
    <w:p w14:paraId="7DF51745">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风险调查</w:t>
      </w:r>
    </w:p>
    <w:p w14:paraId="34C6CDA5">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风险源调查</w:t>
      </w:r>
    </w:p>
    <w:p w14:paraId="4AB59DE4">
      <w:pPr>
        <w:pStyle w:val="133"/>
        <w:rPr>
          <w:color w:val="auto"/>
          <w:highlight w:val="none"/>
        </w:rPr>
      </w:pPr>
      <w:r>
        <w:rPr>
          <w:color w:val="auto"/>
          <w:highlight w:val="none"/>
        </w:rPr>
        <w:t>本项目风险源主要为</w:t>
      </w:r>
      <w:r>
        <w:rPr>
          <w:rFonts w:hint="eastAsia"/>
          <w:color w:val="auto"/>
          <w:highlight w:val="none"/>
          <w:lang w:val="en-US" w:eastAsia="zh-CN"/>
        </w:rPr>
        <w:t>油车棚内的2辆油罐车</w:t>
      </w:r>
      <w:r>
        <w:rPr>
          <w:rFonts w:hint="eastAsia"/>
          <w:color w:val="auto"/>
          <w:highlight w:val="none"/>
        </w:rPr>
        <w:t>，容量合计</w:t>
      </w:r>
      <w:r>
        <w:rPr>
          <w:rFonts w:hint="eastAsia"/>
          <w:color w:val="auto"/>
          <w:highlight w:val="none"/>
          <w:lang w:val="en-US" w:eastAsia="zh-CN"/>
        </w:rPr>
        <w:t>35</w:t>
      </w:r>
      <w:r>
        <w:rPr>
          <w:rFonts w:hint="eastAsia"/>
          <w:color w:val="auto"/>
          <w:highlight w:val="none"/>
        </w:rPr>
        <w:t>m</w:t>
      </w:r>
      <w:r>
        <w:rPr>
          <w:color w:val="auto"/>
          <w:highlight w:val="none"/>
          <w:vertAlign w:val="superscript"/>
        </w:rPr>
        <w:t>3</w:t>
      </w:r>
      <w:r>
        <w:rPr>
          <w:color w:val="auto"/>
          <w:highlight w:val="none"/>
        </w:rPr>
        <w:t>。</w:t>
      </w:r>
    </w:p>
    <w:p w14:paraId="7F5036CD">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环境敏感目标调查</w:t>
      </w:r>
    </w:p>
    <w:p w14:paraId="18259355">
      <w:pPr>
        <w:ind w:firstLine="480" w:firstLineChars="200"/>
        <w:rPr>
          <w:color w:val="auto"/>
          <w:highlight w:val="none"/>
        </w:rPr>
      </w:pPr>
      <w:r>
        <w:rPr>
          <w:rFonts w:hint="eastAsia"/>
          <w:color w:val="auto"/>
          <w:highlight w:val="none"/>
        </w:rPr>
        <w:t>据现场调查及《关于精河通用机场环境保护意见的函》，本项目不涉及国家公园、自然保护区、自然公园等自然保护地、世界自然遗产、生态保护红线等法定生态保护区域；不涉及重要物种的天然集中分布区、栖息地、重要水生生物的产卵场、索饵场、越冬场和洄游通道，迁徙鸟类的重要繁殖地、停歇地、越冬地以及野生动物迁徙通道等重要生境。</w:t>
      </w:r>
    </w:p>
    <w:p w14:paraId="2154F457">
      <w:pPr>
        <w:ind w:firstLine="480" w:firstLineChars="200"/>
        <w:rPr>
          <w:color w:val="auto"/>
          <w:highlight w:val="none"/>
        </w:rPr>
      </w:pPr>
      <w:r>
        <w:rPr>
          <w:rFonts w:hint="eastAsia"/>
          <w:color w:val="auto"/>
          <w:highlight w:val="none"/>
        </w:rPr>
        <w:t>本项目周围3km范围内环境敏感点为村庄以及项目区的土壤和地下水，发生油品泄漏导致渗透至周围土壤和地下水体，从而污染土壤和地下水</w:t>
      </w:r>
      <w:r>
        <w:rPr>
          <w:color w:val="auto"/>
          <w:highlight w:val="none"/>
        </w:rPr>
        <w:t>。</w:t>
      </w:r>
    </w:p>
    <w:p w14:paraId="70DEDA92">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风险潜势初判</w:t>
      </w:r>
    </w:p>
    <w:p w14:paraId="12565925">
      <w:pPr>
        <w:ind w:firstLine="480" w:firstLineChars="200"/>
        <w:rPr>
          <w:color w:val="auto"/>
          <w:highlight w:val="none"/>
        </w:rPr>
      </w:pPr>
      <w:r>
        <w:rPr>
          <w:color w:val="auto"/>
          <w:highlight w:val="none"/>
        </w:rPr>
        <w:t>根据《建设项目环境风险评价技术导则》（</w:t>
      </w:r>
      <w:r>
        <w:rPr>
          <w:rFonts w:eastAsia="Times New Roman"/>
          <w:color w:val="auto"/>
          <w:highlight w:val="none"/>
        </w:rPr>
        <w:t>HJ169-2018</w:t>
      </w:r>
      <w:r>
        <w:rPr>
          <w:color w:val="auto"/>
          <w:highlight w:val="none"/>
        </w:rPr>
        <w:t>）以及《企业突发环境事件风险分级方法》，计算每种危险物在厂界内的最大存在总量与其对应临界量的比值</w:t>
      </w:r>
      <w:r>
        <w:rPr>
          <w:rFonts w:eastAsia="Times New Roman"/>
          <w:color w:val="auto"/>
          <w:highlight w:val="none"/>
        </w:rPr>
        <w:t>Q</w:t>
      </w:r>
      <w:r>
        <w:rPr>
          <w:color w:val="auto"/>
          <w:highlight w:val="none"/>
        </w:rPr>
        <w:t>。</w:t>
      </w:r>
    </w:p>
    <w:p w14:paraId="407EAFA5">
      <w:pPr>
        <w:spacing w:after="392"/>
        <w:ind w:left="10" w:right="251" w:firstLine="480"/>
        <w:jc w:val="center"/>
        <w:rPr>
          <w:color w:val="auto"/>
          <w:highlight w:val="none"/>
        </w:rPr>
      </w:pPr>
      <w:r>
        <w:rPr>
          <w:rFonts w:eastAsia="Times New Roman"/>
          <w:i/>
          <w:color w:val="auto"/>
          <w:highlight w:val="none"/>
        </w:rPr>
        <w:t>Q</w:t>
      </w:r>
      <w:r>
        <w:rPr>
          <w:rFonts w:eastAsiaTheme="minorEastAsia"/>
          <w:color w:val="auto"/>
          <w:highlight w:val="none"/>
        </w:rPr>
        <w:t>=</w:t>
      </w:r>
      <w:r>
        <w:rPr>
          <w:rFonts w:eastAsia="Times New Roman"/>
          <w:i/>
          <w:color w:val="auto"/>
          <w:highlight w:val="none"/>
        </w:rPr>
        <w:t>q</w:t>
      </w:r>
      <w:r>
        <w:rPr>
          <w:rFonts w:eastAsia="Times New Roman"/>
          <w:color w:val="auto"/>
          <w:highlight w:val="none"/>
          <w:vertAlign w:val="subscript"/>
        </w:rPr>
        <w:t>1</w:t>
      </w:r>
      <w:r>
        <w:rPr>
          <w:rFonts w:eastAsiaTheme="minorEastAsia"/>
          <w:color w:val="auto"/>
          <w:highlight w:val="none"/>
        </w:rPr>
        <w:t>/</w:t>
      </w:r>
      <w:r>
        <w:rPr>
          <w:rFonts w:eastAsiaTheme="minorEastAsia"/>
          <w:i/>
          <w:color w:val="auto"/>
          <w:highlight w:val="none"/>
        </w:rPr>
        <w:t>Q</w:t>
      </w:r>
      <w:r>
        <w:rPr>
          <w:rFonts w:eastAsiaTheme="minorEastAsia"/>
          <w:color w:val="auto"/>
          <w:highlight w:val="none"/>
          <w:vertAlign w:val="subscript"/>
        </w:rPr>
        <w:t>1</w:t>
      </w:r>
      <w:r>
        <w:rPr>
          <w:rFonts w:eastAsiaTheme="minorEastAsia"/>
          <w:color w:val="auto"/>
          <w:highlight w:val="none"/>
        </w:rPr>
        <w:t>+</w:t>
      </w:r>
      <w:r>
        <w:rPr>
          <w:rFonts w:eastAsia="Times New Roman"/>
          <w:i/>
          <w:color w:val="auto"/>
          <w:highlight w:val="none"/>
        </w:rPr>
        <w:t>q</w:t>
      </w:r>
      <w:r>
        <w:rPr>
          <w:rFonts w:eastAsia="Times New Roman"/>
          <w:color w:val="auto"/>
          <w:highlight w:val="none"/>
          <w:vertAlign w:val="subscript"/>
        </w:rPr>
        <w:t>2</w:t>
      </w:r>
      <w:r>
        <w:rPr>
          <w:rFonts w:eastAsiaTheme="minorEastAsia"/>
          <w:color w:val="auto"/>
          <w:highlight w:val="none"/>
        </w:rPr>
        <w:t>/</w:t>
      </w:r>
      <w:r>
        <w:rPr>
          <w:rFonts w:eastAsiaTheme="minorEastAsia"/>
          <w:i/>
          <w:color w:val="auto"/>
          <w:highlight w:val="none"/>
        </w:rPr>
        <w:t>Q</w:t>
      </w:r>
      <w:r>
        <w:rPr>
          <w:rFonts w:eastAsiaTheme="minorEastAsia"/>
          <w:color w:val="auto"/>
          <w:highlight w:val="none"/>
          <w:vertAlign w:val="subscript"/>
        </w:rPr>
        <w:t>2</w:t>
      </w:r>
      <w:r>
        <w:rPr>
          <w:rFonts w:eastAsiaTheme="minorEastAsia"/>
          <w:color w:val="auto"/>
          <w:highlight w:val="none"/>
        </w:rPr>
        <w:t>+</w:t>
      </w:r>
      <w:r>
        <w:rPr>
          <w:rFonts w:eastAsiaTheme="minorHAnsi"/>
          <w:color w:val="auto"/>
          <w:highlight w:val="none"/>
        </w:rPr>
        <w:t>…</w:t>
      </w:r>
      <w:r>
        <w:rPr>
          <w:rFonts w:eastAsia="Times New Roman"/>
          <w:i/>
          <w:color w:val="auto"/>
          <w:highlight w:val="none"/>
        </w:rPr>
        <w:t>q</w:t>
      </w:r>
      <w:r>
        <w:rPr>
          <w:rFonts w:eastAsia="Times New Roman"/>
          <w:color w:val="auto"/>
          <w:highlight w:val="none"/>
          <w:vertAlign w:val="subscript"/>
        </w:rPr>
        <w:t>n</w:t>
      </w:r>
      <w:r>
        <w:rPr>
          <w:rFonts w:eastAsiaTheme="minorEastAsia"/>
          <w:color w:val="auto"/>
          <w:highlight w:val="none"/>
        </w:rPr>
        <w:t>/</w:t>
      </w:r>
      <w:r>
        <w:rPr>
          <w:rFonts w:eastAsiaTheme="minorEastAsia"/>
          <w:i/>
          <w:color w:val="auto"/>
          <w:highlight w:val="none"/>
        </w:rPr>
        <w:t>Q</w:t>
      </w:r>
      <w:r>
        <w:rPr>
          <w:rFonts w:eastAsiaTheme="minorEastAsia"/>
          <w:color w:val="auto"/>
          <w:highlight w:val="none"/>
          <w:vertAlign w:val="subscript"/>
        </w:rPr>
        <w:t>n</w:t>
      </w:r>
    </w:p>
    <w:p w14:paraId="3825B867">
      <w:pPr>
        <w:ind w:firstLine="480" w:firstLineChars="200"/>
        <w:rPr>
          <w:color w:val="auto"/>
          <w:highlight w:val="none"/>
        </w:rPr>
      </w:pPr>
      <w:r>
        <w:rPr>
          <w:color w:val="auto"/>
          <w:highlight w:val="none"/>
        </w:rPr>
        <w:t>式中：</w:t>
      </w:r>
      <w:r>
        <w:rPr>
          <w:rFonts w:eastAsia="Times New Roman"/>
          <w:color w:val="auto"/>
          <w:highlight w:val="none"/>
        </w:rPr>
        <w:t xml:space="preserve"> </w:t>
      </w:r>
    </w:p>
    <w:p w14:paraId="04931536">
      <w:pPr>
        <w:ind w:firstLine="480" w:firstLineChars="200"/>
        <w:rPr>
          <w:color w:val="auto"/>
          <w:highlight w:val="none"/>
        </w:rPr>
      </w:pPr>
      <w:r>
        <w:rPr>
          <w:rFonts w:eastAsia="Cambria Math"/>
          <w:i/>
          <w:color w:val="auto"/>
          <w:highlight w:val="none"/>
        </w:rPr>
        <w:t>q</w:t>
      </w:r>
      <w:r>
        <w:rPr>
          <w:rFonts w:eastAsia="Cambria Math"/>
          <w:color w:val="auto"/>
          <w:highlight w:val="none"/>
          <w:vertAlign w:val="subscript"/>
        </w:rPr>
        <w:t>1</w:t>
      </w:r>
      <w:r>
        <w:rPr>
          <w:color w:val="auto"/>
          <w:highlight w:val="none"/>
        </w:rPr>
        <w:t>，</w:t>
      </w:r>
      <w:r>
        <w:rPr>
          <w:rFonts w:eastAsia="Times New Roman"/>
          <w:i/>
          <w:color w:val="auto"/>
          <w:highlight w:val="none"/>
        </w:rPr>
        <w:t>q</w:t>
      </w:r>
      <w:r>
        <w:rPr>
          <w:rFonts w:eastAsia="Times New Roman"/>
          <w:i/>
          <w:color w:val="auto"/>
          <w:highlight w:val="none"/>
          <w:vertAlign w:val="subscript"/>
        </w:rPr>
        <w:t>2</w:t>
      </w:r>
      <w:r>
        <w:rPr>
          <w:color w:val="auto"/>
          <w:highlight w:val="none"/>
        </w:rPr>
        <w:t>，</w:t>
      </w:r>
      <w:r>
        <w:rPr>
          <w:rFonts w:ascii="Cambria Math" w:hAnsi="Cambria Math" w:eastAsia="Cambria Math" w:cs="Cambria Math"/>
          <w:color w:val="auto"/>
          <w:highlight w:val="none"/>
        </w:rPr>
        <w:t>⋯</w:t>
      </w:r>
      <w:r>
        <w:rPr>
          <w:color w:val="auto"/>
          <w:highlight w:val="none"/>
        </w:rPr>
        <w:t>，</w:t>
      </w:r>
      <w:r>
        <w:rPr>
          <w:rFonts w:eastAsia="Times New Roman"/>
          <w:i/>
          <w:color w:val="auto"/>
          <w:highlight w:val="none"/>
        </w:rPr>
        <w:t>q</w:t>
      </w:r>
      <w:r>
        <w:rPr>
          <w:rFonts w:eastAsia="Times New Roman"/>
          <w:i/>
          <w:color w:val="auto"/>
          <w:highlight w:val="none"/>
          <w:vertAlign w:val="subscript"/>
        </w:rPr>
        <w:t>n</w:t>
      </w:r>
      <w:r>
        <w:rPr>
          <w:rFonts w:eastAsia="Times New Roman"/>
          <w:color w:val="auto"/>
          <w:highlight w:val="none"/>
        </w:rPr>
        <w:t>——</w:t>
      </w:r>
      <w:r>
        <w:rPr>
          <w:color w:val="auto"/>
          <w:highlight w:val="none"/>
        </w:rPr>
        <w:t>每种危险物质的最大存在总量，单位为吨（</w:t>
      </w:r>
      <w:r>
        <w:rPr>
          <w:rFonts w:eastAsia="Times New Roman"/>
          <w:color w:val="auto"/>
          <w:highlight w:val="none"/>
        </w:rPr>
        <w:t>t</w:t>
      </w:r>
      <w:r>
        <w:rPr>
          <w:color w:val="auto"/>
          <w:highlight w:val="none"/>
        </w:rPr>
        <w:t>）；</w:t>
      </w:r>
    </w:p>
    <w:p w14:paraId="00AD1994">
      <w:pPr>
        <w:ind w:firstLine="480" w:firstLineChars="200"/>
        <w:rPr>
          <w:color w:val="auto"/>
          <w:highlight w:val="none"/>
        </w:rPr>
      </w:pPr>
      <w:r>
        <w:rPr>
          <w:rFonts w:eastAsiaTheme="minorEastAsia"/>
          <w:i/>
          <w:color w:val="auto"/>
          <w:highlight w:val="none"/>
        </w:rPr>
        <w:t>Q</w:t>
      </w:r>
      <w:r>
        <w:rPr>
          <w:rFonts w:eastAsiaTheme="minorEastAsia"/>
          <w:color w:val="auto"/>
          <w:highlight w:val="none"/>
          <w:vertAlign w:val="subscript"/>
        </w:rPr>
        <w:t>1</w:t>
      </w:r>
      <w:r>
        <w:rPr>
          <w:color w:val="auto"/>
          <w:highlight w:val="none"/>
        </w:rPr>
        <w:t>，</w:t>
      </w:r>
      <w:r>
        <w:rPr>
          <w:rFonts w:eastAsiaTheme="minorEastAsia"/>
          <w:i/>
          <w:color w:val="auto"/>
          <w:highlight w:val="none"/>
        </w:rPr>
        <w:t>Q</w:t>
      </w:r>
      <w:r>
        <w:rPr>
          <w:rFonts w:eastAsiaTheme="minorEastAsia"/>
          <w:color w:val="auto"/>
          <w:highlight w:val="none"/>
          <w:vertAlign w:val="subscript"/>
        </w:rPr>
        <w:t>2</w:t>
      </w:r>
      <w:r>
        <w:rPr>
          <w:color w:val="auto"/>
          <w:highlight w:val="none"/>
        </w:rPr>
        <w:t>，</w:t>
      </w:r>
      <w:r>
        <w:rPr>
          <w:rFonts w:ascii="Cambria Math" w:hAnsi="Cambria Math" w:eastAsia="Cambria Math" w:cs="Cambria Math"/>
          <w:color w:val="auto"/>
          <w:highlight w:val="none"/>
        </w:rPr>
        <w:t>⋯</w:t>
      </w:r>
      <w:r>
        <w:rPr>
          <w:color w:val="auto"/>
          <w:highlight w:val="none"/>
        </w:rPr>
        <w:t>，</w:t>
      </w:r>
      <w:r>
        <w:rPr>
          <w:rFonts w:eastAsiaTheme="minorEastAsia"/>
          <w:i/>
          <w:color w:val="auto"/>
          <w:highlight w:val="none"/>
        </w:rPr>
        <w:t>Q</w:t>
      </w:r>
      <w:r>
        <w:rPr>
          <w:rFonts w:eastAsiaTheme="minorEastAsia"/>
          <w:color w:val="auto"/>
          <w:highlight w:val="none"/>
          <w:vertAlign w:val="subscript"/>
        </w:rPr>
        <w:t>n</w:t>
      </w:r>
      <w:r>
        <w:rPr>
          <w:rFonts w:eastAsia="Times New Roman"/>
          <w:color w:val="auto"/>
          <w:highlight w:val="none"/>
        </w:rPr>
        <w:t>——</w:t>
      </w:r>
      <w:r>
        <w:rPr>
          <w:color w:val="auto"/>
          <w:highlight w:val="none"/>
        </w:rPr>
        <w:t>每种危险物质的临界量，单位为吨（</w:t>
      </w:r>
      <w:r>
        <w:rPr>
          <w:rFonts w:eastAsia="Times New Roman"/>
          <w:color w:val="auto"/>
          <w:highlight w:val="none"/>
        </w:rPr>
        <w:t>t</w:t>
      </w:r>
      <w:r>
        <w:rPr>
          <w:color w:val="auto"/>
          <w:highlight w:val="none"/>
        </w:rPr>
        <w:t>）。</w:t>
      </w:r>
    </w:p>
    <w:p w14:paraId="0D2E1E0C">
      <w:pPr>
        <w:ind w:firstLine="480" w:firstLineChars="200"/>
        <w:rPr>
          <w:color w:val="auto"/>
          <w:highlight w:val="none"/>
        </w:rPr>
      </w:pPr>
      <w:r>
        <w:rPr>
          <w:color w:val="auto"/>
          <w:highlight w:val="none"/>
        </w:rPr>
        <w:t>根据《建设项目环境风险评价技术导则》（</w:t>
      </w:r>
      <w:r>
        <w:rPr>
          <w:rFonts w:eastAsia="Times New Roman"/>
          <w:color w:val="auto"/>
          <w:highlight w:val="none"/>
        </w:rPr>
        <w:t>HJ169-2018</w:t>
      </w:r>
      <w:r>
        <w:rPr>
          <w:color w:val="auto"/>
          <w:highlight w:val="none"/>
        </w:rPr>
        <w:t>）附录</w:t>
      </w:r>
      <w:r>
        <w:rPr>
          <w:rFonts w:eastAsia="Times New Roman"/>
          <w:color w:val="auto"/>
          <w:highlight w:val="none"/>
        </w:rPr>
        <w:t>B</w:t>
      </w:r>
      <w:r>
        <w:rPr>
          <w:color w:val="auto"/>
          <w:highlight w:val="none"/>
        </w:rPr>
        <w:t>，重点关注的危险物质及临界量，将突发环境事件风险物质的临界量与实际量进行对比，若</w:t>
      </w:r>
      <w:r>
        <w:rPr>
          <w:rFonts w:eastAsia="Times New Roman"/>
          <w:color w:val="auto"/>
          <w:highlight w:val="none"/>
        </w:rPr>
        <w:t>Q</w:t>
      </w:r>
      <w:r>
        <w:rPr>
          <w:color w:val="auto"/>
          <w:highlight w:val="none"/>
        </w:rPr>
        <w:t>＜</w:t>
      </w:r>
      <w:r>
        <w:rPr>
          <w:rFonts w:eastAsia="Times New Roman"/>
          <w:color w:val="auto"/>
          <w:highlight w:val="none"/>
        </w:rPr>
        <w:t>1</w:t>
      </w:r>
      <w:r>
        <w:rPr>
          <w:color w:val="auto"/>
          <w:highlight w:val="none"/>
        </w:rPr>
        <w:t>，则判定该项目环境风险潜势为Ⅰ，具体见表</w:t>
      </w:r>
      <w:r>
        <w:rPr>
          <w:rFonts w:eastAsia="Times New Roman"/>
          <w:color w:val="auto"/>
          <w:highlight w:val="none"/>
        </w:rPr>
        <w:t>5-8-1</w:t>
      </w:r>
      <w:r>
        <w:rPr>
          <w:color w:val="auto"/>
          <w:highlight w:val="none"/>
        </w:rPr>
        <w:t>。</w:t>
      </w:r>
    </w:p>
    <w:p w14:paraId="49C930BE">
      <w:pPr>
        <w:pStyle w:val="683"/>
        <w:spacing w:before="0" w:after="0" w:line="240" w:lineRule="auto"/>
        <w:rPr>
          <w:rFonts w:ascii="黑体" w:hAnsi="黑体" w:eastAsia="黑体"/>
          <w:b w:val="0"/>
          <w:color w:val="auto"/>
          <w:highlight w:val="none"/>
        </w:rPr>
      </w:pPr>
      <w:r>
        <w:rPr>
          <w:rFonts w:ascii="黑体" w:hAnsi="黑体" w:eastAsia="黑体"/>
          <w:b w:val="0"/>
          <w:color w:val="auto"/>
          <w:sz w:val="21"/>
          <w:highlight w:val="none"/>
        </w:rPr>
        <w:t>表5-8-1 燃料贮存设施一览表</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1215"/>
        <w:gridCol w:w="1526"/>
        <w:gridCol w:w="1120"/>
        <w:gridCol w:w="1378"/>
        <w:gridCol w:w="1010"/>
        <w:gridCol w:w="1719"/>
      </w:tblGrid>
      <w:tr w14:paraId="4126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Align w:val="center"/>
          </w:tcPr>
          <w:p w14:paraId="56C894EA">
            <w:pPr>
              <w:pStyle w:val="973"/>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697" w:type="pct"/>
            <w:vAlign w:val="center"/>
          </w:tcPr>
          <w:p w14:paraId="261D096F">
            <w:pPr>
              <w:pStyle w:val="973"/>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风险源</w:t>
            </w:r>
          </w:p>
        </w:tc>
        <w:tc>
          <w:tcPr>
            <w:tcW w:w="875" w:type="pct"/>
            <w:vAlign w:val="center"/>
          </w:tcPr>
          <w:p w14:paraId="4ED1076C">
            <w:pPr>
              <w:pStyle w:val="973"/>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危险物质名称</w:t>
            </w:r>
          </w:p>
        </w:tc>
        <w:tc>
          <w:tcPr>
            <w:tcW w:w="642" w:type="pct"/>
            <w:vAlign w:val="center"/>
          </w:tcPr>
          <w:p w14:paraId="5EC12F18">
            <w:pPr>
              <w:pStyle w:val="973"/>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CAS号</w:t>
            </w:r>
          </w:p>
        </w:tc>
        <w:tc>
          <w:tcPr>
            <w:tcW w:w="790" w:type="pct"/>
            <w:vAlign w:val="center"/>
          </w:tcPr>
          <w:p w14:paraId="09331C1F">
            <w:pPr>
              <w:pStyle w:val="973"/>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最大存在总量q</w:t>
            </w:r>
            <w:r>
              <w:rPr>
                <w:rFonts w:hint="default" w:ascii="Times New Roman" w:hAnsi="Times New Roman" w:cs="Times New Roman"/>
                <w:color w:val="auto"/>
                <w:highlight w:val="none"/>
                <w:vertAlign w:val="subscript"/>
              </w:rPr>
              <w:t>n</w:t>
            </w:r>
            <w:r>
              <w:rPr>
                <w:rFonts w:hint="default" w:ascii="Times New Roman" w:hAnsi="Times New Roman" w:cs="Times New Roman"/>
                <w:color w:val="auto"/>
                <w:highlight w:val="none"/>
              </w:rPr>
              <w:t>/t</w:t>
            </w:r>
          </w:p>
        </w:tc>
        <w:tc>
          <w:tcPr>
            <w:tcW w:w="576" w:type="pct"/>
            <w:vAlign w:val="center"/>
          </w:tcPr>
          <w:p w14:paraId="0087F4BE">
            <w:pPr>
              <w:pStyle w:val="973"/>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临界量Q</w:t>
            </w:r>
            <w:r>
              <w:rPr>
                <w:rFonts w:hint="default" w:ascii="Times New Roman" w:hAnsi="Times New Roman" w:cs="Times New Roman"/>
                <w:color w:val="auto"/>
                <w:highlight w:val="none"/>
                <w:vertAlign w:val="subscript"/>
              </w:rPr>
              <w:t>n</w:t>
            </w:r>
            <w:r>
              <w:rPr>
                <w:rFonts w:hint="default" w:ascii="Times New Roman" w:hAnsi="Times New Roman" w:cs="Times New Roman"/>
                <w:color w:val="auto"/>
                <w:highlight w:val="none"/>
              </w:rPr>
              <w:t>/t</w:t>
            </w:r>
          </w:p>
        </w:tc>
        <w:tc>
          <w:tcPr>
            <w:tcW w:w="985" w:type="pct"/>
            <w:vAlign w:val="center"/>
          </w:tcPr>
          <w:p w14:paraId="67CA52A3">
            <w:pPr>
              <w:pStyle w:val="973"/>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该种危险物质Q值</w:t>
            </w:r>
          </w:p>
        </w:tc>
      </w:tr>
      <w:tr w14:paraId="71A0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Align w:val="center"/>
          </w:tcPr>
          <w:p w14:paraId="0E5E3CF9">
            <w:pPr>
              <w:pStyle w:val="973"/>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697" w:type="pct"/>
            <w:vAlign w:val="center"/>
          </w:tcPr>
          <w:p w14:paraId="001E68F2">
            <w:pPr>
              <w:pStyle w:val="973"/>
              <w:keepNext w:val="0"/>
              <w:keepLines w:val="0"/>
              <w:suppressLineNumbers w:val="0"/>
              <w:spacing w:before="0" w:beforeAutospacing="0" w:after="0" w:afterAutospacing="0"/>
              <w:ind w:left="0" w:right="0"/>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lang w:val="en-US" w:eastAsia="zh-CN"/>
              </w:rPr>
              <w:t>油车棚内2辆油罐车</w:t>
            </w:r>
          </w:p>
        </w:tc>
        <w:tc>
          <w:tcPr>
            <w:tcW w:w="875" w:type="pct"/>
            <w:vAlign w:val="center"/>
          </w:tcPr>
          <w:p w14:paraId="7F37F750">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default"/>
                <w:color w:val="auto"/>
                <w:sz w:val="21"/>
                <w:szCs w:val="21"/>
                <w:highlight w:val="none"/>
              </w:rPr>
              <w:t>航空煤油</w:t>
            </w:r>
          </w:p>
        </w:tc>
        <w:tc>
          <w:tcPr>
            <w:tcW w:w="642" w:type="pct"/>
            <w:vAlign w:val="center"/>
          </w:tcPr>
          <w:p w14:paraId="45A82524">
            <w:pPr>
              <w:pStyle w:val="973"/>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790" w:type="pct"/>
            <w:vAlign w:val="center"/>
          </w:tcPr>
          <w:p w14:paraId="2BE0A11E">
            <w:pPr>
              <w:keepNext w:val="0"/>
              <w:keepLines w:val="0"/>
              <w:suppressLineNumbers w:val="0"/>
              <w:spacing w:before="0" w:beforeAutospacing="0" w:after="0" w:afterAutospacing="0" w:line="240" w:lineRule="auto"/>
              <w:ind w:left="0" w:right="0" w:firstLine="0"/>
              <w:jc w:val="center"/>
              <w:rPr>
                <w:rFonts w:hint="default"/>
                <w:color w:val="auto"/>
                <w:kern w:val="0"/>
                <w:sz w:val="21"/>
                <w:szCs w:val="21"/>
                <w:highlight w:val="none"/>
              </w:rPr>
            </w:pPr>
            <w:r>
              <w:rPr>
                <w:rFonts w:hint="eastAsia"/>
                <w:color w:val="auto"/>
                <w:kern w:val="0"/>
                <w:sz w:val="21"/>
                <w:szCs w:val="21"/>
                <w:highlight w:val="none"/>
              </w:rPr>
              <w:t>29.75</w:t>
            </w:r>
          </w:p>
        </w:tc>
        <w:tc>
          <w:tcPr>
            <w:tcW w:w="576" w:type="pct"/>
            <w:vAlign w:val="center"/>
          </w:tcPr>
          <w:p w14:paraId="59CFF36F">
            <w:pPr>
              <w:pStyle w:val="973"/>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2500</w:t>
            </w:r>
          </w:p>
        </w:tc>
        <w:tc>
          <w:tcPr>
            <w:tcW w:w="985" w:type="pct"/>
            <w:vAlign w:val="center"/>
          </w:tcPr>
          <w:p w14:paraId="265BABFB">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eastAsia"/>
                <w:color w:val="auto"/>
                <w:sz w:val="21"/>
                <w:szCs w:val="21"/>
                <w:highlight w:val="none"/>
              </w:rPr>
              <w:t>0.0119</w:t>
            </w:r>
          </w:p>
        </w:tc>
      </w:tr>
      <w:tr w14:paraId="09C90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14" w:type="pct"/>
            <w:gridSpan w:val="6"/>
            <w:tcBorders>
              <w:bottom w:val="single" w:color="auto" w:sz="4" w:space="0"/>
            </w:tcBorders>
            <w:vAlign w:val="center"/>
          </w:tcPr>
          <w:p w14:paraId="53E03669">
            <w:pPr>
              <w:pStyle w:val="973"/>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项目Q值∑</w:t>
            </w:r>
          </w:p>
        </w:tc>
        <w:tc>
          <w:tcPr>
            <w:tcW w:w="985" w:type="pct"/>
            <w:tcBorders>
              <w:bottom w:val="single" w:color="auto" w:sz="4" w:space="0"/>
            </w:tcBorders>
            <w:vAlign w:val="center"/>
          </w:tcPr>
          <w:p w14:paraId="09C16A2A">
            <w:pPr>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eastAsia"/>
                <w:color w:val="auto"/>
                <w:sz w:val="21"/>
                <w:szCs w:val="21"/>
                <w:highlight w:val="none"/>
              </w:rPr>
              <w:t>0.0119</w:t>
            </w:r>
          </w:p>
        </w:tc>
      </w:tr>
      <w:tr w14:paraId="0B34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7"/>
            <w:tcBorders>
              <w:top w:val="single" w:color="auto" w:sz="4" w:space="0"/>
              <w:left w:val="nil"/>
              <w:bottom w:val="nil"/>
              <w:right w:val="nil"/>
            </w:tcBorders>
            <w:vAlign w:val="center"/>
          </w:tcPr>
          <w:p w14:paraId="38A71E57">
            <w:pPr>
              <w:keepNext w:val="0"/>
              <w:keepLines w:val="0"/>
              <w:suppressLineNumbers w:val="0"/>
              <w:spacing w:before="0" w:beforeAutospacing="0" w:after="0" w:afterAutospacing="0" w:line="240" w:lineRule="auto"/>
              <w:ind w:left="0" w:right="0" w:firstLine="0"/>
              <w:jc w:val="left"/>
              <w:rPr>
                <w:rFonts w:hint="default" w:eastAsia="宋体"/>
                <w:color w:val="auto"/>
                <w:sz w:val="21"/>
                <w:szCs w:val="21"/>
                <w:highlight w:val="none"/>
                <w:lang w:val="en-US" w:eastAsia="zh-CN"/>
              </w:rPr>
            </w:pPr>
            <w:r>
              <w:rPr>
                <w:rFonts w:hint="default" w:ascii="Times New Roman" w:hAnsi="Times New Roman" w:eastAsia="仿宋" w:cs="Times New Roman"/>
                <w:color w:val="auto"/>
                <w:sz w:val="20"/>
                <w:szCs w:val="20"/>
                <w:highlight w:val="none"/>
                <w:lang w:val="en-US" w:eastAsia="zh-CN"/>
              </w:rPr>
              <w:t>注：</w:t>
            </w:r>
            <w:r>
              <w:rPr>
                <w:rFonts w:hint="default" w:ascii="Times New Roman" w:hAnsi="Times New Roman" w:eastAsia="仿宋" w:cs="Times New Roman"/>
                <w:color w:val="auto"/>
                <w:sz w:val="20"/>
                <w:szCs w:val="20"/>
                <w:highlight w:val="none"/>
              </w:rPr>
              <w:t>航空煤油的密度通常在0.78kg/L</w:t>
            </w:r>
            <w:r>
              <w:rPr>
                <w:rFonts w:hint="default" w:ascii="Times New Roman" w:hAnsi="Times New Roman" w:eastAsia="仿宋" w:cs="Times New Roman"/>
                <w:color w:val="auto"/>
                <w:sz w:val="20"/>
                <w:szCs w:val="20"/>
                <w:highlight w:val="none"/>
                <w:lang w:val="en-US" w:eastAsia="zh-CN"/>
              </w:rPr>
              <w:t>~</w:t>
            </w:r>
            <w:r>
              <w:rPr>
                <w:rFonts w:hint="default" w:ascii="Times New Roman" w:hAnsi="Times New Roman" w:eastAsia="仿宋" w:cs="Times New Roman"/>
                <w:color w:val="auto"/>
                <w:sz w:val="20"/>
                <w:szCs w:val="20"/>
                <w:highlight w:val="none"/>
              </w:rPr>
              <w:t>0.85kg/L之间</w:t>
            </w:r>
            <w:r>
              <w:rPr>
                <w:rFonts w:hint="default" w:ascii="Times New Roman" w:hAnsi="Times New Roman" w:eastAsia="仿宋" w:cs="Times New Roman"/>
                <w:color w:val="auto"/>
                <w:sz w:val="20"/>
                <w:szCs w:val="20"/>
                <w:highlight w:val="none"/>
                <w:lang w:eastAsia="zh-CN"/>
              </w:rPr>
              <w:t>，</w:t>
            </w:r>
            <w:r>
              <w:rPr>
                <w:rFonts w:hint="default" w:ascii="Times New Roman" w:hAnsi="Times New Roman" w:eastAsia="仿宋" w:cs="Times New Roman"/>
                <w:color w:val="auto"/>
                <w:sz w:val="20"/>
                <w:szCs w:val="20"/>
                <w:highlight w:val="none"/>
                <w:lang w:val="en-US" w:eastAsia="zh-CN"/>
              </w:rPr>
              <w:t>本项目取0.85kg/L</w:t>
            </w:r>
          </w:p>
        </w:tc>
      </w:tr>
    </w:tbl>
    <w:p w14:paraId="3B1CA126">
      <w:pPr>
        <w:spacing w:after="177"/>
        <w:ind w:firstLine="480" w:firstLineChars="200"/>
        <w:rPr>
          <w:color w:val="auto"/>
          <w:highlight w:val="none"/>
        </w:rPr>
      </w:pPr>
      <w:r>
        <w:rPr>
          <w:color w:val="auto"/>
          <w:highlight w:val="none"/>
        </w:rPr>
        <w:t>根据《建设项目环境风险评价技术导则》（</w:t>
      </w:r>
      <w:r>
        <w:rPr>
          <w:rFonts w:eastAsia="Times New Roman"/>
          <w:color w:val="auto"/>
          <w:highlight w:val="none"/>
        </w:rPr>
        <w:t>HJ169-2018</w:t>
      </w:r>
      <w:r>
        <w:rPr>
          <w:color w:val="auto"/>
          <w:highlight w:val="none"/>
        </w:rPr>
        <w:t>）评价工作等级划分原则，本项目油类储量小于临界量</w:t>
      </w:r>
      <w:r>
        <w:rPr>
          <w:rFonts w:eastAsia="Times New Roman"/>
          <w:color w:val="auto"/>
          <w:highlight w:val="none"/>
        </w:rPr>
        <w:t>2500t</w:t>
      </w:r>
      <w:r>
        <w:rPr>
          <w:color w:val="auto"/>
          <w:highlight w:val="none"/>
        </w:rPr>
        <w:t>，即</w:t>
      </w:r>
      <w:r>
        <w:rPr>
          <w:rFonts w:eastAsia="Times New Roman"/>
          <w:color w:val="auto"/>
          <w:highlight w:val="none"/>
        </w:rPr>
        <w:t>Q</w:t>
      </w:r>
      <w:r>
        <w:rPr>
          <w:color w:val="auto"/>
          <w:highlight w:val="none"/>
        </w:rPr>
        <w:t>＜</w:t>
      </w:r>
      <w:r>
        <w:rPr>
          <w:rFonts w:eastAsia="Times New Roman"/>
          <w:color w:val="auto"/>
          <w:highlight w:val="none"/>
        </w:rPr>
        <w:t>1</w:t>
      </w:r>
      <w:r>
        <w:rPr>
          <w:color w:val="auto"/>
          <w:highlight w:val="none"/>
        </w:rPr>
        <w:t>，该项目环境风险潜势为</w:t>
      </w:r>
      <w:r>
        <w:rPr>
          <w:rFonts w:eastAsia="Times New Roman"/>
          <w:color w:val="auto"/>
          <w:highlight w:val="none"/>
        </w:rPr>
        <w:t>I</w:t>
      </w:r>
      <w:r>
        <w:rPr>
          <w:color w:val="auto"/>
          <w:highlight w:val="none"/>
        </w:rPr>
        <w:t>，评价工作等级为简单分析。简单分析是对于详细评价工作内容而言，在描述危险物质、环境影响途径、环境危害后果、风险防范措施等方面给出定性的说明。</w:t>
      </w:r>
    </w:p>
    <w:p w14:paraId="486042DF">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风险识别</w:t>
      </w:r>
    </w:p>
    <w:p w14:paraId="5A13DC69">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物质危险性识别</w:t>
      </w:r>
    </w:p>
    <w:p w14:paraId="47F3A30C">
      <w:pPr>
        <w:pStyle w:val="133"/>
        <w:rPr>
          <w:color w:val="auto"/>
          <w:highlight w:val="none"/>
        </w:rPr>
      </w:pPr>
      <w:r>
        <w:rPr>
          <w:color w:val="auto"/>
          <w:highlight w:val="none"/>
        </w:rPr>
        <w:t>（1）油品</w:t>
      </w:r>
    </w:p>
    <w:p w14:paraId="5E117A5A">
      <w:pPr>
        <w:pStyle w:val="133"/>
        <w:rPr>
          <w:rFonts w:eastAsia="Times New Roman"/>
          <w:color w:val="auto"/>
          <w:highlight w:val="none"/>
        </w:rPr>
      </w:pPr>
      <w:r>
        <w:rPr>
          <w:color w:val="auto"/>
          <w:highlight w:val="none"/>
        </w:rPr>
        <w:t>本项目涉及的危险物质主要为航空煤油，各危险物质理化性质及危害性分析见表</w:t>
      </w:r>
      <w:r>
        <w:rPr>
          <w:rFonts w:eastAsia="Times New Roman"/>
          <w:color w:val="auto"/>
          <w:highlight w:val="none"/>
        </w:rPr>
        <w:t>5-8-2</w:t>
      </w:r>
      <w:r>
        <w:rPr>
          <w:color w:val="auto"/>
          <w:highlight w:val="none"/>
        </w:rPr>
        <w:t>。</w:t>
      </w:r>
    </w:p>
    <w:p w14:paraId="704E606D">
      <w:pPr>
        <w:pStyle w:val="683"/>
        <w:spacing w:before="0" w:after="0" w:line="240" w:lineRule="auto"/>
        <w:rPr>
          <w:rFonts w:ascii="黑体" w:hAnsi="黑体" w:eastAsia="黑体"/>
          <w:b w:val="0"/>
          <w:color w:val="auto"/>
          <w:sz w:val="21"/>
          <w:highlight w:val="none"/>
        </w:rPr>
      </w:pPr>
      <w:r>
        <w:rPr>
          <w:rFonts w:ascii="黑体" w:hAnsi="黑体" w:eastAsia="黑体"/>
          <w:b w:val="0"/>
          <w:color w:val="auto"/>
          <w:sz w:val="21"/>
          <w:highlight w:val="none"/>
        </w:rPr>
        <w:t>表5-8-2 航空煤油理化性质及危害性分析</w:t>
      </w:r>
    </w:p>
    <w:tbl>
      <w:tblPr>
        <w:tblStyle w:val="5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538"/>
        <w:gridCol w:w="2672"/>
        <w:gridCol w:w="1809"/>
        <w:gridCol w:w="2015"/>
      </w:tblGrid>
      <w:tr w14:paraId="42CDC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Align w:val="center"/>
          </w:tcPr>
          <w:p w14:paraId="367579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标识</w:t>
            </w:r>
          </w:p>
        </w:tc>
        <w:tc>
          <w:tcPr>
            <w:tcW w:w="881" w:type="pct"/>
            <w:vAlign w:val="center"/>
          </w:tcPr>
          <w:p w14:paraId="0BBEFB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中文名</w:t>
            </w:r>
          </w:p>
        </w:tc>
        <w:tc>
          <w:tcPr>
            <w:tcW w:w="1532" w:type="pct"/>
            <w:vAlign w:val="center"/>
          </w:tcPr>
          <w:p w14:paraId="7E5A82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航空煤油</w:t>
            </w:r>
          </w:p>
        </w:tc>
        <w:tc>
          <w:tcPr>
            <w:tcW w:w="1037" w:type="pct"/>
            <w:vAlign w:val="center"/>
          </w:tcPr>
          <w:p w14:paraId="1D3B1F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英文名</w:t>
            </w:r>
          </w:p>
        </w:tc>
        <w:tc>
          <w:tcPr>
            <w:tcW w:w="1153" w:type="pct"/>
            <w:vAlign w:val="center"/>
          </w:tcPr>
          <w:p w14:paraId="29A83D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i/>
                <w:iCs/>
                <w:color w:val="auto"/>
                <w:kern w:val="2"/>
                <w:sz w:val="21"/>
                <w:szCs w:val="21"/>
                <w:highlight w:val="none"/>
                <w:lang w:val="en-US" w:eastAsia="zh-CN" w:bidi="ar-SA"/>
              </w:rPr>
              <w:t>kerosene</w:t>
            </w:r>
          </w:p>
        </w:tc>
      </w:tr>
      <w:tr w14:paraId="519E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restart"/>
            <w:vAlign w:val="center"/>
          </w:tcPr>
          <w:p w14:paraId="59FA22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理化性质</w:t>
            </w:r>
          </w:p>
        </w:tc>
        <w:tc>
          <w:tcPr>
            <w:tcW w:w="881" w:type="pct"/>
            <w:vAlign w:val="center"/>
          </w:tcPr>
          <w:p w14:paraId="4744B0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外观与性质</w:t>
            </w:r>
          </w:p>
        </w:tc>
        <w:tc>
          <w:tcPr>
            <w:tcW w:w="1532" w:type="pct"/>
            <w:vAlign w:val="center"/>
          </w:tcPr>
          <w:p w14:paraId="5DF65F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水白色至淡黄色流动性油状体，易挥发</w:t>
            </w:r>
          </w:p>
        </w:tc>
        <w:tc>
          <w:tcPr>
            <w:tcW w:w="1037" w:type="pct"/>
            <w:vAlign w:val="center"/>
          </w:tcPr>
          <w:p w14:paraId="040156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主要用途</w:t>
            </w:r>
          </w:p>
        </w:tc>
        <w:tc>
          <w:tcPr>
            <w:tcW w:w="1153" w:type="pct"/>
            <w:vAlign w:val="center"/>
          </w:tcPr>
          <w:p w14:paraId="1AA903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用作燃料、溶剂、杀虫喷雾剂</w:t>
            </w:r>
          </w:p>
        </w:tc>
      </w:tr>
      <w:tr w14:paraId="4A6D2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6037C8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2E5479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熔点（℃）</w:t>
            </w:r>
          </w:p>
        </w:tc>
        <w:tc>
          <w:tcPr>
            <w:tcW w:w="1532" w:type="pct"/>
            <w:vAlign w:val="center"/>
          </w:tcPr>
          <w:p w14:paraId="605A88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w:t>
            </w:r>
          </w:p>
        </w:tc>
        <w:tc>
          <w:tcPr>
            <w:tcW w:w="1037" w:type="pct"/>
            <w:vAlign w:val="center"/>
          </w:tcPr>
          <w:p w14:paraId="73E2F7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沸点（℃）</w:t>
            </w:r>
          </w:p>
        </w:tc>
        <w:tc>
          <w:tcPr>
            <w:tcW w:w="1153" w:type="pct"/>
            <w:vAlign w:val="center"/>
          </w:tcPr>
          <w:p w14:paraId="02E2AF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175~325</w:t>
            </w:r>
          </w:p>
        </w:tc>
      </w:tr>
      <w:tr w14:paraId="2011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4B96FE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561C9C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相对密度</w:t>
            </w:r>
          </w:p>
        </w:tc>
        <w:tc>
          <w:tcPr>
            <w:tcW w:w="1532" w:type="pct"/>
            <w:vAlign w:val="center"/>
          </w:tcPr>
          <w:p w14:paraId="2D14B9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0.8~1.0（水）</w:t>
            </w:r>
          </w:p>
        </w:tc>
        <w:tc>
          <w:tcPr>
            <w:tcW w:w="1037" w:type="pct"/>
            <w:vAlign w:val="center"/>
          </w:tcPr>
          <w:p w14:paraId="5AAFE6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相对密度</w:t>
            </w:r>
          </w:p>
        </w:tc>
        <w:tc>
          <w:tcPr>
            <w:tcW w:w="1153" w:type="pct"/>
            <w:vAlign w:val="center"/>
          </w:tcPr>
          <w:p w14:paraId="3B048A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4.5（空气）</w:t>
            </w:r>
          </w:p>
        </w:tc>
      </w:tr>
      <w:tr w14:paraId="7019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7F08A9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1D383F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溶解性</w:t>
            </w:r>
          </w:p>
        </w:tc>
        <w:tc>
          <w:tcPr>
            <w:tcW w:w="3724" w:type="pct"/>
            <w:gridSpan w:val="3"/>
            <w:vAlign w:val="center"/>
          </w:tcPr>
          <w:p w14:paraId="5DC08E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不溶于水，溶于醇等多数有机溶剂</w:t>
            </w:r>
          </w:p>
        </w:tc>
      </w:tr>
      <w:tr w14:paraId="7A93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restart"/>
            <w:vAlign w:val="center"/>
          </w:tcPr>
          <w:p w14:paraId="516D61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燃烧爆炸危险性</w:t>
            </w:r>
          </w:p>
        </w:tc>
        <w:tc>
          <w:tcPr>
            <w:tcW w:w="881" w:type="pct"/>
            <w:vAlign w:val="center"/>
          </w:tcPr>
          <w:p w14:paraId="612296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燃烧性</w:t>
            </w:r>
          </w:p>
        </w:tc>
        <w:tc>
          <w:tcPr>
            <w:tcW w:w="3724" w:type="pct"/>
            <w:gridSpan w:val="3"/>
            <w:vAlign w:val="center"/>
          </w:tcPr>
          <w:p w14:paraId="1FF151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本品易燃，</w:t>
            </w:r>
            <w:r>
              <w:rPr>
                <w:rFonts w:hint="eastAsia" w:cs="Times New Roman" w:eastAsiaTheme="minorEastAsia"/>
                <w:color w:val="auto"/>
                <w:kern w:val="2"/>
                <w:sz w:val="21"/>
                <w:szCs w:val="21"/>
                <w:highlight w:val="none"/>
                <w:lang w:val="en-US" w:eastAsia="zh-CN" w:bidi="ar-SA"/>
              </w:rPr>
              <w:t>具有</w:t>
            </w:r>
            <w:r>
              <w:rPr>
                <w:rFonts w:hint="default" w:ascii="Times New Roman" w:hAnsi="Times New Roman" w:cs="Times New Roman" w:eastAsiaTheme="minorEastAsia"/>
                <w:color w:val="auto"/>
                <w:kern w:val="2"/>
                <w:sz w:val="21"/>
                <w:szCs w:val="21"/>
                <w:highlight w:val="none"/>
                <w:lang w:val="en-US" w:eastAsia="zh-CN" w:bidi="ar-SA"/>
              </w:rPr>
              <w:t>刺激性</w:t>
            </w:r>
          </w:p>
        </w:tc>
      </w:tr>
      <w:tr w14:paraId="5108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64FF37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1D72A4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闪点（℃）</w:t>
            </w:r>
          </w:p>
        </w:tc>
        <w:tc>
          <w:tcPr>
            <w:tcW w:w="1532" w:type="pct"/>
            <w:vAlign w:val="center"/>
          </w:tcPr>
          <w:p w14:paraId="1EBB24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43~72</w:t>
            </w:r>
          </w:p>
        </w:tc>
        <w:tc>
          <w:tcPr>
            <w:tcW w:w="1037" w:type="pct"/>
            <w:vAlign w:val="center"/>
          </w:tcPr>
          <w:p w14:paraId="7A633A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引燃温度（℃）</w:t>
            </w:r>
          </w:p>
        </w:tc>
        <w:tc>
          <w:tcPr>
            <w:tcW w:w="1153" w:type="pct"/>
            <w:vAlign w:val="center"/>
          </w:tcPr>
          <w:p w14:paraId="03AAE6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210</w:t>
            </w:r>
          </w:p>
        </w:tc>
      </w:tr>
      <w:tr w14:paraId="5667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77FF0B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73A16D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爆炸下限（V%）</w:t>
            </w:r>
          </w:p>
        </w:tc>
        <w:tc>
          <w:tcPr>
            <w:tcW w:w="1532" w:type="pct"/>
            <w:vAlign w:val="center"/>
          </w:tcPr>
          <w:p w14:paraId="497D65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1.4</w:t>
            </w:r>
          </w:p>
        </w:tc>
        <w:tc>
          <w:tcPr>
            <w:tcW w:w="1037" w:type="pct"/>
            <w:vAlign w:val="center"/>
          </w:tcPr>
          <w:p w14:paraId="37FDEE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爆炸上限（V%）</w:t>
            </w:r>
          </w:p>
        </w:tc>
        <w:tc>
          <w:tcPr>
            <w:tcW w:w="1153" w:type="pct"/>
            <w:vAlign w:val="center"/>
          </w:tcPr>
          <w:p w14:paraId="1C0D18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7.5</w:t>
            </w:r>
          </w:p>
        </w:tc>
      </w:tr>
      <w:tr w14:paraId="581A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518658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2FA3E1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燃烧产物</w:t>
            </w:r>
          </w:p>
        </w:tc>
        <w:tc>
          <w:tcPr>
            <w:tcW w:w="1532" w:type="pct"/>
            <w:vAlign w:val="center"/>
          </w:tcPr>
          <w:p w14:paraId="52C7C0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一氧化碳、二氧化碳、水</w:t>
            </w:r>
          </w:p>
        </w:tc>
        <w:tc>
          <w:tcPr>
            <w:tcW w:w="1037" w:type="pct"/>
            <w:vAlign w:val="center"/>
          </w:tcPr>
          <w:p w14:paraId="5DF403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稳定性</w:t>
            </w:r>
          </w:p>
        </w:tc>
        <w:tc>
          <w:tcPr>
            <w:tcW w:w="1153" w:type="pct"/>
            <w:vAlign w:val="center"/>
          </w:tcPr>
          <w:p w14:paraId="76CFB2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w:t>
            </w:r>
          </w:p>
        </w:tc>
      </w:tr>
      <w:tr w14:paraId="6AFF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620E15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25F629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禁忌物</w:t>
            </w:r>
          </w:p>
        </w:tc>
        <w:tc>
          <w:tcPr>
            <w:tcW w:w="1532" w:type="pct"/>
            <w:vAlign w:val="center"/>
          </w:tcPr>
          <w:p w14:paraId="68E93C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强氧化剂</w:t>
            </w:r>
          </w:p>
        </w:tc>
        <w:tc>
          <w:tcPr>
            <w:tcW w:w="1037" w:type="pct"/>
            <w:vAlign w:val="center"/>
          </w:tcPr>
          <w:p w14:paraId="0C5D71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聚合危害</w:t>
            </w:r>
          </w:p>
        </w:tc>
        <w:tc>
          <w:tcPr>
            <w:tcW w:w="1153" w:type="pct"/>
            <w:vAlign w:val="center"/>
          </w:tcPr>
          <w:p w14:paraId="1538BA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w:t>
            </w:r>
          </w:p>
        </w:tc>
      </w:tr>
      <w:tr w14:paraId="684A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5D8588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7835E7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灭火方法</w:t>
            </w:r>
          </w:p>
        </w:tc>
        <w:tc>
          <w:tcPr>
            <w:tcW w:w="3724" w:type="pct"/>
            <w:gridSpan w:val="3"/>
            <w:vAlign w:val="center"/>
          </w:tcPr>
          <w:p w14:paraId="4026AB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both"/>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w:t>
            </w:r>
          </w:p>
        </w:tc>
      </w:tr>
      <w:tr w14:paraId="380B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077066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64DC4F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危险特性</w:t>
            </w:r>
          </w:p>
        </w:tc>
        <w:tc>
          <w:tcPr>
            <w:tcW w:w="3724" w:type="pct"/>
            <w:gridSpan w:val="3"/>
            <w:vAlign w:val="center"/>
          </w:tcPr>
          <w:p w14:paraId="0D4BC8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both"/>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其蒸气与空气可形成爆炸性混合物，遇明火、高热能引起燃烧爆炸。与氧化剂可发生反应。流速过快，容易产生和积聚静电。其蒸气比空气重，能在较低处扩散到相当远的地方，遇火源会着火回燃。若遇高热，容器内压增大，有开裂和爆炸的危险。</w:t>
            </w:r>
          </w:p>
        </w:tc>
      </w:tr>
      <w:tr w14:paraId="72083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53AF0A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1782E0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储存注意事项</w:t>
            </w:r>
          </w:p>
        </w:tc>
        <w:tc>
          <w:tcPr>
            <w:tcW w:w="3724" w:type="pct"/>
            <w:gridSpan w:val="3"/>
            <w:vAlign w:val="center"/>
          </w:tcPr>
          <w:p w14:paraId="633FED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both"/>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储存于阴凉、通风的库房。远离火种、热源。炎热季节库温不得超过25℃。应与氧化剂、食用化学品分开存放，切忌混储。采用防爆型照明、通风设施。禁止使用易产生火花的机械设备和工具。储区应备有泄漏应急处理设备和合适的收容材料。</w:t>
            </w:r>
          </w:p>
        </w:tc>
      </w:tr>
      <w:tr w14:paraId="5782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437A61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18CE03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运输注意事项</w:t>
            </w:r>
          </w:p>
        </w:tc>
        <w:tc>
          <w:tcPr>
            <w:tcW w:w="3724" w:type="pct"/>
            <w:gridSpan w:val="3"/>
            <w:vAlign w:val="center"/>
          </w:tcPr>
          <w:p w14:paraId="6DBA79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both"/>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本品铁路运输时限使用钢制企业自备罐车装运，装运前需报有关部门批准。运输时运输车辆应配备相应品种和数量的消防器材及泄漏应急处理设备。夏季最好早晚运输。运输时所用的槽（罐）车应有接地链，槽内可设孔隔板以减少</w:t>
            </w:r>
            <w:r>
              <w:rPr>
                <w:rFonts w:hint="eastAsia" w:cs="Times New Roman" w:eastAsiaTheme="minorEastAsia"/>
                <w:color w:val="auto"/>
                <w:kern w:val="2"/>
                <w:sz w:val="21"/>
                <w:szCs w:val="21"/>
                <w:highlight w:val="none"/>
                <w:lang w:val="en-US" w:eastAsia="zh-CN" w:bidi="ar-SA"/>
              </w:rPr>
              <w:t>振荡</w:t>
            </w:r>
            <w:r>
              <w:rPr>
                <w:rFonts w:hint="default" w:ascii="Times New Roman" w:hAnsi="Times New Roman" w:cs="Times New Roman" w:eastAsiaTheme="minorEastAsia"/>
                <w:color w:val="auto"/>
                <w:kern w:val="2"/>
                <w:sz w:val="21"/>
                <w:szCs w:val="21"/>
                <w:highlight w:val="none"/>
                <w:lang w:val="en-US" w:eastAsia="zh-CN" w:bidi="ar-SA"/>
              </w:rPr>
              <w:t>产生静电。严禁与氧化剂、食用化学品等混装混运。运输途中应防</w:t>
            </w:r>
            <w:r>
              <w:rPr>
                <w:rFonts w:hint="eastAsia" w:cs="Times New Roman" w:eastAsiaTheme="minorEastAsia"/>
                <w:color w:val="auto"/>
                <w:kern w:val="2"/>
                <w:sz w:val="21"/>
                <w:szCs w:val="21"/>
                <w:highlight w:val="none"/>
                <w:lang w:val="en-US" w:eastAsia="zh-CN" w:bidi="ar-SA"/>
              </w:rPr>
              <w:t>暴晒</w:t>
            </w:r>
            <w:r>
              <w:rPr>
                <w:rFonts w:hint="default" w:ascii="Times New Roman" w:hAnsi="Times New Roman" w:cs="Times New Roman" w:eastAsiaTheme="minorEastAsia"/>
                <w:color w:val="auto"/>
                <w:kern w:val="2"/>
                <w:sz w:val="21"/>
                <w:szCs w:val="21"/>
                <w:highlight w:val="none"/>
                <w:lang w:val="en-US" w:eastAsia="zh-CN" w:bidi="ar-SA"/>
              </w:rPr>
              <w:t>、雨淋，防高温。</w:t>
            </w:r>
          </w:p>
          <w:p w14:paraId="145957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both"/>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中途停留时应远离火种、热源、高温区。装运该物品的车辆排气管必须配备阻火装置，禁止使用易产生火花的机械设备和工具装卸。</w:t>
            </w:r>
          </w:p>
          <w:p w14:paraId="265B36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both"/>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公路运输时要按规定路线行驶，勿在居民区和人口稠密区停留。铁路运输时要禁止溜放。严禁用木船、水泥船散装运输。</w:t>
            </w:r>
          </w:p>
        </w:tc>
      </w:tr>
      <w:tr w14:paraId="7070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5" w:type="pct"/>
            <w:gridSpan w:val="2"/>
            <w:vAlign w:val="center"/>
          </w:tcPr>
          <w:p w14:paraId="18D9B8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急性毒性</w:t>
            </w:r>
          </w:p>
        </w:tc>
        <w:tc>
          <w:tcPr>
            <w:tcW w:w="3724" w:type="pct"/>
            <w:gridSpan w:val="3"/>
            <w:vAlign w:val="center"/>
          </w:tcPr>
          <w:p w14:paraId="71A0A2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both"/>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LD</w:t>
            </w:r>
            <w:r>
              <w:rPr>
                <w:rFonts w:hint="default" w:ascii="Times New Roman" w:hAnsi="Times New Roman" w:cs="Times New Roman" w:eastAsiaTheme="minorEastAsia"/>
                <w:color w:val="auto"/>
                <w:kern w:val="2"/>
                <w:sz w:val="21"/>
                <w:szCs w:val="21"/>
                <w:highlight w:val="none"/>
                <w:vertAlign w:val="subscript"/>
                <w:lang w:val="en-US" w:eastAsia="zh-CN" w:bidi="ar-SA"/>
              </w:rPr>
              <w:t>50</w:t>
            </w:r>
            <w:r>
              <w:rPr>
                <w:rFonts w:hint="default" w:ascii="Times New Roman" w:hAnsi="Times New Roman" w:cs="Times New Roman" w:eastAsiaTheme="minorEastAsia"/>
                <w:color w:val="auto"/>
                <w:kern w:val="2"/>
                <w:sz w:val="21"/>
                <w:szCs w:val="21"/>
                <w:highlight w:val="none"/>
                <w:lang w:val="en-US" w:eastAsia="zh-CN" w:bidi="ar-SA"/>
              </w:rPr>
              <w:t>：36000mg/kg（大鼠经口）；7072mg/kg（兔经皮）</w:t>
            </w:r>
          </w:p>
        </w:tc>
      </w:tr>
      <w:tr w14:paraId="43EF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restart"/>
            <w:vAlign w:val="center"/>
          </w:tcPr>
          <w:p w14:paraId="054EC5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危害</w:t>
            </w:r>
          </w:p>
        </w:tc>
        <w:tc>
          <w:tcPr>
            <w:tcW w:w="881" w:type="pct"/>
            <w:vAlign w:val="center"/>
          </w:tcPr>
          <w:p w14:paraId="648EE2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健康危害</w:t>
            </w:r>
          </w:p>
        </w:tc>
        <w:tc>
          <w:tcPr>
            <w:tcW w:w="3724" w:type="pct"/>
            <w:gridSpan w:val="3"/>
            <w:vAlign w:val="center"/>
          </w:tcPr>
          <w:p w14:paraId="14F3F2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both"/>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急性中毒：吸入高浓度煤油蒸气，常先有兴奋，后转入抑制，表现为乏力、头痛、酩酊感、神志恍惚、肌肉震颤、共济运动失调；严重者出现定向力障碍、谵妄、意识模糊等；蒸气可引起眼及呼吸道刺激症状，重者出现化学性肺炎。吸入液态煤油可引起吸入性肺炎，严重时可发生肺水肿。摄入引起口腔、咽喉和胃肠道刺激症状，可出现与吸入中毒相同的中枢神经系统症状。慢性影响：神经衰弱综合征为主要表现，还有眼及呼吸道刺激症状，接触性皮炎，皮肤干燥等。</w:t>
            </w:r>
          </w:p>
        </w:tc>
      </w:tr>
      <w:tr w14:paraId="5C5A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234D5C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1A1290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环境危害</w:t>
            </w:r>
          </w:p>
        </w:tc>
        <w:tc>
          <w:tcPr>
            <w:tcW w:w="3724" w:type="pct"/>
            <w:gridSpan w:val="3"/>
            <w:vAlign w:val="center"/>
          </w:tcPr>
          <w:p w14:paraId="559D39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对大气可能造成污染</w:t>
            </w:r>
          </w:p>
        </w:tc>
      </w:tr>
      <w:tr w14:paraId="29B6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restart"/>
            <w:vAlign w:val="center"/>
          </w:tcPr>
          <w:p w14:paraId="464D66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应急措施</w:t>
            </w:r>
          </w:p>
        </w:tc>
        <w:tc>
          <w:tcPr>
            <w:tcW w:w="881" w:type="pct"/>
            <w:vAlign w:val="center"/>
          </w:tcPr>
          <w:p w14:paraId="5E24E5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皮肤接触</w:t>
            </w:r>
          </w:p>
        </w:tc>
        <w:tc>
          <w:tcPr>
            <w:tcW w:w="3724" w:type="pct"/>
            <w:gridSpan w:val="3"/>
            <w:vAlign w:val="center"/>
          </w:tcPr>
          <w:p w14:paraId="68508E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脱去污染的衣着，用肥皂水和清水彻底冲洗皮肤。</w:t>
            </w:r>
          </w:p>
        </w:tc>
      </w:tr>
      <w:tr w14:paraId="3EED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43F49C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783963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眼睛接触</w:t>
            </w:r>
          </w:p>
        </w:tc>
        <w:tc>
          <w:tcPr>
            <w:tcW w:w="3724" w:type="pct"/>
            <w:gridSpan w:val="3"/>
            <w:vAlign w:val="center"/>
          </w:tcPr>
          <w:p w14:paraId="11B926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提起眼睑，用流动清水或生理盐水冲洗。就医。</w:t>
            </w:r>
          </w:p>
        </w:tc>
      </w:tr>
      <w:tr w14:paraId="75BD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581511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787C07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吸入</w:t>
            </w:r>
          </w:p>
        </w:tc>
        <w:tc>
          <w:tcPr>
            <w:tcW w:w="3724" w:type="pct"/>
            <w:gridSpan w:val="3"/>
            <w:vAlign w:val="center"/>
          </w:tcPr>
          <w:p w14:paraId="07F337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迅速脱离现场至空气新鲜处。保持呼吸道通畅。如呼吸困难，给输氧。如呼吸停止，立即进行人工呼吸。就医。</w:t>
            </w:r>
          </w:p>
        </w:tc>
      </w:tr>
      <w:tr w14:paraId="616C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1B8FE3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69E7E8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食入</w:t>
            </w:r>
          </w:p>
        </w:tc>
        <w:tc>
          <w:tcPr>
            <w:tcW w:w="3724" w:type="pct"/>
            <w:gridSpan w:val="3"/>
            <w:vAlign w:val="center"/>
          </w:tcPr>
          <w:p w14:paraId="659B41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尽快彻底洗胃。就医。</w:t>
            </w:r>
          </w:p>
        </w:tc>
      </w:tr>
      <w:tr w14:paraId="6C63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restart"/>
            <w:vAlign w:val="center"/>
          </w:tcPr>
          <w:p w14:paraId="2DD2D5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防护措施</w:t>
            </w:r>
          </w:p>
        </w:tc>
        <w:tc>
          <w:tcPr>
            <w:tcW w:w="881" w:type="pct"/>
            <w:vAlign w:val="center"/>
          </w:tcPr>
          <w:p w14:paraId="35E28A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工程控制</w:t>
            </w:r>
          </w:p>
        </w:tc>
        <w:tc>
          <w:tcPr>
            <w:tcW w:w="3724" w:type="pct"/>
            <w:gridSpan w:val="3"/>
            <w:vAlign w:val="center"/>
          </w:tcPr>
          <w:p w14:paraId="3CFCBC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生产过程密闭，全面通风。提供安全淋浴和洗眼设备。</w:t>
            </w:r>
          </w:p>
        </w:tc>
      </w:tr>
      <w:tr w14:paraId="44163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62D74F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1569C4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呼吸系统防护</w:t>
            </w:r>
          </w:p>
        </w:tc>
        <w:tc>
          <w:tcPr>
            <w:tcW w:w="3724" w:type="pct"/>
            <w:gridSpan w:val="3"/>
            <w:vAlign w:val="center"/>
          </w:tcPr>
          <w:p w14:paraId="6EADB7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空气中浓度超标时，建议佩戴自吸过滤式防毒面具（半面罩）。紧急事态抢救或撤离时，应该佩戴空气呼吸器。</w:t>
            </w:r>
          </w:p>
        </w:tc>
      </w:tr>
      <w:tr w14:paraId="39F7C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4B6594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415134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眼睛防护</w:t>
            </w:r>
          </w:p>
        </w:tc>
        <w:tc>
          <w:tcPr>
            <w:tcW w:w="3724" w:type="pct"/>
            <w:gridSpan w:val="3"/>
            <w:vAlign w:val="center"/>
          </w:tcPr>
          <w:p w14:paraId="60256E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戴化学安全防护眼镜。</w:t>
            </w:r>
          </w:p>
        </w:tc>
      </w:tr>
      <w:tr w14:paraId="2926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02BAF6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0A63B5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身体防护</w:t>
            </w:r>
          </w:p>
        </w:tc>
        <w:tc>
          <w:tcPr>
            <w:tcW w:w="3724" w:type="pct"/>
            <w:gridSpan w:val="3"/>
            <w:vAlign w:val="center"/>
          </w:tcPr>
          <w:p w14:paraId="1D02BA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穿防静电工作服。</w:t>
            </w:r>
          </w:p>
        </w:tc>
      </w:tr>
      <w:tr w14:paraId="6EE0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733FEF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443C45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手防护</w:t>
            </w:r>
          </w:p>
        </w:tc>
        <w:tc>
          <w:tcPr>
            <w:tcW w:w="3724" w:type="pct"/>
            <w:gridSpan w:val="3"/>
            <w:vAlign w:val="center"/>
          </w:tcPr>
          <w:p w14:paraId="18C07F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戴橡胶耐油手套。</w:t>
            </w:r>
          </w:p>
        </w:tc>
      </w:tr>
      <w:tr w14:paraId="228B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Merge w:val="continue"/>
            <w:vAlign w:val="center"/>
          </w:tcPr>
          <w:p w14:paraId="7F5559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881" w:type="pct"/>
            <w:vAlign w:val="center"/>
          </w:tcPr>
          <w:p w14:paraId="5B9081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其他</w:t>
            </w:r>
          </w:p>
        </w:tc>
        <w:tc>
          <w:tcPr>
            <w:tcW w:w="3724" w:type="pct"/>
            <w:gridSpan w:val="3"/>
            <w:vAlign w:val="center"/>
          </w:tcPr>
          <w:p w14:paraId="027EF0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工作现场严禁吸烟。避免长期反复接触。</w:t>
            </w:r>
          </w:p>
        </w:tc>
      </w:tr>
      <w:tr w14:paraId="077C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5" w:type="pct"/>
            <w:gridSpan w:val="2"/>
            <w:vAlign w:val="center"/>
          </w:tcPr>
          <w:p w14:paraId="53056C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应急监测</w:t>
            </w:r>
          </w:p>
        </w:tc>
        <w:tc>
          <w:tcPr>
            <w:tcW w:w="3724" w:type="pct"/>
            <w:gridSpan w:val="3"/>
            <w:vAlign w:val="center"/>
          </w:tcPr>
          <w:p w14:paraId="5DDB5F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w:t>
            </w:r>
          </w:p>
        </w:tc>
      </w:tr>
      <w:tr w14:paraId="1453E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5" w:type="pct"/>
            <w:gridSpan w:val="2"/>
            <w:vAlign w:val="center"/>
          </w:tcPr>
          <w:p w14:paraId="53A198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废气处置方法</w:t>
            </w:r>
          </w:p>
        </w:tc>
        <w:tc>
          <w:tcPr>
            <w:tcW w:w="3724" w:type="pct"/>
            <w:gridSpan w:val="3"/>
            <w:vAlign w:val="center"/>
          </w:tcPr>
          <w:p w14:paraId="1D7FD4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处置前应参阅国家和地方有关法规。建议用焚烧法处置。</w:t>
            </w:r>
          </w:p>
        </w:tc>
      </w:tr>
      <w:tr w14:paraId="2D6D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3" w:type="pct"/>
            <w:vAlign w:val="center"/>
          </w:tcPr>
          <w:p w14:paraId="577E98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应急处理</w:t>
            </w:r>
          </w:p>
        </w:tc>
        <w:tc>
          <w:tcPr>
            <w:tcW w:w="4606" w:type="pct"/>
            <w:gridSpan w:val="4"/>
            <w:vAlign w:val="center"/>
          </w:tcPr>
          <w:p w14:paraId="115EFB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both"/>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迅速撤离泄漏污染区人员至安全区，并进行隔离，严格限制出入。切断火源。建议应急处理人员戴自给正压式呼吸器，穿防静电工作服。尽可能切断泄漏源。防止流入下水道、排洪沟等限制性空间。小量泄漏：用砂土或其它不燃材料吸附或吸收。</w:t>
            </w:r>
          </w:p>
          <w:p w14:paraId="55EEFB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both"/>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也可以在保证安全情况下，就地焚烧。大量泄漏：构筑围堤或挖坑收容。用泵转移至槽车或专用收集器内，回收或运至废物处理场所处置。</w:t>
            </w:r>
          </w:p>
        </w:tc>
      </w:tr>
    </w:tbl>
    <w:p w14:paraId="2D5ADD12">
      <w:pPr>
        <w:pStyle w:val="133"/>
        <w:rPr>
          <w:color w:val="auto"/>
          <w:highlight w:val="none"/>
        </w:rPr>
      </w:pPr>
      <w:r>
        <w:rPr>
          <w:color w:val="auto"/>
          <w:highlight w:val="none"/>
        </w:rPr>
        <w:t>（2）火灾事故衍生物</w:t>
      </w:r>
    </w:p>
    <w:p w14:paraId="723087C5">
      <w:pPr>
        <w:pStyle w:val="133"/>
        <w:rPr>
          <w:rFonts w:hint="eastAsia" w:eastAsia="宋体"/>
          <w:color w:val="auto"/>
          <w:highlight w:val="none"/>
          <w:lang w:eastAsia="zh-CN"/>
        </w:rPr>
      </w:pPr>
      <w:r>
        <w:rPr>
          <w:color w:val="auto"/>
          <w:highlight w:val="none"/>
        </w:rPr>
        <w:t>机场如果</w:t>
      </w:r>
      <w:r>
        <w:rPr>
          <w:rFonts w:hint="eastAsia"/>
          <w:color w:val="auto"/>
          <w:highlight w:val="none"/>
          <w:lang w:eastAsia="zh-CN"/>
        </w:rPr>
        <w:t>发生</w:t>
      </w:r>
      <w:r>
        <w:rPr>
          <w:color w:val="auto"/>
          <w:highlight w:val="none"/>
        </w:rPr>
        <w:t>火灾事故，油品不完全燃烧会产生有害气体，主要为</w:t>
      </w:r>
      <w:r>
        <w:rPr>
          <w:rFonts w:eastAsia="Times New Roman"/>
          <w:color w:val="auto"/>
          <w:highlight w:val="none"/>
        </w:rPr>
        <w:t>CO</w:t>
      </w:r>
      <w:r>
        <w:rPr>
          <w:color w:val="auto"/>
          <w:highlight w:val="none"/>
        </w:rPr>
        <w:t>。</w:t>
      </w:r>
      <w:r>
        <w:rPr>
          <w:rFonts w:eastAsia="Times New Roman"/>
          <w:color w:val="auto"/>
          <w:highlight w:val="none"/>
        </w:rPr>
        <w:t>CO</w:t>
      </w:r>
      <w:r>
        <w:rPr>
          <w:color w:val="auto"/>
          <w:highlight w:val="none"/>
        </w:rPr>
        <w:t>理化性质及毒理性指标见表</w:t>
      </w:r>
      <w:r>
        <w:rPr>
          <w:rFonts w:eastAsia="Times New Roman"/>
          <w:color w:val="auto"/>
          <w:highlight w:val="none"/>
        </w:rPr>
        <w:t>5-8-3</w:t>
      </w:r>
      <w:r>
        <w:rPr>
          <w:color w:val="auto"/>
          <w:highlight w:val="none"/>
        </w:rPr>
        <w:t>。</w:t>
      </w:r>
    </w:p>
    <w:p w14:paraId="1B000BBD">
      <w:pPr>
        <w:pStyle w:val="683"/>
        <w:spacing w:before="0" w:after="0" w:line="240" w:lineRule="auto"/>
        <w:rPr>
          <w:rFonts w:hint="eastAsia" w:ascii="黑体" w:hAnsi="黑体" w:eastAsia="黑体"/>
          <w:b w:val="0"/>
          <w:bCs/>
          <w:color w:val="auto"/>
          <w:highlight w:val="none"/>
          <w:lang w:eastAsia="zh-CN"/>
        </w:rPr>
      </w:pPr>
      <w:r>
        <w:rPr>
          <w:rFonts w:ascii="黑体" w:hAnsi="黑体" w:eastAsia="黑体"/>
          <w:b w:val="0"/>
          <w:bCs/>
          <w:color w:val="auto"/>
          <w:sz w:val="21"/>
          <w:szCs w:val="16"/>
          <w:highlight w:val="none"/>
        </w:rPr>
        <w:t>表5-8-3</w:t>
      </w:r>
      <w:r>
        <w:rPr>
          <w:rFonts w:hint="eastAsia" w:ascii="黑体" w:hAnsi="黑体" w:eastAsia="黑体"/>
          <w:b w:val="0"/>
          <w:bCs/>
          <w:color w:val="auto"/>
          <w:sz w:val="21"/>
          <w:szCs w:val="16"/>
          <w:highlight w:val="none"/>
          <w:lang w:val="en-US" w:eastAsia="zh-CN"/>
        </w:rPr>
        <w:t xml:space="preserve">  </w:t>
      </w:r>
      <w:r>
        <w:rPr>
          <w:rFonts w:ascii="黑体" w:hAnsi="黑体" w:eastAsia="黑体"/>
          <w:b w:val="0"/>
          <w:bCs/>
          <w:color w:val="auto"/>
          <w:sz w:val="21"/>
          <w:szCs w:val="16"/>
          <w:highlight w:val="none"/>
        </w:rPr>
        <w:t>CO物理、化学及毒理性指标</w:t>
      </w:r>
    </w:p>
    <w:tbl>
      <w:tblPr>
        <w:tblStyle w:val="5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1303"/>
        <w:gridCol w:w="1017"/>
        <w:gridCol w:w="1303"/>
        <w:gridCol w:w="1306"/>
        <w:gridCol w:w="1161"/>
        <w:gridCol w:w="1648"/>
      </w:tblGrid>
      <w:tr w14:paraId="229B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3" w:type="pct"/>
            <w:vAlign w:val="center"/>
          </w:tcPr>
          <w:p w14:paraId="201D7B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品名</w:t>
            </w:r>
          </w:p>
        </w:tc>
        <w:tc>
          <w:tcPr>
            <w:tcW w:w="747" w:type="pct"/>
            <w:vAlign w:val="center"/>
          </w:tcPr>
          <w:p w14:paraId="739C1C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一氧化碳</w:t>
            </w:r>
          </w:p>
        </w:tc>
        <w:tc>
          <w:tcPr>
            <w:tcW w:w="583" w:type="pct"/>
            <w:vAlign w:val="center"/>
          </w:tcPr>
          <w:p w14:paraId="7428C0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英文名</w:t>
            </w:r>
          </w:p>
        </w:tc>
        <w:tc>
          <w:tcPr>
            <w:tcW w:w="1496" w:type="pct"/>
            <w:gridSpan w:val="2"/>
            <w:vAlign w:val="center"/>
          </w:tcPr>
          <w:p w14:paraId="2EFAF2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i/>
                <w:color w:val="auto"/>
                <w:kern w:val="2"/>
                <w:sz w:val="21"/>
                <w:szCs w:val="21"/>
                <w:highlight w:val="none"/>
                <w:lang w:val="en-US" w:eastAsia="zh-CN" w:bidi="ar-SA"/>
              </w:rPr>
            </w:pPr>
            <w:r>
              <w:rPr>
                <w:rFonts w:hint="default" w:ascii="Times New Roman" w:hAnsi="Times New Roman" w:cs="Times New Roman" w:eastAsiaTheme="minorEastAsia"/>
                <w:i/>
                <w:color w:val="auto"/>
                <w:kern w:val="2"/>
                <w:sz w:val="21"/>
                <w:szCs w:val="21"/>
                <w:highlight w:val="none"/>
                <w:lang w:val="en-US" w:eastAsia="zh-CN" w:bidi="ar-SA"/>
              </w:rPr>
              <w:t>carbonmonoxide</w:t>
            </w:r>
          </w:p>
        </w:tc>
        <w:tc>
          <w:tcPr>
            <w:tcW w:w="666" w:type="pct"/>
            <w:vAlign w:val="center"/>
          </w:tcPr>
          <w:p w14:paraId="018577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别名</w:t>
            </w:r>
          </w:p>
        </w:tc>
        <w:tc>
          <w:tcPr>
            <w:tcW w:w="942" w:type="pct"/>
            <w:vAlign w:val="center"/>
          </w:tcPr>
          <w:p w14:paraId="55BE2B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w:t>
            </w:r>
          </w:p>
        </w:tc>
      </w:tr>
      <w:tr w14:paraId="0A21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3" w:type="pct"/>
            <w:vMerge w:val="restart"/>
            <w:vAlign w:val="center"/>
          </w:tcPr>
          <w:p w14:paraId="3F7E34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理化性质</w:t>
            </w:r>
          </w:p>
        </w:tc>
        <w:tc>
          <w:tcPr>
            <w:tcW w:w="747" w:type="pct"/>
            <w:vAlign w:val="center"/>
          </w:tcPr>
          <w:p w14:paraId="7748B3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分子式</w:t>
            </w:r>
          </w:p>
        </w:tc>
        <w:tc>
          <w:tcPr>
            <w:tcW w:w="583" w:type="pct"/>
            <w:vAlign w:val="center"/>
          </w:tcPr>
          <w:p w14:paraId="7B4591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CO</w:t>
            </w:r>
          </w:p>
        </w:tc>
        <w:tc>
          <w:tcPr>
            <w:tcW w:w="747" w:type="pct"/>
            <w:vAlign w:val="center"/>
          </w:tcPr>
          <w:p w14:paraId="2B9E23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分子量</w:t>
            </w:r>
          </w:p>
        </w:tc>
        <w:tc>
          <w:tcPr>
            <w:tcW w:w="748" w:type="pct"/>
            <w:vAlign w:val="center"/>
          </w:tcPr>
          <w:p w14:paraId="217455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28.01</w:t>
            </w:r>
          </w:p>
        </w:tc>
        <w:tc>
          <w:tcPr>
            <w:tcW w:w="666" w:type="pct"/>
            <w:vAlign w:val="center"/>
          </w:tcPr>
          <w:p w14:paraId="20D597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熔点</w:t>
            </w:r>
          </w:p>
          <w:p w14:paraId="35B3D1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w:t>
            </w:r>
          </w:p>
        </w:tc>
        <w:tc>
          <w:tcPr>
            <w:tcW w:w="942" w:type="pct"/>
            <w:vAlign w:val="center"/>
          </w:tcPr>
          <w:p w14:paraId="19A0CC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-199.1</w:t>
            </w:r>
          </w:p>
        </w:tc>
      </w:tr>
      <w:tr w14:paraId="404F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3" w:type="pct"/>
            <w:vMerge w:val="continue"/>
            <w:vAlign w:val="center"/>
          </w:tcPr>
          <w:p w14:paraId="50847C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747" w:type="pct"/>
            <w:vAlign w:val="center"/>
          </w:tcPr>
          <w:p w14:paraId="21C8B5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沸点</w:t>
            </w:r>
          </w:p>
          <w:p w14:paraId="6E5128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w:t>
            </w:r>
          </w:p>
        </w:tc>
        <w:tc>
          <w:tcPr>
            <w:tcW w:w="583" w:type="pct"/>
            <w:vAlign w:val="center"/>
          </w:tcPr>
          <w:p w14:paraId="088795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-191.4</w:t>
            </w:r>
          </w:p>
        </w:tc>
        <w:tc>
          <w:tcPr>
            <w:tcW w:w="747" w:type="pct"/>
            <w:vAlign w:val="center"/>
          </w:tcPr>
          <w:p w14:paraId="48389A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相对密度</w:t>
            </w:r>
          </w:p>
        </w:tc>
        <w:tc>
          <w:tcPr>
            <w:tcW w:w="748" w:type="pct"/>
            <w:vAlign w:val="center"/>
          </w:tcPr>
          <w:p w14:paraId="610BD0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0.97（空气）</w:t>
            </w:r>
          </w:p>
        </w:tc>
        <w:tc>
          <w:tcPr>
            <w:tcW w:w="666" w:type="pct"/>
            <w:vAlign w:val="center"/>
          </w:tcPr>
          <w:p w14:paraId="120F01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蒸气压</w:t>
            </w:r>
          </w:p>
        </w:tc>
        <w:tc>
          <w:tcPr>
            <w:tcW w:w="942" w:type="pct"/>
            <w:vAlign w:val="center"/>
          </w:tcPr>
          <w:p w14:paraId="3E0989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309kPa/-180℃</w:t>
            </w:r>
          </w:p>
        </w:tc>
      </w:tr>
      <w:tr w14:paraId="715E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3" w:type="pct"/>
            <w:vMerge w:val="continue"/>
            <w:vAlign w:val="center"/>
          </w:tcPr>
          <w:p w14:paraId="47AD86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747" w:type="pct"/>
            <w:vAlign w:val="center"/>
          </w:tcPr>
          <w:p w14:paraId="0FCF6F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闪点</w:t>
            </w:r>
          </w:p>
          <w:p w14:paraId="4254A2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w:t>
            </w:r>
          </w:p>
        </w:tc>
        <w:tc>
          <w:tcPr>
            <w:tcW w:w="583" w:type="pct"/>
            <w:vAlign w:val="center"/>
          </w:tcPr>
          <w:p w14:paraId="0598CE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&lt;</w:t>
            </w:r>
            <w:r>
              <w:rPr>
                <w:rFonts w:hint="default" w:ascii="Times New Roman" w:hAnsi="Times New Roman" w:cs="Times New Roman" w:eastAsiaTheme="minorEastAsia"/>
                <w:color w:val="auto"/>
                <w:kern w:val="2"/>
                <w:sz w:val="21"/>
                <w:szCs w:val="21"/>
                <w:highlight w:val="none"/>
                <w:lang w:val="en-US" w:eastAsia="zh-CN" w:bidi="ar-SA"/>
              </w:rPr>
              <w:t>-50</w:t>
            </w:r>
          </w:p>
        </w:tc>
        <w:tc>
          <w:tcPr>
            <w:tcW w:w="747" w:type="pct"/>
            <w:vAlign w:val="center"/>
          </w:tcPr>
          <w:p w14:paraId="525BAC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引燃温度（℃）</w:t>
            </w:r>
          </w:p>
        </w:tc>
        <w:tc>
          <w:tcPr>
            <w:tcW w:w="748" w:type="pct"/>
            <w:vAlign w:val="center"/>
          </w:tcPr>
          <w:p w14:paraId="6BE815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610</w:t>
            </w:r>
          </w:p>
        </w:tc>
        <w:tc>
          <w:tcPr>
            <w:tcW w:w="666" w:type="pct"/>
            <w:vAlign w:val="center"/>
          </w:tcPr>
          <w:p w14:paraId="1B7ED8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爆炸极限</w:t>
            </w:r>
          </w:p>
        </w:tc>
        <w:tc>
          <w:tcPr>
            <w:tcW w:w="942" w:type="pct"/>
            <w:vAlign w:val="center"/>
          </w:tcPr>
          <w:p w14:paraId="02BD7E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上限：74.2%下限：12.5%</w:t>
            </w:r>
          </w:p>
        </w:tc>
      </w:tr>
      <w:tr w14:paraId="1506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3" w:type="pct"/>
            <w:vMerge w:val="continue"/>
            <w:vAlign w:val="center"/>
          </w:tcPr>
          <w:p w14:paraId="447675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747" w:type="pct"/>
            <w:vAlign w:val="center"/>
          </w:tcPr>
          <w:p w14:paraId="145251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外观气味</w:t>
            </w:r>
          </w:p>
        </w:tc>
        <w:tc>
          <w:tcPr>
            <w:tcW w:w="3689" w:type="pct"/>
            <w:gridSpan w:val="5"/>
            <w:vAlign w:val="center"/>
          </w:tcPr>
          <w:p w14:paraId="3E1033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无色无臭气体。</w:t>
            </w:r>
          </w:p>
        </w:tc>
      </w:tr>
      <w:tr w14:paraId="5E6A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3" w:type="pct"/>
            <w:vMerge w:val="continue"/>
            <w:vAlign w:val="center"/>
          </w:tcPr>
          <w:p w14:paraId="148277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747" w:type="pct"/>
            <w:vAlign w:val="center"/>
          </w:tcPr>
          <w:p w14:paraId="3BE571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溶解性</w:t>
            </w:r>
          </w:p>
        </w:tc>
        <w:tc>
          <w:tcPr>
            <w:tcW w:w="3689" w:type="pct"/>
            <w:gridSpan w:val="5"/>
            <w:vAlign w:val="center"/>
          </w:tcPr>
          <w:p w14:paraId="7DCE97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微溶于水，溶于乙醇、苯等多数有机溶剂。</w:t>
            </w:r>
          </w:p>
        </w:tc>
      </w:tr>
      <w:tr w14:paraId="7974E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3" w:type="pct"/>
            <w:vAlign w:val="center"/>
          </w:tcPr>
          <w:p w14:paraId="6157DB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稳定性</w:t>
            </w:r>
          </w:p>
        </w:tc>
        <w:tc>
          <w:tcPr>
            <w:tcW w:w="4436" w:type="pct"/>
            <w:gridSpan w:val="6"/>
            <w:vAlign w:val="center"/>
          </w:tcPr>
          <w:p w14:paraId="0D4C55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w:t>
            </w:r>
          </w:p>
        </w:tc>
      </w:tr>
      <w:tr w14:paraId="5D52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3" w:type="pct"/>
            <w:vAlign w:val="center"/>
          </w:tcPr>
          <w:p w14:paraId="35C290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危险性</w:t>
            </w:r>
          </w:p>
        </w:tc>
        <w:tc>
          <w:tcPr>
            <w:tcW w:w="4436" w:type="pct"/>
            <w:gridSpan w:val="6"/>
            <w:vAlign w:val="center"/>
          </w:tcPr>
          <w:p w14:paraId="76AA26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健康危害：一氧化碳在血中与血红蛋白结合而造成组织缺氧。急性中毒：轻度中毒者出现头痛、头晕、耳鸣、心悸、恶心、呕吐、无力；中度中毒者除上述症状外，还有皮肤粘膜呈樱红色、脉快、烦躁、步态不稳、浅至中度昏迷。</w:t>
            </w:r>
          </w:p>
          <w:p w14:paraId="7C1B5B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环境危害：对环境有危害，对水体、土壤和大气可造成污染。</w:t>
            </w:r>
          </w:p>
          <w:p w14:paraId="109042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燃烧危险：本品易燃。</w:t>
            </w:r>
          </w:p>
        </w:tc>
      </w:tr>
      <w:tr w14:paraId="53A16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3" w:type="pct"/>
            <w:vAlign w:val="center"/>
          </w:tcPr>
          <w:p w14:paraId="439CCB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毒理学资料</w:t>
            </w:r>
          </w:p>
        </w:tc>
        <w:tc>
          <w:tcPr>
            <w:tcW w:w="4436" w:type="pct"/>
            <w:gridSpan w:val="6"/>
            <w:vAlign w:val="center"/>
          </w:tcPr>
          <w:p w14:paraId="453FD4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接触控制与个人防护：中国MAC（mg/m</w:t>
            </w:r>
            <w:r>
              <w:rPr>
                <w:rFonts w:hint="default" w:ascii="Times New Roman" w:hAnsi="Times New Roman" w:cs="Times New Roman" w:eastAsiaTheme="minorEastAsia"/>
                <w:color w:val="auto"/>
                <w:kern w:val="2"/>
                <w:sz w:val="21"/>
                <w:szCs w:val="21"/>
                <w:highlight w:val="none"/>
                <w:vertAlign w:val="superscript"/>
                <w:lang w:val="en-US" w:eastAsia="zh-CN" w:bidi="ar-SA"/>
              </w:rPr>
              <w:t>3</w:t>
            </w:r>
            <w:r>
              <w:rPr>
                <w:rFonts w:hint="default" w:ascii="Times New Roman" w:hAnsi="Times New Roman" w:cs="Times New Roman" w:eastAsiaTheme="minorEastAsia"/>
                <w:color w:val="auto"/>
                <w:kern w:val="2"/>
                <w:sz w:val="21"/>
                <w:szCs w:val="21"/>
                <w:highlight w:val="none"/>
                <w:lang w:val="en-US" w:eastAsia="zh-CN" w:bidi="ar-SA"/>
              </w:rPr>
              <w:t>）：30；前苏联MAC（mg/m</w:t>
            </w:r>
            <w:r>
              <w:rPr>
                <w:rFonts w:hint="default" w:ascii="Times New Roman" w:hAnsi="Times New Roman" w:cs="Times New Roman" w:eastAsiaTheme="minorEastAsia"/>
                <w:color w:val="auto"/>
                <w:kern w:val="2"/>
                <w:sz w:val="21"/>
                <w:szCs w:val="21"/>
                <w:highlight w:val="none"/>
                <w:vertAlign w:val="superscript"/>
                <w:lang w:val="en-US" w:eastAsia="zh-CN" w:bidi="ar-SA"/>
              </w:rPr>
              <w:t>3</w:t>
            </w:r>
            <w:r>
              <w:rPr>
                <w:rFonts w:hint="default" w:ascii="Times New Roman" w:hAnsi="Times New Roman" w:cs="Times New Roman" w:eastAsiaTheme="minorEastAsia"/>
                <w:color w:val="auto"/>
                <w:kern w:val="2"/>
                <w:sz w:val="21"/>
                <w:szCs w:val="21"/>
                <w:highlight w:val="none"/>
                <w:lang w:val="en-US" w:eastAsia="zh-CN" w:bidi="ar-SA"/>
              </w:rPr>
              <w:t>）：20。</w:t>
            </w:r>
          </w:p>
          <w:p w14:paraId="11586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毒理性：LD</w:t>
            </w:r>
            <w:r>
              <w:rPr>
                <w:rFonts w:hint="default" w:ascii="Times New Roman" w:hAnsi="Times New Roman" w:cs="Times New Roman" w:eastAsiaTheme="minorEastAsia"/>
                <w:color w:val="auto"/>
                <w:kern w:val="2"/>
                <w:sz w:val="21"/>
                <w:szCs w:val="21"/>
                <w:highlight w:val="none"/>
                <w:vertAlign w:val="subscript"/>
                <w:lang w:val="en-US" w:eastAsia="zh-CN" w:bidi="ar-SA"/>
              </w:rPr>
              <w:t>50</w:t>
            </w:r>
            <w:r>
              <w:rPr>
                <w:rFonts w:hint="default" w:ascii="Times New Roman" w:hAnsi="Times New Roman" w:cs="Times New Roman" w:eastAsiaTheme="minorEastAsia"/>
                <w:color w:val="auto"/>
                <w:kern w:val="2"/>
                <w:sz w:val="21"/>
                <w:szCs w:val="21"/>
                <w:highlight w:val="none"/>
                <w:lang w:val="en-US" w:eastAsia="zh-CN" w:bidi="ar-SA"/>
              </w:rPr>
              <w:t>：无资料；LC</w:t>
            </w:r>
            <w:r>
              <w:rPr>
                <w:rFonts w:hint="default" w:ascii="Times New Roman" w:hAnsi="Times New Roman" w:cs="Times New Roman" w:eastAsiaTheme="minorEastAsia"/>
                <w:color w:val="auto"/>
                <w:kern w:val="2"/>
                <w:sz w:val="21"/>
                <w:szCs w:val="21"/>
                <w:highlight w:val="none"/>
                <w:vertAlign w:val="subscript"/>
                <w:lang w:val="en-US" w:eastAsia="zh-CN" w:bidi="ar-SA"/>
              </w:rPr>
              <w:t>50</w:t>
            </w:r>
            <w:r>
              <w:rPr>
                <w:rFonts w:hint="default" w:ascii="Times New Roman" w:hAnsi="Times New Roman" w:cs="Times New Roman" w:eastAsiaTheme="minorEastAsia"/>
                <w:color w:val="auto"/>
                <w:kern w:val="2"/>
                <w:sz w:val="21"/>
                <w:szCs w:val="21"/>
                <w:highlight w:val="none"/>
                <w:lang w:val="en-US" w:eastAsia="zh-CN" w:bidi="ar-SA"/>
              </w:rPr>
              <w:t>：2069mg/m</w:t>
            </w:r>
            <w:r>
              <w:rPr>
                <w:rFonts w:hint="default" w:ascii="Times New Roman" w:hAnsi="Times New Roman" w:cs="Times New Roman" w:eastAsiaTheme="minorEastAsia"/>
                <w:color w:val="auto"/>
                <w:kern w:val="2"/>
                <w:sz w:val="21"/>
                <w:szCs w:val="21"/>
                <w:highlight w:val="none"/>
                <w:vertAlign w:val="superscript"/>
                <w:lang w:val="en-US" w:eastAsia="zh-CN" w:bidi="ar-SA"/>
              </w:rPr>
              <w:t>3</w:t>
            </w:r>
            <w:r>
              <w:rPr>
                <w:rFonts w:hint="default" w:ascii="Times New Roman" w:hAnsi="Times New Roman" w:cs="Times New Roman" w:eastAsiaTheme="minorEastAsia"/>
                <w:color w:val="auto"/>
                <w:kern w:val="2"/>
                <w:sz w:val="21"/>
                <w:szCs w:val="21"/>
                <w:highlight w:val="none"/>
                <w:lang w:val="en-US" w:eastAsia="zh-CN" w:bidi="ar-SA"/>
              </w:rPr>
              <w:t>，4小时（大鼠吸入）。</w:t>
            </w:r>
          </w:p>
        </w:tc>
      </w:tr>
    </w:tbl>
    <w:p w14:paraId="124B440F">
      <w:pPr>
        <w:pStyle w:val="133"/>
        <w:ind w:firstLine="480" w:firstLineChars="200"/>
        <w:rPr>
          <w:color w:val="auto"/>
          <w:highlight w:val="none"/>
        </w:rPr>
      </w:pPr>
      <w:r>
        <w:rPr>
          <w:color w:val="auto"/>
          <w:highlight w:val="none"/>
        </w:rPr>
        <w:t>（3）物质危险性识别结果</w:t>
      </w:r>
    </w:p>
    <w:p w14:paraId="5DD9E42C">
      <w:pPr>
        <w:pStyle w:val="133"/>
        <w:ind w:firstLine="480" w:firstLineChars="200"/>
        <w:rPr>
          <w:color w:val="auto"/>
          <w:highlight w:val="none"/>
        </w:rPr>
      </w:pPr>
      <w:r>
        <w:rPr>
          <w:color w:val="auto"/>
          <w:highlight w:val="none"/>
        </w:rPr>
        <w:t>根据《建设项目环境风险评价技术导则》（</w:t>
      </w:r>
      <w:r>
        <w:rPr>
          <w:rFonts w:eastAsia="Times New Roman"/>
          <w:color w:val="auto"/>
          <w:highlight w:val="none"/>
        </w:rPr>
        <w:t>HJ 169-2018</w:t>
      </w:r>
      <w:r>
        <w:rPr>
          <w:color w:val="auto"/>
          <w:highlight w:val="none"/>
        </w:rPr>
        <w:t>）中有关危险物质判定见表</w:t>
      </w:r>
      <w:r>
        <w:rPr>
          <w:rFonts w:eastAsia="Times New Roman"/>
          <w:color w:val="auto"/>
          <w:highlight w:val="none"/>
        </w:rPr>
        <w:t>5-8-5</w:t>
      </w:r>
      <w:r>
        <w:rPr>
          <w:color w:val="auto"/>
          <w:highlight w:val="none"/>
        </w:rPr>
        <w:t>。</w:t>
      </w:r>
    </w:p>
    <w:p w14:paraId="3CB3EE2E">
      <w:pPr>
        <w:pStyle w:val="683"/>
        <w:spacing w:before="0" w:after="0" w:line="240" w:lineRule="auto"/>
        <w:rPr>
          <w:rFonts w:ascii="黑体" w:hAnsi="黑体" w:eastAsia="黑体"/>
          <w:b w:val="0"/>
          <w:bCs/>
          <w:color w:val="auto"/>
          <w:sz w:val="21"/>
          <w:szCs w:val="16"/>
          <w:highlight w:val="none"/>
        </w:rPr>
      </w:pPr>
      <w:r>
        <w:rPr>
          <w:rFonts w:ascii="黑体" w:hAnsi="黑体" w:eastAsia="黑体"/>
          <w:b w:val="0"/>
          <w:bCs/>
          <w:color w:val="auto"/>
          <w:sz w:val="21"/>
          <w:szCs w:val="16"/>
          <w:highlight w:val="none"/>
        </w:rPr>
        <w:t>表5-8-5 危险物质判定</w:t>
      </w:r>
    </w:p>
    <w:tbl>
      <w:tblPr>
        <w:tblStyle w:val="8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193"/>
        <w:gridCol w:w="961"/>
        <w:gridCol w:w="1083"/>
        <w:gridCol w:w="3339"/>
        <w:gridCol w:w="1426"/>
      </w:tblGrid>
      <w:tr w14:paraId="56843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1" w:type="pct"/>
            <w:vAlign w:val="center"/>
          </w:tcPr>
          <w:p w14:paraId="715FBE7B">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黑体" w:hAnsi="黑体" w:eastAsiaTheme="minorEastAsia"/>
                <w:b w:val="0"/>
                <w:bCs/>
                <w:color w:val="auto"/>
                <w:sz w:val="21"/>
                <w:szCs w:val="16"/>
                <w:highlight w:val="none"/>
                <w:lang w:eastAsia="zh-CN"/>
              </w:rPr>
            </w:pPr>
            <w:r>
              <w:rPr>
                <w:rFonts w:hint="default" w:eastAsiaTheme="minorEastAsia"/>
                <w:b w:val="0"/>
                <w:bCs/>
                <w:color w:val="auto"/>
                <w:sz w:val="21"/>
                <w:szCs w:val="21"/>
                <w:highlight w:val="none"/>
              </w:rPr>
              <w:t>序号</w:t>
            </w:r>
          </w:p>
        </w:tc>
        <w:tc>
          <w:tcPr>
            <w:tcW w:w="684" w:type="pct"/>
            <w:vAlign w:val="center"/>
          </w:tcPr>
          <w:p w14:paraId="667FE635">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黑体" w:hAnsi="黑体" w:eastAsiaTheme="minorEastAsia"/>
                <w:b w:val="0"/>
                <w:bCs/>
                <w:color w:val="auto"/>
                <w:sz w:val="21"/>
                <w:szCs w:val="16"/>
                <w:highlight w:val="none"/>
                <w:lang w:eastAsia="zh-CN"/>
              </w:rPr>
            </w:pPr>
            <w:r>
              <w:rPr>
                <w:rFonts w:hint="default" w:eastAsiaTheme="minorEastAsia"/>
                <w:b w:val="0"/>
                <w:bCs/>
                <w:color w:val="auto"/>
                <w:sz w:val="21"/>
                <w:szCs w:val="21"/>
                <w:highlight w:val="none"/>
              </w:rPr>
              <w:t>物质名称</w:t>
            </w:r>
          </w:p>
        </w:tc>
        <w:tc>
          <w:tcPr>
            <w:tcW w:w="551" w:type="pct"/>
            <w:vAlign w:val="center"/>
          </w:tcPr>
          <w:p w14:paraId="7FE2A6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bCs/>
                <w:color w:val="auto"/>
                <w:kern w:val="2"/>
                <w:sz w:val="21"/>
                <w:szCs w:val="21"/>
                <w:highlight w:val="none"/>
                <w:lang w:val="en-US" w:eastAsia="zh-CN" w:bidi="ar-SA"/>
              </w:rPr>
            </w:pPr>
            <w:r>
              <w:rPr>
                <w:rFonts w:hint="default" w:ascii="Times New Roman" w:hAnsi="Times New Roman" w:cs="Times New Roman" w:eastAsiaTheme="minorEastAsia"/>
                <w:bCs/>
                <w:color w:val="auto"/>
                <w:kern w:val="2"/>
                <w:sz w:val="21"/>
                <w:szCs w:val="21"/>
                <w:highlight w:val="none"/>
                <w:lang w:val="en-US" w:eastAsia="zh-CN" w:bidi="ar-SA"/>
              </w:rPr>
              <w:t>闪点</w:t>
            </w:r>
          </w:p>
          <w:p w14:paraId="6717EA45">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黑体" w:hAnsi="黑体" w:eastAsiaTheme="minorEastAsia"/>
                <w:b w:val="0"/>
                <w:bCs/>
                <w:color w:val="auto"/>
                <w:sz w:val="21"/>
                <w:szCs w:val="16"/>
                <w:highlight w:val="none"/>
                <w:lang w:eastAsia="zh-CN"/>
              </w:rPr>
            </w:pPr>
            <w:r>
              <w:rPr>
                <w:rFonts w:hint="default" w:eastAsiaTheme="minorEastAsia"/>
                <w:b w:val="0"/>
                <w:bCs/>
                <w:color w:val="auto"/>
                <w:sz w:val="21"/>
                <w:szCs w:val="21"/>
                <w:highlight w:val="none"/>
              </w:rPr>
              <w:t>（℃）</w:t>
            </w:r>
          </w:p>
        </w:tc>
        <w:tc>
          <w:tcPr>
            <w:tcW w:w="621" w:type="pct"/>
            <w:vAlign w:val="center"/>
          </w:tcPr>
          <w:p w14:paraId="0009F8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bCs/>
                <w:color w:val="auto"/>
                <w:kern w:val="2"/>
                <w:sz w:val="21"/>
                <w:szCs w:val="21"/>
                <w:highlight w:val="none"/>
                <w:lang w:val="en-US" w:eastAsia="zh-CN" w:bidi="ar-SA"/>
              </w:rPr>
            </w:pPr>
            <w:r>
              <w:rPr>
                <w:rFonts w:hint="default" w:ascii="Times New Roman" w:hAnsi="Times New Roman" w:cs="Times New Roman" w:eastAsiaTheme="minorEastAsia"/>
                <w:bCs/>
                <w:color w:val="auto"/>
                <w:kern w:val="2"/>
                <w:sz w:val="21"/>
                <w:szCs w:val="21"/>
                <w:highlight w:val="none"/>
                <w:lang w:val="en-US" w:eastAsia="zh-CN" w:bidi="ar-SA"/>
              </w:rPr>
              <w:t>沸点</w:t>
            </w:r>
          </w:p>
          <w:p w14:paraId="290A887F">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黑体" w:hAnsi="黑体" w:eastAsiaTheme="minorEastAsia"/>
                <w:b w:val="0"/>
                <w:bCs/>
                <w:color w:val="auto"/>
                <w:sz w:val="21"/>
                <w:szCs w:val="16"/>
                <w:highlight w:val="none"/>
                <w:lang w:eastAsia="zh-CN"/>
              </w:rPr>
            </w:pPr>
            <w:r>
              <w:rPr>
                <w:rFonts w:hint="default" w:eastAsiaTheme="minorEastAsia"/>
                <w:b w:val="0"/>
                <w:bCs/>
                <w:color w:val="auto"/>
                <w:sz w:val="21"/>
                <w:szCs w:val="21"/>
                <w:highlight w:val="none"/>
              </w:rPr>
              <w:t>（℃）</w:t>
            </w:r>
          </w:p>
        </w:tc>
        <w:tc>
          <w:tcPr>
            <w:tcW w:w="1914" w:type="pct"/>
            <w:vAlign w:val="center"/>
          </w:tcPr>
          <w:p w14:paraId="1D7A6364">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黑体" w:hAnsi="黑体" w:eastAsiaTheme="minorEastAsia"/>
                <w:b w:val="0"/>
                <w:bCs/>
                <w:color w:val="auto"/>
                <w:sz w:val="21"/>
                <w:szCs w:val="16"/>
                <w:highlight w:val="none"/>
                <w:lang w:eastAsia="zh-CN"/>
              </w:rPr>
            </w:pPr>
            <w:r>
              <w:rPr>
                <w:rFonts w:hint="default" w:eastAsiaTheme="minorEastAsia"/>
                <w:b w:val="0"/>
                <w:bCs/>
                <w:color w:val="auto"/>
                <w:sz w:val="21"/>
                <w:szCs w:val="21"/>
                <w:highlight w:val="none"/>
              </w:rPr>
              <w:t>毒性数据</w:t>
            </w:r>
          </w:p>
        </w:tc>
        <w:tc>
          <w:tcPr>
            <w:tcW w:w="817" w:type="pct"/>
            <w:vAlign w:val="center"/>
          </w:tcPr>
          <w:p w14:paraId="6AB5B28A">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黑体" w:hAnsi="黑体" w:eastAsiaTheme="minorEastAsia"/>
                <w:b w:val="0"/>
                <w:bCs/>
                <w:color w:val="auto"/>
                <w:sz w:val="21"/>
                <w:szCs w:val="16"/>
                <w:highlight w:val="none"/>
                <w:lang w:eastAsia="zh-CN"/>
              </w:rPr>
            </w:pPr>
            <w:r>
              <w:rPr>
                <w:rFonts w:hint="default" w:eastAsiaTheme="minorEastAsia"/>
                <w:b w:val="0"/>
                <w:bCs/>
                <w:color w:val="auto"/>
                <w:sz w:val="21"/>
                <w:szCs w:val="21"/>
                <w:highlight w:val="none"/>
              </w:rPr>
              <w:t>识别结果</w:t>
            </w:r>
          </w:p>
        </w:tc>
      </w:tr>
      <w:tr w14:paraId="43C0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1" w:type="pct"/>
            <w:vAlign w:val="center"/>
          </w:tcPr>
          <w:p w14:paraId="6F3BAAC1">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黑体" w:hAnsi="黑体" w:eastAsiaTheme="minorEastAsia"/>
                <w:b w:val="0"/>
                <w:bCs/>
                <w:color w:val="auto"/>
                <w:sz w:val="21"/>
                <w:szCs w:val="16"/>
                <w:highlight w:val="none"/>
                <w:lang w:eastAsia="zh-CN"/>
              </w:rPr>
            </w:pPr>
            <w:r>
              <w:rPr>
                <w:rFonts w:hint="default" w:eastAsiaTheme="minorEastAsia"/>
                <w:b w:val="0"/>
                <w:bCs/>
                <w:color w:val="auto"/>
                <w:sz w:val="21"/>
                <w:szCs w:val="21"/>
                <w:highlight w:val="none"/>
              </w:rPr>
              <w:t>1</w:t>
            </w:r>
          </w:p>
        </w:tc>
        <w:tc>
          <w:tcPr>
            <w:tcW w:w="684" w:type="pct"/>
            <w:vAlign w:val="center"/>
          </w:tcPr>
          <w:p w14:paraId="6D5EF27B">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黑体" w:hAnsi="黑体" w:eastAsia="黑体"/>
                <w:b w:val="0"/>
                <w:bCs/>
                <w:color w:val="auto"/>
                <w:sz w:val="21"/>
                <w:szCs w:val="16"/>
                <w:highlight w:val="none"/>
              </w:rPr>
            </w:pPr>
            <w:r>
              <w:rPr>
                <w:rFonts w:hint="default" w:eastAsiaTheme="minorEastAsia"/>
                <w:b w:val="0"/>
                <w:bCs/>
                <w:color w:val="auto"/>
                <w:sz w:val="21"/>
                <w:szCs w:val="21"/>
                <w:highlight w:val="none"/>
              </w:rPr>
              <w:t>航空煤油</w:t>
            </w:r>
          </w:p>
        </w:tc>
        <w:tc>
          <w:tcPr>
            <w:tcW w:w="551" w:type="pct"/>
            <w:vAlign w:val="center"/>
          </w:tcPr>
          <w:p w14:paraId="672F7572">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黑体" w:hAnsi="黑体" w:eastAsiaTheme="minorEastAsia"/>
                <w:b w:val="0"/>
                <w:bCs/>
                <w:color w:val="auto"/>
                <w:sz w:val="21"/>
                <w:szCs w:val="16"/>
                <w:highlight w:val="none"/>
                <w:lang w:eastAsia="zh-CN"/>
              </w:rPr>
            </w:pPr>
            <w:r>
              <w:rPr>
                <w:rFonts w:hint="default" w:eastAsiaTheme="minorEastAsia"/>
                <w:b w:val="0"/>
                <w:bCs/>
                <w:color w:val="auto"/>
                <w:sz w:val="21"/>
                <w:szCs w:val="21"/>
                <w:highlight w:val="none"/>
              </w:rPr>
              <w:t>≥38℃</w:t>
            </w:r>
          </w:p>
        </w:tc>
        <w:tc>
          <w:tcPr>
            <w:tcW w:w="621" w:type="pct"/>
            <w:vAlign w:val="center"/>
          </w:tcPr>
          <w:p w14:paraId="61628F74">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黑体" w:hAnsi="黑体" w:eastAsiaTheme="minorEastAsia"/>
                <w:b w:val="0"/>
                <w:bCs/>
                <w:color w:val="auto"/>
                <w:sz w:val="21"/>
                <w:szCs w:val="16"/>
                <w:highlight w:val="none"/>
                <w:lang w:eastAsia="zh-CN"/>
              </w:rPr>
            </w:pPr>
            <w:r>
              <w:rPr>
                <w:rFonts w:hint="default" w:eastAsiaTheme="minorEastAsia"/>
                <w:b w:val="0"/>
                <w:bCs/>
                <w:color w:val="auto"/>
                <w:sz w:val="21"/>
                <w:szCs w:val="21"/>
                <w:highlight w:val="none"/>
              </w:rPr>
              <w:t>140~240</w:t>
            </w:r>
          </w:p>
        </w:tc>
        <w:tc>
          <w:tcPr>
            <w:tcW w:w="1914" w:type="pct"/>
            <w:vAlign w:val="center"/>
          </w:tcPr>
          <w:p w14:paraId="5BF0245E">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黑体" w:hAnsi="黑体" w:eastAsiaTheme="minorEastAsia"/>
                <w:b w:val="0"/>
                <w:bCs/>
                <w:color w:val="auto"/>
                <w:sz w:val="21"/>
                <w:szCs w:val="16"/>
                <w:highlight w:val="none"/>
                <w:lang w:eastAsia="zh-CN"/>
              </w:rPr>
            </w:pPr>
            <w:r>
              <w:rPr>
                <w:rFonts w:hint="default" w:eastAsiaTheme="minorEastAsia"/>
                <w:b w:val="0"/>
                <w:bCs/>
                <w:color w:val="auto"/>
                <w:sz w:val="21"/>
                <w:szCs w:val="21"/>
                <w:highlight w:val="none"/>
              </w:rPr>
              <w:t>LD50：36000mg/kg（大鼠经口）</w:t>
            </w:r>
          </w:p>
        </w:tc>
        <w:tc>
          <w:tcPr>
            <w:tcW w:w="817" w:type="pct"/>
            <w:vAlign w:val="center"/>
          </w:tcPr>
          <w:p w14:paraId="7D6E4168">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黑体" w:hAnsi="黑体" w:eastAsiaTheme="minorEastAsia"/>
                <w:b w:val="0"/>
                <w:bCs/>
                <w:color w:val="auto"/>
                <w:sz w:val="21"/>
                <w:szCs w:val="16"/>
                <w:highlight w:val="none"/>
                <w:lang w:eastAsia="zh-CN"/>
              </w:rPr>
            </w:pPr>
            <w:r>
              <w:rPr>
                <w:rFonts w:hint="default" w:eastAsiaTheme="minorEastAsia"/>
                <w:b w:val="0"/>
                <w:bCs/>
                <w:color w:val="auto"/>
                <w:sz w:val="21"/>
                <w:szCs w:val="21"/>
                <w:highlight w:val="none"/>
              </w:rPr>
              <w:t>易燃、易爆</w:t>
            </w:r>
          </w:p>
        </w:tc>
      </w:tr>
    </w:tbl>
    <w:p w14:paraId="557F0981">
      <w:pPr>
        <w:pStyle w:val="683"/>
        <w:spacing w:before="0" w:after="0" w:line="240" w:lineRule="auto"/>
        <w:rPr>
          <w:rFonts w:eastAsia="黑体"/>
          <w:color w:val="auto"/>
          <w:highlight w:val="none"/>
        </w:rPr>
      </w:pPr>
    </w:p>
    <w:p w14:paraId="549CE286">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生产系统危险性识别</w:t>
      </w:r>
    </w:p>
    <w:p w14:paraId="6649DFF5">
      <w:pPr>
        <w:ind w:firstLine="480" w:firstLineChars="200"/>
        <w:rPr>
          <w:color w:val="auto"/>
          <w:highlight w:val="none"/>
        </w:rPr>
      </w:pPr>
      <w:r>
        <w:rPr>
          <w:color w:val="auto"/>
          <w:highlight w:val="none"/>
        </w:rPr>
        <w:t>本项目主要的风险装置和设施</w:t>
      </w:r>
      <w:r>
        <w:rPr>
          <w:rFonts w:hint="eastAsia"/>
          <w:color w:val="auto"/>
          <w:highlight w:val="none"/>
          <w:lang w:val="en-US" w:eastAsia="zh-CN"/>
        </w:rPr>
        <w:t>为油车棚内的2辆罐式加油车</w:t>
      </w:r>
      <w:r>
        <w:rPr>
          <w:color w:val="auto"/>
          <w:highlight w:val="none"/>
        </w:rPr>
        <w:t>。本项目风险设施情况见表</w:t>
      </w:r>
      <w:r>
        <w:rPr>
          <w:rFonts w:eastAsia="Times New Roman"/>
          <w:color w:val="auto"/>
          <w:highlight w:val="none"/>
        </w:rPr>
        <w:t>5-8-6</w:t>
      </w:r>
      <w:r>
        <w:rPr>
          <w:color w:val="auto"/>
          <w:highlight w:val="none"/>
        </w:rPr>
        <w:t>。</w:t>
      </w:r>
    </w:p>
    <w:p w14:paraId="1D94D64D">
      <w:pPr>
        <w:pStyle w:val="683"/>
        <w:spacing w:before="0" w:after="0" w:line="240" w:lineRule="auto"/>
        <w:rPr>
          <w:rFonts w:eastAsia="黑体"/>
          <w:color w:val="auto"/>
          <w:highlight w:val="none"/>
        </w:rPr>
      </w:pPr>
      <w:r>
        <w:rPr>
          <w:rFonts w:ascii="黑体" w:hAnsi="黑体" w:eastAsia="黑体"/>
          <w:b w:val="0"/>
          <w:bCs/>
          <w:color w:val="auto"/>
          <w:sz w:val="21"/>
          <w:szCs w:val="16"/>
          <w:highlight w:val="none"/>
        </w:rPr>
        <w:t xml:space="preserve">表5-8-6 风险设施情况 </w:t>
      </w:r>
    </w:p>
    <w:tbl>
      <w:tblPr>
        <w:tblStyle w:val="5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127"/>
        <w:gridCol w:w="1576"/>
        <w:gridCol w:w="1501"/>
        <w:gridCol w:w="1706"/>
      </w:tblGrid>
      <w:tr w14:paraId="452C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7" w:type="pct"/>
            <w:vAlign w:val="center"/>
          </w:tcPr>
          <w:p w14:paraId="5654475E">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eastAsiaTheme="minorEastAsia"/>
                <w:b w:val="0"/>
                <w:bCs/>
                <w:color w:val="auto"/>
                <w:sz w:val="21"/>
                <w:szCs w:val="21"/>
                <w:highlight w:val="none"/>
                <w:lang w:val="en-US" w:eastAsia="zh-CN"/>
              </w:rPr>
            </w:pPr>
            <w:r>
              <w:rPr>
                <w:rFonts w:hint="default" w:eastAsiaTheme="minorEastAsia"/>
                <w:b w:val="0"/>
                <w:bCs/>
                <w:color w:val="auto"/>
                <w:sz w:val="21"/>
                <w:szCs w:val="21"/>
                <w:highlight w:val="none"/>
                <w:lang w:val="en-US" w:eastAsia="zh-CN"/>
              </w:rPr>
              <w:t>位置</w:t>
            </w:r>
          </w:p>
        </w:tc>
        <w:tc>
          <w:tcPr>
            <w:tcW w:w="1219" w:type="pct"/>
            <w:vAlign w:val="center"/>
          </w:tcPr>
          <w:p w14:paraId="2C0B7C24">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eastAsiaTheme="minorEastAsia"/>
                <w:b w:val="0"/>
                <w:bCs/>
                <w:color w:val="auto"/>
                <w:sz w:val="21"/>
                <w:szCs w:val="21"/>
                <w:highlight w:val="none"/>
                <w:lang w:val="en-US" w:eastAsia="zh-CN"/>
              </w:rPr>
            </w:pPr>
            <w:r>
              <w:rPr>
                <w:rFonts w:hint="default" w:eastAsiaTheme="minorEastAsia"/>
                <w:b w:val="0"/>
                <w:bCs/>
                <w:color w:val="auto"/>
                <w:sz w:val="21"/>
                <w:szCs w:val="21"/>
                <w:highlight w:val="none"/>
                <w:lang w:val="en-US" w:eastAsia="zh-CN"/>
              </w:rPr>
              <w:t>名称</w:t>
            </w:r>
          </w:p>
        </w:tc>
        <w:tc>
          <w:tcPr>
            <w:tcW w:w="903" w:type="pct"/>
            <w:vAlign w:val="center"/>
          </w:tcPr>
          <w:p w14:paraId="0BCBA557">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eastAsiaTheme="minorEastAsia"/>
                <w:b w:val="0"/>
                <w:bCs/>
                <w:color w:val="auto"/>
                <w:sz w:val="21"/>
                <w:szCs w:val="21"/>
                <w:highlight w:val="none"/>
                <w:lang w:val="en-US" w:eastAsia="zh-CN"/>
              </w:rPr>
            </w:pPr>
            <w:r>
              <w:rPr>
                <w:rFonts w:hint="default" w:eastAsiaTheme="minorEastAsia"/>
                <w:b w:val="0"/>
                <w:bCs/>
                <w:color w:val="auto"/>
                <w:sz w:val="21"/>
                <w:szCs w:val="21"/>
                <w:highlight w:val="none"/>
                <w:lang w:val="en-US" w:eastAsia="zh-CN"/>
              </w:rPr>
              <w:t>数量</w:t>
            </w:r>
          </w:p>
        </w:tc>
        <w:tc>
          <w:tcPr>
            <w:tcW w:w="860" w:type="pct"/>
            <w:vAlign w:val="center"/>
          </w:tcPr>
          <w:p w14:paraId="11943C84">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eastAsiaTheme="minorEastAsia"/>
                <w:b w:val="0"/>
                <w:bCs/>
                <w:color w:val="auto"/>
                <w:sz w:val="21"/>
                <w:szCs w:val="21"/>
                <w:highlight w:val="none"/>
                <w:lang w:val="en-US" w:eastAsia="zh-CN"/>
              </w:rPr>
            </w:pPr>
            <w:r>
              <w:rPr>
                <w:rFonts w:hint="default" w:eastAsiaTheme="minorEastAsia"/>
                <w:b w:val="0"/>
                <w:bCs/>
                <w:color w:val="auto"/>
                <w:sz w:val="21"/>
                <w:szCs w:val="21"/>
                <w:highlight w:val="none"/>
                <w:lang w:val="en-US" w:eastAsia="zh-CN"/>
              </w:rPr>
              <w:t>体积（m</w:t>
            </w:r>
            <w:r>
              <w:rPr>
                <w:rFonts w:hint="default" w:eastAsiaTheme="minorEastAsia"/>
                <w:b w:val="0"/>
                <w:bCs/>
                <w:color w:val="auto"/>
                <w:sz w:val="21"/>
                <w:szCs w:val="21"/>
                <w:highlight w:val="none"/>
                <w:vertAlign w:val="superscript"/>
                <w:lang w:val="en-US" w:eastAsia="zh-CN"/>
              </w:rPr>
              <w:t>3</w:t>
            </w:r>
            <w:r>
              <w:rPr>
                <w:rFonts w:hint="default" w:eastAsiaTheme="minorEastAsia"/>
                <w:b w:val="0"/>
                <w:bCs/>
                <w:color w:val="auto"/>
                <w:sz w:val="21"/>
                <w:szCs w:val="21"/>
                <w:highlight w:val="none"/>
                <w:lang w:val="en-US" w:eastAsia="zh-CN"/>
              </w:rPr>
              <w:t>）</w:t>
            </w:r>
          </w:p>
        </w:tc>
        <w:tc>
          <w:tcPr>
            <w:tcW w:w="978" w:type="pct"/>
            <w:vAlign w:val="center"/>
          </w:tcPr>
          <w:p w14:paraId="4FE2F680">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eastAsiaTheme="minorEastAsia"/>
                <w:b w:val="0"/>
                <w:bCs/>
                <w:color w:val="auto"/>
                <w:sz w:val="21"/>
                <w:szCs w:val="21"/>
                <w:highlight w:val="none"/>
                <w:lang w:val="en-US" w:eastAsia="zh-CN"/>
              </w:rPr>
            </w:pPr>
            <w:r>
              <w:rPr>
                <w:rFonts w:hint="default" w:eastAsiaTheme="minorEastAsia"/>
                <w:b w:val="0"/>
                <w:bCs/>
                <w:color w:val="auto"/>
                <w:sz w:val="21"/>
                <w:szCs w:val="21"/>
                <w:highlight w:val="none"/>
                <w:lang w:val="en-US" w:eastAsia="zh-CN"/>
              </w:rPr>
              <w:t>危险物质</w:t>
            </w:r>
          </w:p>
        </w:tc>
      </w:tr>
      <w:tr w14:paraId="48EF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7" w:type="pct"/>
            <w:vAlign w:val="center"/>
          </w:tcPr>
          <w:p w14:paraId="40A73D72">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eastAsiaTheme="minorEastAsia"/>
                <w:b w:val="0"/>
                <w:bCs/>
                <w:color w:val="auto"/>
                <w:sz w:val="21"/>
                <w:szCs w:val="21"/>
                <w:highlight w:val="none"/>
                <w:lang w:val="en-US" w:eastAsia="zh-CN"/>
              </w:rPr>
            </w:pPr>
            <w:r>
              <w:rPr>
                <w:rFonts w:hint="eastAsia" w:eastAsiaTheme="minorEastAsia"/>
                <w:b w:val="0"/>
                <w:bCs/>
                <w:color w:val="auto"/>
                <w:sz w:val="21"/>
                <w:szCs w:val="21"/>
                <w:highlight w:val="none"/>
                <w:lang w:val="en-US" w:eastAsia="zh-CN"/>
              </w:rPr>
              <w:t>油车棚</w:t>
            </w:r>
          </w:p>
        </w:tc>
        <w:tc>
          <w:tcPr>
            <w:tcW w:w="1219" w:type="pct"/>
            <w:vAlign w:val="center"/>
          </w:tcPr>
          <w:p w14:paraId="6EEF2F9D">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eastAsiaTheme="minorEastAsia"/>
                <w:b w:val="0"/>
                <w:bCs/>
                <w:color w:val="auto"/>
                <w:sz w:val="21"/>
                <w:szCs w:val="21"/>
                <w:highlight w:val="none"/>
                <w:lang w:val="en-US" w:eastAsia="zh-CN"/>
              </w:rPr>
            </w:pPr>
            <w:r>
              <w:rPr>
                <w:rFonts w:hint="eastAsia" w:eastAsiaTheme="minorEastAsia"/>
                <w:b w:val="0"/>
                <w:bCs/>
                <w:color w:val="auto"/>
                <w:sz w:val="21"/>
                <w:szCs w:val="21"/>
                <w:highlight w:val="none"/>
                <w:lang w:val="en-US" w:eastAsia="zh-CN"/>
              </w:rPr>
              <w:t>罐式加油车</w:t>
            </w:r>
          </w:p>
        </w:tc>
        <w:tc>
          <w:tcPr>
            <w:tcW w:w="903" w:type="pct"/>
            <w:vAlign w:val="center"/>
          </w:tcPr>
          <w:p w14:paraId="5CF3AA6F">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eastAsiaTheme="minorEastAsia"/>
                <w:b w:val="0"/>
                <w:bCs/>
                <w:color w:val="auto"/>
                <w:sz w:val="21"/>
                <w:szCs w:val="21"/>
                <w:highlight w:val="none"/>
                <w:lang w:val="en-US" w:eastAsia="zh-CN"/>
              </w:rPr>
            </w:pPr>
            <w:r>
              <w:rPr>
                <w:rFonts w:hint="eastAsia" w:eastAsiaTheme="minorEastAsia"/>
                <w:b w:val="0"/>
                <w:bCs/>
                <w:color w:val="auto"/>
                <w:sz w:val="21"/>
                <w:szCs w:val="21"/>
                <w:highlight w:val="none"/>
                <w:lang w:val="en-US" w:eastAsia="zh-CN"/>
              </w:rPr>
              <w:t>2</w:t>
            </w:r>
          </w:p>
        </w:tc>
        <w:tc>
          <w:tcPr>
            <w:tcW w:w="860" w:type="pct"/>
            <w:vAlign w:val="center"/>
          </w:tcPr>
          <w:p w14:paraId="5197AA58">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eastAsiaTheme="minorEastAsia"/>
                <w:b w:val="0"/>
                <w:bCs/>
                <w:color w:val="auto"/>
                <w:sz w:val="21"/>
                <w:szCs w:val="21"/>
                <w:highlight w:val="none"/>
                <w:lang w:val="en-US" w:eastAsia="zh-CN"/>
              </w:rPr>
            </w:pPr>
            <w:r>
              <w:rPr>
                <w:rFonts w:hint="eastAsia" w:eastAsiaTheme="minorEastAsia"/>
                <w:b w:val="0"/>
                <w:bCs/>
                <w:color w:val="auto"/>
                <w:sz w:val="21"/>
                <w:szCs w:val="21"/>
                <w:highlight w:val="none"/>
                <w:lang w:val="en-US" w:eastAsia="zh-CN"/>
              </w:rPr>
              <w:t>35</w:t>
            </w:r>
            <w:r>
              <w:rPr>
                <w:rFonts w:hint="default" w:eastAsiaTheme="minorEastAsia"/>
                <w:b w:val="0"/>
                <w:bCs/>
                <w:color w:val="auto"/>
                <w:sz w:val="21"/>
                <w:szCs w:val="21"/>
                <w:highlight w:val="none"/>
                <w:lang w:val="en-US" w:eastAsia="zh-CN"/>
              </w:rPr>
              <w:t xml:space="preserve"> </w:t>
            </w:r>
          </w:p>
        </w:tc>
        <w:tc>
          <w:tcPr>
            <w:tcW w:w="978" w:type="pct"/>
            <w:vAlign w:val="center"/>
          </w:tcPr>
          <w:p w14:paraId="7AA5FD24">
            <w:pPr>
              <w:pStyle w:val="683"/>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eastAsiaTheme="minorEastAsia"/>
                <w:b w:val="0"/>
                <w:bCs/>
                <w:color w:val="auto"/>
                <w:sz w:val="21"/>
                <w:szCs w:val="21"/>
                <w:highlight w:val="none"/>
                <w:lang w:val="en-US" w:eastAsia="zh-CN"/>
              </w:rPr>
            </w:pPr>
            <w:r>
              <w:rPr>
                <w:rFonts w:hint="default" w:eastAsiaTheme="minorEastAsia"/>
                <w:b w:val="0"/>
                <w:bCs/>
                <w:color w:val="auto"/>
                <w:sz w:val="21"/>
                <w:szCs w:val="21"/>
                <w:highlight w:val="none"/>
                <w:lang w:val="en-US" w:eastAsia="zh-CN"/>
              </w:rPr>
              <w:t>航空煤油</w:t>
            </w:r>
          </w:p>
        </w:tc>
      </w:tr>
    </w:tbl>
    <w:p w14:paraId="7F4C6D51">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危险物质风险途径识别</w:t>
      </w:r>
    </w:p>
    <w:p w14:paraId="630E1256">
      <w:pPr>
        <w:ind w:firstLine="480" w:firstLineChars="200"/>
        <w:rPr>
          <w:color w:val="auto"/>
          <w:highlight w:val="none"/>
        </w:rPr>
      </w:pPr>
      <w:r>
        <w:rPr>
          <w:color w:val="auto"/>
          <w:highlight w:val="none"/>
        </w:rPr>
        <w:t>本项目危险物质可能发生的风险为油品泄漏、火灾及爆炸风险，可能影响的环境要素和风险途径包括环境空气、土壤、地下水和居民。</w:t>
      </w:r>
    </w:p>
    <w:p w14:paraId="432435CE">
      <w:pPr>
        <w:ind w:firstLine="480" w:firstLineChars="200"/>
        <w:rPr>
          <w:color w:val="auto"/>
          <w:highlight w:val="none"/>
        </w:rPr>
      </w:pPr>
      <w:r>
        <w:rPr>
          <w:color w:val="auto"/>
          <w:highlight w:val="none"/>
        </w:rPr>
        <w:t>大气扩散：油品一旦发生泄漏、燃烧事故后，油品及其伴生污染物CO进入大气将形成毒性气体云团，在被稀释至安全浓度前，这些云团可以在较大范围内扩散，对环境空气质量和人群健康产生影响。</w:t>
      </w:r>
    </w:p>
    <w:p w14:paraId="67BF1A75">
      <w:pPr>
        <w:ind w:firstLine="480" w:firstLineChars="200"/>
        <w:rPr>
          <w:rFonts w:eastAsia="Times New Roman"/>
          <w:color w:val="auto"/>
          <w:highlight w:val="none"/>
        </w:rPr>
      </w:pPr>
      <w:r>
        <w:rPr>
          <w:color w:val="auto"/>
          <w:highlight w:val="none"/>
        </w:rPr>
        <w:t>地下水、土壤扩散：油品储罐发生泄漏后油品聚集在地面，通过地面渗透进入土壤和地下含水层，对土壤和地下水环境造成影响。</w:t>
      </w:r>
    </w:p>
    <w:p w14:paraId="7DDC480F">
      <w:pPr>
        <w:ind w:firstLine="480" w:firstLineChars="200"/>
        <w:rPr>
          <w:color w:val="auto"/>
          <w:highlight w:val="none"/>
        </w:rPr>
      </w:pPr>
      <w:r>
        <w:rPr>
          <w:color w:val="auto"/>
          <w:highlight w:val="none"/>
        </w:rPr>
        <w:t>地表水扩散：油品储罐发生泄漏后油品聚集在地面，在大雨天气或场区发生洪水时，通过雨水或洪水地表径流进入水体，对地表水水环境造成影响。</w:t>
      </w:r>
    </w:p>
    <w:p w14:paraId="6EEF25EC">
      <w:pPr>
        <w:ind w:firstLine="480" w:firstLineChars="200"/>
        <w:rPr>
          <w:rFonts w:ascii="宋体" w:hAnsi="宋体" w:cs="宋体"/>
          <w:color w:val="auto"/>
          <w:highlight w:val="none"/>
        </w:rPr>
      </w:pPr>
      <w:r>
        <w:rPr>
          <w:color w:val="auto"/>
          <w:highlight w:val="none"/>
        </w:rPr>
        <w:t>环境风险环节及受影响的环境要素见图</w:t>
      </w:r>
      <w:r>
        <w:rPr>
          <w:rFonts w:eastAsia="Times New Roman"/>
          <w:color w:val="auto"/>
          <w:highlight w:val="none"/>
        </w:rPr>
        <w:t>5-8-1</w:t>
      </w:r>
      <w:r>
        <w:rPr>
          <w:rFonts w:hint="eastAsia" w:ascii="宋体" w:hAnsi="宋体" w:cs="宋体"/>
          <w:color w:val="auto"/>
          <w:highlight w:val="none"/>
        </w:rPr>
        <w:t>。</w:t>
      </w:r>
    </w:p>
    <w:p w14:paraId="102D153A">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color w:val="auto"/>
          <w:highlight w:val="none"/>
        </w:rPr>
        <mc:AlternateContent>
          <mc:Choice Requires="wpg">
            <w:drawing>
              <wp:inline distT="0" distB="0" distL="0" distR="0">
                <wp:extent cx="5715" cy="5715"/>
                <wp:effectExtent l="0" t="0" r="0" b="0"/>
                <wp:docPr id="661245" name="Group 661245"/>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79051" name="Shape 79051"/>
                        <wps:cNvSpPr/>
                        <wps:spPr>
                          <a:xfrm>
                            <a:off x="0" y="0"/>
                            <a:ext cx="0" cy="0"/>
                          </a:xfrm>
                          <a:custGeom>
                            <a:avLst/>
                            <a:gdLst/>
                            <a:ahLst/>
                            <a:cxnLst/>
                            <a:rect l="0" t="0" r="0" b="0"/>
                            <a:pathLst>
                              <a:path>
                                <a:moveTo>
                                  <a:pt x="0" y="0"/>
                                </a:moveTo>
                                <a:lnTo>
                                  <a:pt x="0" y="0"/>
                                </a:lnTo>
                              </a:path>
                            </a:pathLst>
                          </a:custGeom>
                          <a:noFill/>
                          <a:ln w="6096" cap="flat" cmpd="sng" algn="ctr">
                            <a:solidFill>
                              <a:srgbClr val="5B9BD5"/>
                            </a:solidFill>
                            <a:prstDash val="solid"/>
                            <a:miter lim="101600"/>
                          </a:ln>
                          <a:effectLst/>
                        </wps:spPr>
                        <wps:style>
                          <a:lnRef idx="1">
                            <a:srgbClr val="5B9BD5"/>
                          </a:lnRef>
                          <a:fillRef idx="0">
                            <a:srgbClr val="000000">
                              <a:alpha val="0"/>
                            </a:srgbClr>
                          </a:fillRef>
                          <a:effectRef idx="0">
                            <a:scrgbClr r="0" g="0" b="0"/>
                          </a:effectRef>
                          <a:fontRef idx="none"/>
                        </wps:style>
                        <wps:bodyPr/>
                      </wps:wsp>
                    </wpg:wgp>
                  </a:graphicData>
                </a:graphic>
              </wp:inline>
            </w:drawing>
          </mc:Choice>
          <mc:Fallback>
            <w:pict>
              <v:group id="Group 661245" o:spid="_x0000_s1026" o:spt="203" style="height:0.45pt;width:0.45pt;" coordsize="6096,6096" o:gfxdata="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HG35nQAAAA/wAAAA8AAAAAAAAA&#10;AQAgAAAAIgAAAGRycy9kb3ducmV2LnhtbFBLAQIUABQAAAAIAIdO4kCnO9vPUgIAAI0FAAAOAAAA&#10;AAAAAAEAIAAAAB8BAABkcnMvZTJvRG9jLnhtbFBLBQYAAAAABgAGAFkBAADjBQAAAAA=&#10;">
                <o:lock v:ext="edit" aspectratio="f"/>
                <v:shape id="Shape 79051" o:spid="_x0000_s1026" o:spt="100" style="position:absolute;left:0;top:0;height:0;width:0;" filled="f" stroked="t" coordsize="0,0" o:gfxdata="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MBJ4G/&#10;AAAA3gAAAA8AAAAAAAAAAQAgAAAAIgAAAGRycy9kb3ducmV2LnhtbFBLAQIUABQAAAAIAIdO4kAz&#10;LwWeOwAAADkAAAAQAAAAAAAAAAEAIAAAAA4BAABkcnMvc2hhcGV4bWwueG1sUEsFBgAAAAAGAAYA&#10;WwEAALgDAAAAAA==&#10;" path="m0,0l0,0e">
                  <v:fill on="f" focussize="0,0"/>
                  <v:stroke weight="0.48pt" color="#5B9BD5" miterlimit="1" joinstyle="miter"/>
                  <v:imagedata o:title=""/>
                  <o:lock v:ext="edit" aspectratio="f"/>
                </v:shape>
                <w10:wrap type="none"/>
                <w10:anchorlock/>
              </v:group>
            </w:pict>
          </mc:Fallback>
        </mc:AlternateContent>
      </w:r>
      <w:r>
        <w:rPr>
          <w:rFonts w:hint="eastAsia" w:eastAsia="黑体" w:cs="Times New Roman"/>
          <w:color w:val="auto"/>
          <w:spacing w:val="0"/>
          <w:kern w:val="2"/>
          <w:sz w:val="28"/>
          <w:szCs w:val="28"/>
          <w:highlight w:val="none"/>
          <w:lang w:val="en-US" w:eastAsia="zh-CN" w:bidi="ar-SA"/>
        </w:rPr>
        <w:t>风险事故情形分析</w:t>
      </w:r>
    </w:p>
    <w:p w14:paraId="09522654">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油车棚</w:t>
      </w:r>
      <w:r>
        <w:rPr>
          <w:rFonts w:hint="eastAsia" w:ascii="Times New Roman" w:hAnsi="Times New Roman" w:eastAsia="宋体" w:cs="Times New Roman"/>
          <w:b w:val="0"/>
          <w:bCs w:val="0"/>
          <w:color w:val="auto"/>
          <w:kern w:val="2"/>
          <w:sz w:val="24"/>
          <w:szCs w:val="24"/>
          <w:highlight w:val="none"/>
          <w:lang w:val="en-US" w:eastAsia="zh-CN" w:bidi="ar-SA"/>
        </w:rPr>
        <w:t>风险事故调查及事故树分析</w:t>
      </w:r>
    </w:p>
    <w:p w14:paraId="5FE9712B">
      <w:pPr>
        <w:pStyle w:val="133"/>
        <w:rPr>
          <w:color w:val="auto"/>
          <w:highlight w:val="none"/>
        </w:rPr>
      </w:pPr>
      <w:r>
        <w:rPr>
          <w:color w:val="auto"/>
          <w:highlight w:val="none"/>
        </w:rPr>
        <w:t>根据本项目</w:t>
      </w:r>
      <w:r>
        <w:rPr>
          <w:rFonts w:hint="eastAsia"/>
          <w:color w:val="auto"/>
          <w:highlight w:val="none"/>
        </w:rPr>
        <w:t>油车棚</w:t>
      </w:r>
      <w:r>
        <w:rPr>
          <w:rFonts w:hint="eastAsia"/>
          <w:color w:val="auto"/>
          <w:highlight w:val="none"/>
          <w:lang w:val="en-US" w:eastAsia="zh-CN"/>
        </w:rPr>
        <w:t>设置</w:t>
      </w:r>
      <w:r>
        <w:rPr>
          <w:color w:val="auto"/>
          <w:highlight w:val="none"/>
        </w:rPr>
        <w:t>情况、航空煤油的物理化学特性，以及周围敏感点特征，可能发生的风险为航空煤油泄漏、火灾及爆炸风险，可能影响的环境要素包括环境空气、地表水、土壤、地下水、工作人员和旅客。</w:t>
      </w:r>
    </w:p>
    <w:p w14:paraId="33EECB99">
      <w:pPr>
        <w:pStyle w:val="133"/>
        <w:rPr>
          <w:color w:val="auto"/>
          <w:highlight w:val="none"/>
        </w:rPr>
      </w:pPr>
      <w:r>
        <w:rPr>
          <w:color w:val="auto"/>
          <w:highlight w:val="none"/>
        </w:rPr>
        <w:t>（1）风险事故案例</w:t>
      </w:r>
    </w:p>
    <w:p w14:paraId="4E2BA8E8">
      <w:pPr>
        <w:pStyle w:val="133"/>
        <w:rPr>
          <w:color w:val="auto"/>
          <w:highlight w:val="none"/>
        </w:rPr>
      </w:pPr>
      <w:r>
        <w:rPr>
          <w:color w:val="auto"/>
          <w:highlight w:val="none"/>
        </w:rPr>
        <w:t>经调查</w:t>
      </w:r>
      <w:r>
        <w:rPr>
          <w:rFonts w:hint="eastAsia"/>
          <w:color w:val="auto"/>
          <w:highlight w:val="none"/>
          <w:lang w:val="en-US" w:eastAsia="zh-CN"/>
        </w:rPr>
        <w:t>机场</w:t>
      </w:r>
      <w:r>
        <w:rPr>
          <w:color w:val="auto"/>
          <w:highlight w:val="none"/>
        </w:rPr>
        <w:t xml:space="preserve">风险案例见表 </w:t>
      </w:r>
      <w:r>
        <w:rPr>
          <w:rFonts w:eastAsia="Times New Roman"/>
          <w:color w:val="auto"/>
          <w:highlight w:val="none"/>
        </w:rPr>
        <w:t>5-8-7</w:t>
      </w:r>
      <w:r>
        <w:rPr>
          <w:color w:val="auto"/>
          <w:highlight w:val="none"/>
        </w:rPr>
        <w:t>。</w:t>
      </w:r>
    </w:p>
    <w:p w14:paraId="7DEEA66A">
      <w:pPr>
        <w:pStyle w:val="683"/>
        <w:spacing w:before="0" w:after="0" w:line="240" w:lineRule="auto"/>
        <w:rPr>
          <w:rFonts w:ascii="黑体" w:hAnsi="黑体" w:eastAsia="黑体"/>
          <w:b w:val="0"/>
          <w:bCs/>
          <w:color w:val="auto"/>
          <w:sz w:val="21"/>
          <w:szCs w:val="16"/>
          <w:highlight w:val="none"/>
        </w:rPr>
      </w:pPr>
      <w:r>
        <w:rPr>
          <w:rFonts w:ascii="黑体" w:hAnsi="黑体" w:eastAsia="黑体"/>
          <w:b w:val="0"/>
          <w:bCs/>
          <w:color w:val="auto"/>
          <w:sz w:val="21"/>
          <w:szCs w:val="16"/>
          <w:highlight w:val="none"/>
        </w:rPr>
        <w:t>表5-8-7 风险案例列举</w:t>
      </w:r>
    </w:p>
    <w:tbl>
      <w:tblPr>
        <w:tblStyle w:val="5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1406"/>
        <w:gridCol w:w="6044"/>
      </w:tblGrid>
      <w:tr w14:paraId="768D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8" w:type="pct"/>
            <w:vAlign w:val="center"/>
          </w:tcPr>
          <w:p w14:paraId="07799323">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发生时间</w:t>
            </w:r>
          </w:p>
        </w:tc>
        <w:tc>
          <w:tcPr>
            <w:tcW w:w="806" w:type="pct"/>
            <w:vAlign w:val="center"/>
          </w:tcPr>
          <w:p w14:paraId="3D2FA53C">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发生地点</w:t>
            </w:r>
          </w:p>
        </w:tc>
        <w:tc>
          <w:tcPr>
            <w:tcW w:w="3466" w:type="pct"/>
            <w:vAlign w:val="center"/>
          </w:tcPr>
          <w:p w14:paraId="300D4DCD">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发生原因及影响程度</w:t>
            </w:r>
          </w:p>
        </w:tc>
      </w:tr>
      <w:tr w14:paraId="6A19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8" w:type="pct"/>
            <w:vAlign w:val="center"/>
          </w:tcPr>
          <w:p w14:paraId="66F134B0">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2002.8.24</w:t>
            </w:r>
          </w:p>
        </w:tc>
        <w:tc>
          <w:tcPr>
            <w:tcW w:w="806" w:type="pct"/>
            <w:vAlign w:val="center"/>
          </w:tcPr>
          <w:p w14:paraId="779E315C">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某机场油罐区</w:t>
            </w:r>
          </w:p>
        </w:tc>
        <w:tc>
          <w:tcPr>
            <w:tcW w:w="3466" w:type="pct"/>
            <w:vAlign w:val="center"/>
          </w:tcPr>
          <w:p w14:paraId="18D2D35A">
            <w:pPr>
              <w:keepNext w:val="0"/>
              <w:keepLines w:val="0"/>
              <w:widowControl w:val="0"/>
              <w:suppressLineNumbers w:val="0"/>
              <w:adjustRightInd/>
              <w:snapToGrid/>
              <w:spacing w:before="0" w:beforeAutospacing="0" w:after="0" w:afterAutospacing="0" w:line="240" w:lineRule="auto"/>
              <w:ind w:left="0" w:right="0" w:firstLine="0"/>
              <w:jc w:val="both"/>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员工在焊接2#柴油罐入孔口处遮雨盖支架对时，违章作业，导致油气爆炸失火，罐体向东北方向抛出约1.5m，罐内柴油溢出着火，造成4人死亡，2名临时工受伤，油罐报废。</w:t>
            </w:r>
          </w:p>
        </w:tc>
      </w:tr>
      <w:tr w14:paraId="3964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728" w:type="pct"/>
            <w:vAlign w:val="center"/>
          </w:tcPr>
          <w:p w14:paraId="2F5C5E28">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2005.3.19</w:t>
            </w:r>
          </w:p>
        </w:tc>
        <w:tc>
          <w:tcPr>
            <w:tcW w:w="806" w:type="pct"/>
            <w:vAlign w:val="center"/>
          </w:tcPr>
          <w:p w14:paraId="02B0E5D3">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十堰市白浪</w:t>
            </w:r>
          </w:p>
        </w:tc>
        <w:tc>
          <w:tcPr>
            <w:tcW w:w="3466" w:type="pct"/>
            <w:vAlign w:val="center"/>
          </w:tcPr>
          <w:p w14:paraId="29336AFC">
            <w:pPr>
              <w:keepNext w:val="0"/>
              <w:keepLines w:val="0"/>
              <w:widowControl w:val="0"/>
              <w:suppressLineNumbers w:val="0"/>
              <w:adjustRightInd/>
              <w:snapToGrid/>
              <w:spacing w:before="0" w:beforeAutospacing="0" w:after="0" w:afterAutospacing="0" w:line="240" w:lineRule="auto"/>
              <w:ind w:left="0" w:right="0" w:firstLine="0"/>
              <w:jc w:val="both"/>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一辆车号为鄂C-18146的大型油罐车，在1号台装汽油。当装至一半时，罐体前端底部焊缝处突然裂开近20公分长一道裂缝，</w:t>
            </w:r>
            <w:r>
              <w:rPr>
                <w:rFonts w:hint="eastAsia" w:cs="Times New Roman" w:eastAsiaTheme="minorEastAsia"/>
                <w:color w:val="auto"/>
                <w:kern w:val="2"/>
                <w:sz w:val="21"/>
                <w:szCs w:val="21"/>
                <w:highlight w:val="none"/>
                <w:lang w:val="en-US" w:eastAsia="zh-CN" w:bidi="ar-SA"/>
              </w:rPr>
              <w:t>瞬间</w:t>
            </w:r>
            <w:r>
              <w:rPr>
                <w:rFonts w:hint="default" w:ascii="Times New Roman" w:hAnsi="Times New Roman" w:cs="Times New Roman" w:eastAsiaTheme="minorEastAsia"/>
                <w:color w:val="auto"/>
                <w:kern w:val="2"/>
                <w:sz w:val="21"/>
                <w:szCs w:val="21"/>
                <w:highlight w:val="none"/>
                <w:lang w:val="en-US" w:eastAsia="zh-CN" w:bidi="ar-SA"/>
              </w:rPr>
              <w:t>大量汽油急速喷泄。</w:t>
            </w:r>
          </w:p>
        </w:tc>
      </w:tr>
      <w:tr w14:paraId="1A4BD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728" w:type="pct"/>
            <w:vAlign w:val="center"/>
          </w:tcPr>
          <w:p w14:paraId="4D5D8048">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2006.1.5</w:t>
            </w:r>
          </w:p>
        </w:tc>
        <w:tc>
          <w:tcPr>
            <w:tcW w:w="806" w:type="pct"/>
            <w:vAlign w:val="center"/>
          </w:tcPr>
          <w:p w14:paraId="0FB816CA">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河南省巩义市第二电厂</w:t>
            </w:r>
          </w:p>
        </w:tc>
        <w:tc>
          <w:tcPr>
            <w:tcW w:w="3466" w:type="pct"/>
            <w:vAlign w:val="center"/>
          </w:tcPr>
          <w:p w14:paraId="358A38C1">
            <w:pPr>
              <w:keepNext w:val="0"/>
              <w:keepLines w:val="0"/>
              <w:widowControl w:val="0"/>
              <w:suppressLineNumbers w:val="0"/>
              <w:adjustRightInd/>
              <w:snapToGrid/>
              <w:spacing w:before="0" w:beforeAutospacing="0" w:after="0" w:afterAutospacing="0" w:line="240" w:lineRule="auto"/>
              <w:ind w:left="0" w:right="0" w:firstLine="0"/>
              <w:jc w:val="both"/>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储油罐发生泄漏事故，该厂输油管道因天寒冻裂未及时发现</w:t>
            </w:r>
            <w:r>
              <w:rPr>
                <w:rFonts w:hint="eastAsia" w:ascii="Times New Roman" w:hAnsi="Times New Roman" w:cs="Times New Roman" w:eastAsiaTheme="minorEastAsia"/>
                <w:color w:val="auto"/>
                <w:kern w:val="2"/>
                <w:sz w:val="21"/>
                <w:szCs w:val="21"/>
                <w:highlight w:val="none"/>
                <w:lang w:val="en-US" w:eastAsia="zh-CN" w:bidi="ar-SA"/>
              </w:rPr>
              <w:t>，</w:t>
            </w:r>
            <w:r>
              <w:rPr>
                <w:rFonts w:hint="default" w:ascii="Times New Roman" w:hAnsi="Times New Roman" w:cs="Times New Roman" w:eastAsiaTheme="minorEastAsia"/>
                <w:color w:val="auto"/>
                <w:kern w:val="2"/>
                <w:sz w:val="21"/>
                <w:szCs w:val="21"/>
                <w:highlight w:val="none"/>
                <w:lang w:val="en-US" w:eastAsia="zh-CN" w:bidi="ar-SA"/>
              </w:rPr>
              <w:t>致使罐内12t柴油外排，有6t左右柴油进入黄河支流伊洛河。</w:t>
            </w:r>
          </w:p>
        </w:tc>
      </w:tr>
    </w:tbl>
    <w:p w14:paraId="1F16A602">
      <w:pPr>
        <w:pStyle w:val="133"/>
        <w:rPr>
          <w:color w:val="auto"/>
          <w:highlight w:val="none"/>
        </w:rPr>
      </w:pPr>
      <w:r>
        <w:rPr>
          <w:color w:val="auto"/>
          <w:highlight w:val="none"/>
        </w:rPr>
        <w:t>（2）事故类型统计</w:t>
      </w:r>
    </w:p>
    <w:p w14:paraId="4FD14236">
      <w:pPr>
        <w:pStyle w:val="133"/>
        <w:rPr>
          <w:rFonts w:hint="eastAsia" w:eastAsia="宋体"/>
          <w:color w:val="auto"/>
          <w:highlight w:val="none"/>
          <w:lang w:eastAsia="zh-CN"/>
        </w:rPr>
      </w:pPr>
      <w:r>
        <w:rPr>
          <w:color w:val="auto"/>
          <w:highlight w:val="none"/>
        </w:rPr>
        <w:t>由上述案例可知油料自身的物质危险性构成了</w:t>
      </w:r>
      <w:r>
        <w:rPr>
          <w:rFonts w:hint="eastAsia"/>
          <w:color w:val="auto"/>
          <w:highlight w:val="none"/>
          <w:lang w:val="en-US" w:eastAsia="zh-CN"/>
        </w:rPr>
        <w:t>机场</w:t>
      </w:r>
      <w:r>
        <w:rPr>
          <w:color w:val="auto"/>
          <w:highlight w:val="none"/>
        </w:rPr>
        <w:t>安全的潜在危险性。通过对</w:t>
      </w:r>
      <w:r>
        <w:rPr>
          <w:rFonts w:eastAsia="Times New Roman"/>
          <w:color w:val="auto"/>
          <w:highlight w:val="none"/>
        </w:rPr>
        <w:t>189</w:t>
      </w:r>
      <w:r>
        <w:rPr>
          <w:color w:val="auto"/>
          <w:highlight w:val="none"/>
        </w:rPr>
        <w:t>例</w:t>
      </w:r>
      <w:r>
        <w:rPr>
          <w:rFonts w:hint="eastAsia"/>
          <w:color w:val="auto"/>
          <w:highlight w:val="none"/>
          <w:lang w:val="en-US" w:eastAsia="zh-CN"/>
        </w:rPr>
        <w:t>风险</w:t>
      </w:r>
      <w:r>
        <w:rPr>
          <w:color w:val="auto"/>
          <w:highlight w:val="none"/>
        </w:rPr>
        <w:t>事故案例的统计得出表</w:t>
      </w:r>
      <w:r>
        <w:rPr>
          <w:rFonts w:eastAsia="Times New Roman"/>
          <w:color w:val="auto"/>
          <w:highlight w:val="none"/>
        </w:rPr>
        <w:t>5-8-8</w:t>
      </w:r>
      <w:r>
        <w:rPr>
          <w:color w:val="auto"/>
          <w:highlight w:val="none"/>
        </w:rPr>
        <w:t>所列出的事故分类统计数据。</w:t>
      </w:r>
    </w:p>
    <w:p w14:paraId="54F44856">
      <w:pPr>
        <w:pStyle w:val="683"/>
        <w:spacing w:before="0" w:after="0" w:line="240" w:lineRule="auto"/>
        <w:rPr>
          <w:rFonts w:hint="eastAsia" w:eastAsia="黑体"/>
          <w:color w:val="auto"/>
          <w:highlight w:val="none"/>
          <w:lang w:eastAsia="zh-CN"/>
        </w:rPr>
      </w:pPr>
      <w:r>
        <w:rPr>
          <w:rFonts w:ascii="黑体" w:hAnsi="黑体" w:eastAsia="黑体"/>
          <w:b w:val="0"/>
          <w:bCs/>
          <w:color w:val="auto"/>
          <w:sz w:val="21"/>
          <w:szCs w:val="16"/>
          <w:highlight w:val="none"/>
        </w:rPr>
        <w:t>表5-8-8</w:t>
      </w:r>
      <w:r>
        <w:rPr>
          <w:rFonts w:hint="eastAsia" w:ascii="黑体" w:hAnsi="黑体" w:eastAsia="黑体"/>
          <w:b w:val="0"/>
          <w:bCs/>
          <w:color w:val="auto"/>
          <w:sz w:val="21"/>
          <w:szCs w:val="16"/>
          <w:highlight w:val="none"/>
          <w:lang w:val="en-US" w:eastAsia="zh-CN"/>
        </w:rPr>
        <w:t>机场</w:t>
      </w:r>
      <w:r>
        <w:rPr>
          <w:rFonts w:ascii="黑体" w:hAnsi="黑体" w:eastAsia="黑体"/>
          <w:b w:val="0"/>
          <w:bCs/>
          <w:color w:val="auto"/>
          <w:sz w:val="21"/>
          <w:szCs w:val="16"/>
          <w:highlight w:val="none"/>
        </w:rPr>
        <w:t>事故分类统计表</w:t>
      </w:r>
    </w:p>
    <w:tbl>
      <w:tblPr>
        <w:tblStyle w:val="5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961"/>
        <w:gridCol w:w="1866"/>
        <w:gridCol w:w="961"/>
        <w:gridCol w:w="2161"/>
        <w:gridCol w:w="961"/>
      </w:tblGrid>
      <w:tr w14:paraId="45C7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7" w:type="pct"/>
            <w:vAlign w:val="center"/>
          </w:tcPr>
          <w:p w14:paraId="0718DD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highlight w:val="none"/>
                <w:lang w:eastAsia="zh-CN"/>
              </w:rPr>
            </w:pPr>
            <w:r>
              <w:rPr>
                <w:rFonts w:hint="default"/>
                <w:color w:val="auto"/>
                <w:sz w:val="21"/>
                <w:highlight w:val="none"/>
              </w:rPr>
              <w:t>事故类别</w:t>
            </w:r>
          </w:p>
        </w:tc>
        <w:tc>
          <w:tcPr>
            <w:tcW w:w="551" w:type="pct"/>
            <w:vAlign w:val="center"/>
          </w:tcPr>
          <w:p w14:paraId="71CE35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highlight w:val="none"/>
                <w:lang w:eastAsia="zh-CN"/>
              </w:rPr>
            </w:pPr>
            <w:r>
              <w:rPr>
                <w:rFonts w:hint="default"/>
                <w:color w:val="auto"/>
                <w:sz w:val="21"/>
                <w:highlight w:val="none"/>
              </w:rPr>
              <w:t>跑油</w:t>
            </w:r>
          </w:p>
        </w:tc>
        <w:tc>
          <w:tcPr>
            <w:tcW w:w="1070" w:type="pct"/>
            <w:vAlign w:val="center"/>
          </w:tcPr>
          <w:p w14:paraId="447F35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highlight w:val="none"/>
                <w:lang w:eastAsia="zh-CN"/>
              </w:rPr>
            </w:pPr>
            <w:r>
              <w:rPr>
                <w:rFonts w:hint="default"/>
                <w:color w:val="auto"/>
                <w:sz w:val="21"/>
                <w:highlight w:val="none"/>
              </w:rPr>
              <w:t>着火、爆炸</w:t>
            </w:r>
          </w:p>
        </w:tc>
        <w:tc>
          <w:tcPr>
            <w:tcW w:w="551" w:type="pct"/>
            <w:vAlign w:val="center"/>
          </w:tcPr>
          <w:p w14:paraId="7C7C3E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highlight w:val="none"/>
                <w:lang w:eastAsia="zh-CN"/>
              </w:rPr>
            </w:pPr>
            <w:r>
              <w:rPr>
                <w:rFonts w:hint="default"/>
                <w:color w:val="auto"/>
                <w:sz w:val="21"/>
                <w:highlight w:val="none"/>
              </w:rPr>
              <w:t>混油</w:t>
            </w:r>
          </w:p>
        </w:tc>
        <w:tc>
          <w:tcPr>
            <w:tcW w:w="1239" w:type="pct"/>
            <w:vAlign w:val="center"/>
          </w:tcPr>
          <w:p w14:paraId="1CA070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highlight w:val="none"/>
                <w:lang w:eastAsia="zh-CN"/>
              </w:rPr>
            </w:pPr>
            <w:r>
              <w:rPr>
                <w:rFonts w:hint="default"/>
                <w:color w:val="auto"/>
                <w:sz w:val="21"/>
                <w:highlight w:val="none"/>
              </w:rPr>
              <w:t>设备器材损坏</w:t>
            </w:r>
          </w:p>
        </w:tc>
        <w:tc>
          <w:tcPr>
            <w:tcW w:w="551" w:type="pct"/>
            <w:vAlign w:val="center"/>
          </w:tcPr>
          <w:p w14:paraId="3CA4B4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highlight w:val="none"/>
                <w:lang w:eastAsia="zh-CN"/>
              </w:rPr>
            </w:pPr>
            <w:r>
              <w:rPr>
                <w:rFonts w:hint="default"/>
                <w:color w:val="auto"/>
                <w:sz w:val="21"/>
                <w:highlight w:val="none"/>
              </w:rPr>
              <w:t>其它</w:t>
            </w:r>
          </w:p>
        </w:tc>
      </w:tr>
      <w:tr w14:paraId="68AA2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7" w:type="pct"/>
            <w:vAlign w:val="center"/>
          </w:tcPr>
          <w:p w14:paraId="5D4AD9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highlight w:val="none"/>
                <w:lang w:eastAsia="zh-CN"/>
              </w:rPr>
            </w:pPr>
            <w:r>
              <w:rPr>
                <w:rFonts w:hint="default"/>
                <w:color w:val="auto"/>
                <w:sz w:val="21"/>
                <w:highlight w:val="none"/>
              </w:rPr>
              <w:t>事故数</w:t>
            </w:r>
          </w:p>
        </w:tc>
        <w:tc>
          <w:tcPr>
            <w:tcW w:w="551" w:type="pct"/>
            <w:vAlign w:val="center"/>
          </w:tcPr>
          <w:p w14:paraId="738EF8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highlight w:val="none"/>
                <w:lang w:eastAsia="zh-CN"/>
              </w:rPr>
            </w:pPr>
            <w:r>
              <w:rPr>
                <w:rFonts w:hint="default" w:eastAsia="Times New Roman"/>
                <w:color w:val="auto"/>
                <w:sz w:val="21"/>
                <w:highlight w:val="none"/>
              </w:rPr>
              <w:t>85</w:t>
            </w:r>
          </w:p>
        </w:tc>
        <w:tc>
          <w:tcPr>
            <w:tcW w:w="1070" w:type="pct"/>
            <w:vAlign w:val="center"/>
          </w:tcPr>
          <w:p w14:paraId="60B3F8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highlight w:val="none"/>
                <w:lang w:eastAsia="zh-CN"/>
              </w:rPr>
            </w:pPr>
            <w:r>
              <w:rPr>
                <w:rFonts w:hint="default" w:eastAsia="Times New Roman"/>
                <w:color w:val="auto"/>
                <w:sz w:val="21"/>
                <w:highlight w:val="none"/>
              </w:rPr>
              <w:t>44</w:t>
            </w:r>
          </w:p>
        </w:tc>
        <w:tc>
          <w:tcPr>
            <w:tcW w:w="551" w:type="pct"/>
            <w:vAlign w:val="center"/>
          </w:tcPr>
          <w:p w14:paraId="6E8155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highlight w:val="none"/>
                <w:lang w:eastAsia="zh-CN"/>
              </w:rPr>
            </w:pPr>
            <w:r>
              <w:rPr>
                <w:rFonts w:hint="default" w:eastAsia="Times New Roman"/>
                <w:color w:val="auto"/>
                <w:sz w:val="21"/>
                <w:highlight w:val="none"/>
              </w:rPr>
              <w:t>35</w:t>
            </w:r>
          </w:p>
        </w:tc>
        <w:tc>
          <w:tcPr>
            <w:tcW w:w="1239" w:type="pct"/>
            <w:vAlign w:val="center"/>
          </w:tcPr>
          <w:p w14:paraId="551276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highlight w:val="none"/>
                <w:lang w:eastAsia="zh-CN"/>
              </w:rPr>
            </w:pPr>
            <w:r>
              <w:rPr>
                <w:rFonts w:hint="default" w:eastAsia="Times New Roman"/>
                <w:color w:val="auto"/>
                <w:sz w:val="21"/>
                <w:highlight w:val="none"/>
              </w:rPr>
              <w:t>19</w:t>
            </w:r>
          </w:p>
        </w:tc>
        <w:tc>
          <w:tcPr>
            <w:tcW w:w="551" w:type="pct"/>
            <w:vAlign w:val="center"/>
          </w:tcPr>
          <w:p w14:paraId="77DEBA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highlight w:val="none"/>
                <w:lang w:eastAsia="zh-CN"/>
              </w:rPr>
            </w:pPr>
            <w:r>
              <w:rPr>
                <w:rFonts w:hint="default" w:eastAsia="Times New Roman"/>
                <w:color w:val="auto"/>
                <w:sz w:val="21"/>
                <w:highlight w:val="none"/>
              </w:rPr>
              <w:t>9</w:t>
            </w:r>
          </w:p>
        </w:tc>
      </w:tr>
      <w:tr w14:paraId="3B30A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7" w:type="pct"/>
            <w:vAlign w:val="center"/>
          </w:tcPr>
          <w:p w14:paraId="672E29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highlight w:val="none"/>
                <w:lang w:eastAsia="zh-CN"/>
              </w:rPr>
            </w:pPr>
            <w:r>
              <w:rPr>
                <w:rFonts w:hint="default"/>
                <w:color w:val="auto"/>
                <w:sz w:val="21"/>
                <w:highlight w:val="none"/>
              </w:rPr>
              <w:t>比例（</w:t>
            </w:r>
            <w:r>
              <w:rPr>
                <w:rFonts w:hint="default" w:eastAsia="Times New Roman"/>
                <w:color w:val="auto"/>
                <w:sz w:val="21"/>
                <w:highlight w:val="none"/>
              </w:rPr>
              <w:t>%</w:t>
            </w:r>
            <w:r>
              <w:rPr>
                <w:rFonts w:hint="default"/>
                <w:color w:val="auto"/>
                <w:sz w:val="21"/>
                <w:highlight w:val="none"/>
              </w:rPr>
              <w:t>）</w:t>
            </w:r>
          </w:p>
        </w:tc>
        <w:tc>
          <w:tcPr>
            <w:tcW w:w="551" w:type="pct"/>
            <w:vAlign w:val="center"/>
          </w:tcPr>
          <w:p w14:paraId="564153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highlight w:val="none"/>
                <w:lang w:eastAsia="zh-CN"/>
              </w:rPr>
            </w:pPr>
            <w:r>
              <w:rPr>
                <w:rFonts w:hint="default" w:eastAsia="Times New Roman"/>
                <w:color w:val="auto"/>
                <w:sz w:val="21"/>
                <w:highlight w:val="none"/>
              </w:rPr>
              <w:t>45</w:t>
            </w:r>
          </w:p>
        </w:tc>
        <w:tc>
          <w:tcPr>
            <w:tcW w:w="1070" w:type="pct"/>
            <w:vAlign w:val="center"/>
          </w:tcPr>
          <w:p w14:paraId="0AD1E8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highlight w:val="none"/>
                <w:lang w:eastAsia="zh-CN"/>
              </w:rPr>
            </w:pPr>
            <w:r>
              <w:rPr>
                <w:rFonts w:hint="default" w:eastAsia="Times New Roman"/>
                <w:color w:val="auto"/>
                <w:sz w:val="21"/>
                <w:highlight w:val="none"/>
              </w:rPr>
              <w:t>23</w:t>
            </w:r>
          </w:p>
        </w:tc>
        <w:tc>
          <w:tcPr>
            <w:tcW w:w="551" w:type="pct"/>
            <w:vAlign w:val="center"/>
          </w:tcPr>
          <w:p w14:paraId="472054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highlight w:val="none"/>
                <w:lang w:eastAsia="zh-CN"/>
              </w:rPr>
            </w:pPr>
            <w:r>
              <w:rPr>
                <w:rFonts w:hint="default" w:eastAsia="Times New Roman"/>
                <w:color w:val="auto"/>
                <w:sz w:val="21"/>
                <w:highlight w:val="none"/>
              </w:rPr>
              <w:t>19</w:t>
            </w:r>
          </w:p>
        </w:tc>
        <w:tc>
          <w:tcPr>
            <w:tcW w:w="1239" w:type="pct"/>
            <w:vAlign w:val="center"/>
          </w:tcPr>
          <w:p w14:paraId="0ED8D1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highlight w:val="none"/>
                <w:lang w:eastAsia="zh-CN"/>
              </w:rPr>
            </w:pPr>
            <w:r>
              <w:rPr>
                <w:rFonts w:hint="default" w:eastAsia="Times New Roman"/>
                <w:color w:val="auto"/>
                <w:sz w:val="21"/>
                <w:highlight w:val="none"/>
              </w:rPr>
              <w:t>10</w:t>
            </w:r>
          </w:p>
        </w:tc>
        <w:tc>
          <w:tcPr>
            <w:tcW w:w="551" w:type="pct"/>
            <w:vAlign w:val="center"/>
          </w:tcPr>
          <w:p w14:paraId="681C64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highlight w:val="none"/>
                <w:lang w:eastAsia="zh-CN"/>
              </w:rPr>
            </w:pPr>
            <w:r>
              <w:rPr>
                <w:rFonts w:hint="default" w:eastAsia="Times New Roman"/>
                <w:color w:val="auto"/>
                <w:sz w:val="21"/>
                <w:highlight w:val="none"/>
              </w:rPr>
              <w:t>3</w:t>
            </w:r>
          </w:p>
        </w:tc>
      </w:tr>
    </w:tbl>
    <w:p w14:paraId="62FAEA0A">
      <w:pPr>
        <w:pStyle w:val="133"/>
        <w:rPr>
          <w:rFonts w:hint="eastAsia" w:eastAsia="宋体"/>
          <w:color w:val="auto"/>
          <w:highlight w:val="none"/>
          <w:lang w:eastAsia="zh-CN"/>
        </w:rPr>
      </w:pPr>
      <w:r>
        <w:rPr>
          <w:color w:val="auto"/>
          <w:highlight w:val="none"/>
        </w:rPr>
        <w:t>由表</w:t>
      </w:r>
      <w:r>
        <w:rPr>
          <w:rFonts w:eastAsia="Times New Roman"/>
          <w:color w:val="auto"/>
          <w:highlight w:val="none"/>
        </w:rPr>
        <w:t>5-8-8</w:t>
      </w:r>
      <w:r>
        <w:rPr>
          <w:color w:val="auto"/>
          <w:highlight w:val="none"/>
        </w:rPr>
        <w:t>中的数据可以看出，跑油（即泄漏）在</w:t>
      </w:r>
      <w:r>
        <w:rPr>
          <w:rFonts w:hint="eastAsia"/>
          <w:color w:val="auto"/>
          <w:highlight w:val="none"/>
          <w:lang w:val="en-US" w:eastAsia="zh-CN"/>
        </w:rPr>
        <w:t>加油</w:t>
      </w:r>
      <w:r>
        <w:rPr>
          <w:color w:val="auto"/>
          <w:highlight w:val="none"/>
        </w:rPr>
        <w:t>区发生的所有事故中所占比例最高（</w:t>
      </w:r>
      <w:r>
        <w:rPr>
          <w:rFonts w:eastAsia="Times New Roman"/>
          <w:color w:val="auto"/>
          <w:highlight w:val="none"/>
        </w:rPr>
        <w:t>45%</w:t>
      </w:r>
      <w:r>
        <w:rPr>
          <w:color w:val="auto"/>
          <w:highlight w:val="none"/>
        </w:rPr>
        <w:t>），所以罐体泄漏应该是本项目</w:t>
      </w:r>
      <w:r>
        <w:rPr>
          <w:rFonts w:hint="eastAsia"/>
          <w:color w:val="auto"/>
          <w:highlight w:val="none"/>
          <w:lang w:val="en-US" w:eastAsia="zh-CN"/>
        </w:rPr>
        <w:t>油车棚</w:t>
      </w:r>
      <w:r>
        <w:rPr>
          <w:color w:val="auto"/>
          <w:highlight w:val="none"/>
        </w:rPr>
        <w:t>事故预防的重点。</w:t>
      </w:r>
    </w:p>
    <w:p w14:paraId="4708EEA9">
      <w:pPr>
        <w:pStyle w:val="133"/>
        <w:rPr>
          <w:rFonts w:hint="eastAsia" w:eastAsia="宋体"/>
          <w:color w:val="auto"/>
          <w:highlight w:val="none"/>
          <w:lang w:eastAsia="zh-CN"/>
        </w:rPr>
      </w:pPr>
      <w:r>
        <w:rPr>
          <w:color w:val="auto"/>
          <w:highlight w:val="none"/>
        </w:rPr>
        <w:t>（3）罐体泄漏事故树分析</w:t>
      </w:r>
    </w:p>
    <w:p w14:paraId="086902EB">
      <w:pPr>
        <w:pStyle w:val="133"/>
        <w:rPr>
          <w:color w:val="auto"/>
          <w:highlight w:val="none"/>
        </w:rPr>
      </w:pPr>
      <w:r>
        <w:rPr>
          <w:rFonts w:hint="eastAsia"/>
          <w:color w:val="auto"/>
          <w:highlight w:val="none"/>
          <w:lang w:val="en-US" w:eastAsia="zh-CN"/>
        </w:rPr>
        <w:t>本项目设置油车棚，</w:t>
      </w:r>
      <w:r>
        <w:rPr>
          <w:color w:val="auto"/>
          <w:highlight w:val="none"/>
        </w:rPr>
        <w:t>由风险事故分类统计结果可知</w:t>
      </w:r>
      <w:r>
        <w:rPr>
          <w:rFonts w:hint="eastAsia"/>
          <w:color w:val="auto"/>
          <w:highlight w:val="none"/>
          <w:lang w:eastAsia="zh-CN"/>
        </w:rPr>
        <w:t>，</w:t>
      </w:r>
      <w:r>
        <w:rPr>
          <w:color w:val="auto"/>
          <w:highlight w:val="none"/>
        </w:rPr>
        <w:t>事故类型主要为油</w:t>
      </w:r>
      <w:r>
        <w:rPr>
          <w:rFonts w:hint="eastAsia"/>
          <w:color w:val="auto"/>
          <w:highlight w:val="none"/>
          <w:lang w:val="en-US" w:eastAsia="zh-CN"/>
        </w:rPr>
        <w:t>类物质</w:t>
      </w:r>
      <w:r>
        <w:rPr>
          <w:color w:val="auto"/>
          <w:highlight w:val="none"/>
        </w:rPr>
        <w:t>泄漏。油</w:t>
      </w:r>
      <w:r>
        <w:rPr>
          <w:rFonts w:hint="eastAsia"/>
          <w:color w:val="auto"/>
          <w:highlight w:val="none"/>
          <w:lang w:val="en-US" w:eastAsia="zh-CN"/>
        </w:rPr>
        <w:t>类物质</w:t>
      </w:r>
      <w:r>
        <w:rPr>
          <w:color w:val="auto"/>
          <w:highlight w:val="none"/>
        </w:rPr>
        <w:t>泄漏的事故树分析如下：</w:t>
      </w:r>
    </w:p>
    <w:p w14:paraId="107D5232">
      <w:pPr>
        <w:pStyle w:val="133"/>
        <w:rPr>
          <w:color w:val="auto"/>
          <w:highlight w:val="none"/>
        </w:rPr>
      </w:pPr>
      <w:r>
        <w:rPr>
          <w:color w:val="auto"/>
          <w:highlight w:val="none"/>
        </w:rPr>
        <w:t>由事故树可见，油</w:t>
      </w:r>
      <w:r>
        <w:rPr>
          <w:rFonts w:hint="eastAsia"/>
          <w:color w:val="auto"/>
          <w:highlight w:val="none"/>
          <w:lang w:val="en-US" w:eastAsia="zh-CN"/>
        </w:rPr>
        <w:t>类物质</w:t>
      </w:r>
      <w:r>
        <w:rPr>
          <w:color w:val="auto"/>
          <w:highlight w:val="none"/>
        </w:rPr>
        <w:t>泄漏主要有两方面的硬件因素：由于硬件购买或配置、维护的过程中均有可能出现差错，导致罐体的配件老化、配件次品及配件操作不规范，从而引起罐体泄漏。</w:t>
      </w:r>
    </w:p>
    <w:p w14:paraId="0A4ADE56">
      <w:pPr>
        <w:pStyle w:val="133"/>
        <w:rPr>
          <w:color w:val="auto"/>
          <w:highlight w:val="none"/>
        </w:rPr>
      </w:pPr>
      <w:r>
        <w:rPr>
          <w:color w:val="auto"/>
          <w:highlight w:val="none"/>
        </w:rPr>
        <w:t>（</w:t>
      </w:r>
      <w:r>
        <w:rPr>
          <w:rFonts w:eastAsia="Times New Roman"/>
          <w:color w:val="auto"/>
          <w:highlight w:val="none"/>
        </w:rPr>
        <w:t>4</w:t>
      </w:r>
      <w:r>
        <w:rPr>
          <w:color w:val="auto"/>
          <w:highlight w:val="none"/>
        </w:rPr>
        <w:t>）油</w:t>
      </w:r>
      <w:r>
        <w:rPr>
          <w:rFonts w:hint="eastAsia"/>
          <w:color w:val="auto"/>
          <w:highlight w:val="none"/>
          <w:lang w:val="en-US" w:eastAsia="zh-CN"/>
        </w:rPr>
        <w:t>类物质</w:t>
      </w:r>
      <w:r>
        <w:rPr>
          <w:color w:val="auto"/>
          <w:highlight w:val="none"/>
        </w:rPr>
        <w:t>泄漏事故发生原因</w:t>
      </w:r>
      <w:r>
        <w:rPr>
          <w:rFonts w:eastAsia="Times New Roman"/>
          <w:color w:val="auto"/>
          <w:highlight w:val="none"/>
        </w:rPr>
        <w:t xml:space="preserve"> </w:t>
      </w:r>
    </w:p>
    <w:p w14:paraId="46218CE6">
      <w:pPr>
        <w:pStyle w:val="133"/>
        <w:rPr>
          <w:color w:val="auto"/>
          <w:highlight w:val="none"/>
        </w:rPr>
      </w:pPr>
      <w:r>
        <w:rPr>
          <w:color w:val="auto"/>
          <w:highlight w:val="none"/>
        </w:rPr>
        <w:t>通过事故树分析进一步确定罐体破裂和阀门泄漏为油</w:t>
      </w:r>
      <w:r>
        <w:rPr>
          <w:rFonts w:hint="eastAsia"/>
          <w:color w:val="auto"/>
          <w:highlight w:val="none"/>
          <w:lang w:val="en-US" w:eastAsia="zh-CN"/>
        </w:rPr>
        <w:t>类物质</w:t>
      </w:r>
      <w:r>
        <w:rPr>
          <w:color w:val="auto"/>
          <w:highlight w:val="none"/>
        </w:rPr>
        <w:t>泄漏的主要起因，具体分析见表</w:t>
      </w:r>
      <w:r>
        <w:rPr>
          <w:rFonts w:eastAsia="Times New Roman"/>
          <w:color w:val="auto"/>
          <w:highlight w:val="none"/>
        </w:rPr>
        <w:t>5-8-9</w:t>
      </w:r>
      <w:r>
        <w:rPr>
          <w:color w:val="auto"/>
          <w:highlight w:val="none"/>
        </w:rPr>
        <w:t>。</w:t>
      </w:r>
    </w:p>
    <w:p w14:paraId="2E7BA297">
      <w:pPr>
        <w:pStyle w:val="683"/>
        <w:spacing w:before="0" w:after="0" w:line="240" w:lineRule="auto"/>
        <w:rPr>
          <w:rFonts w:ascii="黑体" w:hAnsi="黑体" w:eastAsia="黑体"/>
          <w:b w:val="0"/>
          <w:bCs/>
          <w:color w:val="auto"/>
          <w:sz w:val="21"/>
          <w:szCs w:val="16"/>
          <w:highlight w:val="none"/>
        </w:rPr>
      </w:pPr>
      <w:r>
        <w:rPr>
          <w:rFonts w:ascii="黑体" w:hAnsi="黑体" w:eastAsia="黑体"/>
          <w:b w:val="0"/>
          <w:bCs/>
          <w:color w:val="auto"/>
          <w:sz w:val="21"/>
          <w:szCs w:val="16"/>
          <w:highlight w:val="none"/>
        </w:rPr>
        <w:t>表5-8-9 罐体泄漏事故原因分析</w:t>
      </w:r>
    </w:p>
    <w:tbl>
      <w:tblPr>
        <w:tblStyle w:val="5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7500"/>
      </w:tblGrid>
      <w:tr w14:paraId="65AC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pct"/>
            <w:vAlign w:val="center"/>
          </w:tcPr>
          <w:p w14:paraId="493F85A8">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类别</w:t>
            </w:r>
          </w:p>
        </w:tc>
        <w:tc>
          <w:tcPr>
            <w:tcW w:w="4300" w:type="pct"/>
            <w:vAlign w:val="center"/>
          </w:tcPr>
          <w:p w14:paraId="7847523C">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原因分析</w:t>
            </w:r>
          </w:p>
        </w:tc>
      </w:tr>
      <w:tr w14:paraId="07E7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pct"/>
            <w:vMerge w:val="restart"/>
            <w:vAlign w:val="center"/>
          </w:tcPr>
          <w:p w14:paraId="066C0150">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罐体破裂</w:t>
            </w:r>
          </w:p>
        </w:tc>
        <w:tc>
          <w:tcPr>
            <w:tcW w:w="4300" w:type="pct"/>
            <w:vAlign w:val="center"/>
          </w:tcPr>
          <w:p w14:paraId="478F29C7">
            <w:pPr>
              <w:keepNext w:val="0"/>
              <w:keepLines w:val="0"/>
              <w:widowControl w:val="0"/>
              <w:suppressLineNumbers w:val="0"/>
              <w:adjustRightInd/>
              <w:snapToGrid/>
              <w:spacing w:before="0" w:beforeAutospacing="0" w:after="0" w:afterAutospacing="0" w:line="240" w:lineRule="auto"/>
              <w:ind w:left="0" w:right="0" w:firstLine="0"/>
              <w:jc w:val="left"/>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w:t>
            </w:r>
            <w:r>
              <w:rPr>
                <w:rFonts w:hint="default" w:ascii="Times New Roman" w:hAnsi="Times New Roman" w:eastAsia="宋体" w:cs="Times New Roman"/>
                <w:color w:val="auto"/>
                <w:kern w:val="2"/>
                <w:sz w:val="21"/>
                <w:szCs w:val="21"/>
                <w:highlight w:val="none"/>
                <w:lang w:val="en-US" w:eastAsia="zh-CN" w:bidi="ar-SA"/>
              </w:rPr>
              <w:t>罐体老化，受外力及罐体内部原因发生泄漏；</w:t>
            </w:r>
          </w:p>
        </w:tc>
      </w:tr>
      <w:tr w14:paraId="44CE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pct"/>
            <w:vMerge w:val="continue"/>
            <w:vAlign w:val="center"/>
          </w:tcPr>
          <w:p w14:paraId="6F10DAB4">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eastAsia="宋体" w:cs="Times New Roman"/>
                <w:color w:val="auto"/>
                <w:kern w:val="2"/>
                <w:sz w:val="21"/>
                <w:szCs w:val="21"/>
                <w:highlight w:val="none"/>
                <w:lang w:val="en-US" w:eastAsia="zh-CN" w:bidi="ar-SA"/>
              </w:rPr>
            </w:pPr>
          </w:p>
        </w:tc>
        <w:tc>
          <w:tcPr>
            <w:tcW w:w="4300" w:type="pct"/>
            <w:vAlign w:val="center"/>
          </w:tcPr>
          <w:p w14:paraId="56161F05">
            <w:pPr>
              <w:keepNext w:val="0"/>
              <w:keepLines w:val="0"/>
              <w:widowControl w:val="0"/>
              <w:suppressLineNumbers w:val="0"/>
              <w:adjustRightInd/>
              <w:snapToGrid/>
              <w:spacing w:before="0" w:beforeAutospacing="0" w:after="0" w:afterAutospacing="0" w:line="240" w:lineRule="auto"/>
              <w:ind w:left="0" w:right="0" w:firstLine="0"/>
              <w:jc w:val="left"/>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w:t>
            </w:r>
            <w:r>
              <w:rPr>
                <w:rFonts w:hint="default" w:ascii="Times New Roman" w:hAnsi="Times New Roman" w:eastAsia="宋体" w:cs="Times New Roman"/>
                <w:color w:val="auto"/>
                <w:kern w:val="2"/>
                <w:sz w:val="21"/>
                <w:szCs w:val="21"/>
                <w:highlight w:val="none"/>
                <w:lang w:val="en-US" w:eastAsia="zh-CN" w:bidi="ar-SA"/>
              </w:rPr>
              <w:t>受外力挤压。主要包括撞击、裂变；</w:t>
            </w:r>
          </w:p>
        </w:tc>
      </w:tr>
      <w:tr w14:paraId="4722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pct"/>
            <w:vMerge w:val="continue"/>
            <w:vAlign w:val="center"/>
          </w:tcPr>
          <w:p w14:paraId="716861F2">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eastAsia="宋体" w:cs="Times New Roman"/>
                <w:color w:val="auto"/>
                <w:kern w:val="2"/>
                <w:sz w:val="21"/>
                <w:szCs w:val="21"/>
                <w:highlight w:val="none"/>
                <w:lang w:val="en-US" w:eastAsia="zh-CN" w:bidi="ar-SA"/>
              </w:rPr>
            </w:pPr>
          </w:p>
        </w:tc>
        <w:tc>
          <w:tcPr>
            <w:tcW w:w="4300" w:type="pct"/>
            <w:vAlign w:val="center"/>
          </w:tcPr>
          <w:p w14:paraId="159916B3">
            <w:pPr>
              <w:keepNext w:val="0"/>
              <w:keepLines w:val="0"/>
              <w:widowControl w:val="0"/>
              <w:suppressLineNumbers w:val="0"/>
              <w:adjustRightInd/>
              <w:snapToGrid/>
              <w:spacing w:before="0" w:beforeAutospacing="0" w:after="0" w:afterAutospacing="0" w:line="240" w:lineRule="auto"/>
              <w:ind w:left="0" w:right="0" w:firstLine="0"/>
              <w:jc w:val="left"/>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w:t>
            </w:r>
            <w:r>
              <w:rPr>
                <w:rFonts w:hint="default" w:ascii="Times New Roman" w:hAnsi="Times New Roman" w:eastAsia="宋体" w:cs="Times New Roman"/>
                <w:color w:val="auto"/>
                <w:kern w:val="2"/>
                <w:sz w:val="21"/>
                <w:szCs w:val="21"/>
                <w:highlight w:val="none"/>
                <w:lang w:val="en-US" w:eastAsia="zh-CN" w:bidi="ar-SA"/>
              </w:rPr>
              <w:t>罐体承载超出规定，内部压力过高；</w:t>
            </w:r>
          </w:p>
        </w:tc>
      </w:tr>
      <w:tr w14:paraId="36D3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pct"/>
            <w:vMerge w:val="continue"/>
            <w:vAlign w:val="center"/>
          </w:tcPr>
          <w:p w14:paraId="64E0DCAB">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eastAsia="宋体" w:cs="Times New Roman"/>
                <w:color w:val="auto"/>
                <w:kern w:val="2"/>
                <w:sz w:val="21"/>
                <w:szCs w:val="21"/>
                <w:highlight w:val="none"/>
                <w:lang w:val="en-US" w:eastAsia="zh-CN" w:bidi="ar-SA"/>
              </w:rPr>
            </w:pPr>
          </w:p>
        </w:tc>
        <w:tc>
          <w:tcPr>
            <w:tcW w:w="4300" w:type="pct"/>
            <w:vAlign w:val="center"/>
          </w:tcPr>
          <w:p w14:paraId="1FC3A1EB">
            <w:pPr>
              <w:keepNext w:val="0"/>
              <w:keepLines w:val="0"/>
              <w:widowControl w:val="0"/>
              <w:suppressLineNumbers w:val="0"/>
              <w:adjustRightInd/>
              <w:snapToGrid/>
              <w:spacing w:before="0" w:beforeAutospacing="0" w:after="0" w:afterAutospacing="0" w:line="240" w:lineRule="auto"/>
              <w:ind w:left="0" w:right="0" w:firstLine="0"/>
              <w:jc w:val="left"/>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④</w:t>
            </w:r>
            <w:r>
              <w:rPr>
                <w:rFonts w:hint="default" w:ascii="Times New Roman" w:hAnsi="Times New Roman" w:eastAsia="宋体" w:cs="Times New Roman"/>
                <w:color w:val="auto"/>
                <w:kern w:val="2"/>
                <w:sz w:val="21"/>
                <w:szCs w:val="21"/>
                <w:highlight w:val="none"/>
                <w:lang w:val="en-US" w:eastAsia="zh-CN" w:bidi="ar-SA"/>
              </w:rPr>
              <w:t>受外环境</w:t>
            </w:r>
            <w:r>
              <w:rPr>
                <w:rFonts w:hint="eastAsia" w:cs="Times New Roman"/>
                <w:color w:val="auto"/>
                <w:kern w:val="2"/>
                <w:sz w:val="21"/>
                <w:szCs w:val="21"/>
                <w:highlight w:val="none"/>
                <w:lang w:val="en-US" w:eastAsia="zh-CN" w:bidi="ar-SA"/>
              </w:rPr>
              <w:t>振动</w:t>
            </w:r>
            <w:r>
              <w:rPr>
                <w:rFonts w:hint="default" w:ascii="Times New Roman" w:hAnsi="Times New Roman" w:eastAsia="宋体" w:cs="Times New Roman"/>
                <w:color w:val="auto"/>
                <w:kern w:val="2"/>
                <w:sz w:val="21"/>
                <w:szCs w:val="21"/>
                <w:highlight w:val="none"/>
                <w:lang w:val="en-US" w:eastAsia="zh-CN" w:bidi="ar-SA"/>
              </w:rPr>
              <w:t>因素导致罐体裂变，引起物料泄漏；</w:t>
            </w:r>
          </w:p>
        </w:tc>
      </w:tr>
      <w:tr w14:paraId="02D4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pct"/>
            <w:vMerge w:val="continue"/>
            <w:vAlign w:val="center"/>
          </w:tcPr>
          <w:p w14:paraId="2BAD5F68">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eastAsia="宋体" w:cs="Times New Roman"/>
                <w:color w:val="auto"/>
                <w:kern w:val="2"/>
                <w:sz w:val="21"/>
                <w:szCs w:val="21"/>
                <w:highlight w:val="none"/>
                <w:lang w:val="en-US" w:eastAsia="zh-CN" w:bidi="ar-SA"/>
              </w:rPr>
            </w:pPr>
          </w:p>
        </w:tc>
        <w:tc>
          <w:tcPr>
            <w:tcW w:w="4300" w:type="pct"/>
            <w:vAlign w:val="center"/>
          </w:tcPr>
          <w:p w14:paraId="0CF2A3B6">
            <w:pPr>
              <w:keepNext w:val="0"/>
              <w:keepLines w:val="0"/>
              <w:widowControl w:val="0"/>
              <w:suppressLineNumbers w:val="0"/>
              <w:adjustRightInd/>
              <w:snapToGrid/>
              <w:spacing w:before="0" w:beforeAutospacing="0" w:after="0" w:afterAutospacing="0" w:line="240" w:lineRule="auto"/>
              <w:ind w:left="0" w:right="0" w:firstLine="0"/>
              <w:jc w:val="left"/>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⑤</w:t>
            </w:r>
            <w:r>
              <w:rPr>
                <w:rFonts w:hint="default" w:ascii="Times New Roman" w:hAnsi="Times New Roman" w:eastAsia="宋体" w:cs="Times New Roman"/>
                <w:color w:val="auto"/>
                <w:kern w:val="2"/>
                <w:sz w:val="21"/>
                <w:szCs w:val="21"/>
                <w:highlight w:val="none"/>
                <w:lang w:val="en-US" w:eastAsia="zh-CN" w:bidi="ar-SA"/>
              </w:rPr>
              <w:t>受外环境酸雨影响，罐体受到腐蚀；</w:t>
            </w:r>
          </w:p>
        </w:tc>
      </w:tr>
      <w:tr w14:paraId="78DC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pct"/>
            <w:vMerge w:val="continue"/>
            <w:vAlign w:val="center"/>
          </w:tcPr>
          <w:p w14:paraId="4C24A7D1">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eastAsia="宋体" w:cs="Times New Roman"/>
                <w:color w:val="auto"/>
                <w:kern w:val="2"/>
                <w:sz w:val="21"/>
                <w:szCs w:val="21"/>
                <w:highlight w:val="none"/>
                <w:lang w:val="en-US" w:eastAsia="zh-CN" w:bidi="ar-SA"/>
              </w:rPr>
            </w:pPr>
          </w:p>
        </w:tc>
        <w:tc>
          <w:tcPr>
            <w:tcW w:w="4300" w:type="pct"/>
            <w:vAlign w:val="center"/>
          </w:tcPr>
          <w:p w14:paraId="45CA7E37">
            <w:pPr>
              <w:keepNext w:val="0"/>
              <w:keepLines w:val="0"/>
              <w:widowControl w:val="0"/>
              <w:suppressLineNumbers w:val="0"/>
              <w:adjustRightInd/>
              <w:snapToGrid/>
              <w:spacing w:before="0" w:beforeAutospacing="0" w:after="0" w:afterAutospacing="0" w:line="240" w:lineRule="auto"/>
              <w:ind w:left="0" w:right="0" w:firstLine="0"/>
              <w:jc w:val="left"/>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⑥</w:t>
            </w:r>
            <w:r>
              <w:rPr>
                <w:rFonts w:hint="default" w:ascii="Times New Roman" w:hAnsi="Times New Roman" w:eastAsia="宋体" w:cs="Times New Roman"/>
                <w:color w:val="auto"/>
                <w:kern w:val="2"/>
                <w:sz w:val="21"/>
                <w:szCs w:val="21"/>
                <w:highlight w:val="none"/>
                <w:lang w:val="en-US" w:eastAsia="zh-CN" w:bidi="ar-SA"/>
              </w:rPr>
              <w:t>战争、自然灾害等因素造成的罐体破裂，导致物料泄漏；</w:t>
            </w:r>
          </w:p>
        </w:tc>
      </w:tr>
      <w:tr w14:paraId="5B69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pct"/>
            <w:vMerge w:val="continue"/>
            <w:vAlign w:val="center"/>
          </w:tcPr>
          <w:p w14:paraId="0A7A0F42">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eastAsia="宋体" w:cs="Times New Roman"/>
                <w:color w:val="auto"/>
                <w:kern w:val="2"/>
                <w:sz w:val="21"/>
                <w:szCs w:val="21"/>
                <w:highlight w:val="none"/>
                <w:lang w:val="en-US" w:eastAsia="zh-CN" w:bidi="ar-SA"/>
              </w:rPr>
            </w:pPr>
          </w:p>
        </w:tc>
        <w:tc>
          <w:tcPr>
            <w:tcW w:w="4300" w:type="pct"/>
            <w:vAlign w:val="center"/>
          </w:tcPr>
          <w:p w14:paraId="2518B90B">
            <w:pPr>
              <w:keepNext w:val="0"/>
              <w:keepLines w:val="0"/>
              <w:widowControl w:val="0"/>
              <w:suppressLineNumbers w:val="0"/>
              <w:adjustRightInd/>
              <w:snapToGrid/>
              <w:spacing w:before="0" w:beforeAutospacing="0" w:after="0" w:afterAutospacing="0" w:line="240" w:lineRule="auto"/>
              <w:ind w:left="0" w:right="0" w:firstLine="0"/>
              <w:jc w:val="left"/>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⑦</w:t>
            </w:r>
            <w:r>
              <w:rPr>
                <w:rFonts w:hint="default" w:ascii="Times New Roman" w:hAnsi="Times New Roman" w:eastAsia="宋体" w:cs="Times New Roman"/>
                <w:color w:val="auto"/>
                <w:kern w:val="2"/>
                <w:sz w:val="21"/>
                <w:szCs w:val="21"/>
                <w:highlight w:val="none"/>
                <w:lang w:val="en-US" w:eastAsia="zh-CN" w:bidi="ar-SA"/>
              </w:rPr>
              <w:t>罐体维修、维护及切割过程中，违规操作导致的物料泄漏；</w:t>
            </w:r>
          </w:p>
        </w:tc>
      </w:tr>
      <w:tr w14:paraId="7780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pct"/>
            <w:vMerge w:val="restart"/>
            <w:vAlign w:val="center"/>
          </w:tcPr>
          <w:p w14:paraId="521C8AFC">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阀门泄漏</w:t>
            </w:r>
          </w:p>
        </w:tc>
        <w:tc>
          <w:tcPr>
            <w:tcW w:w="4300" w:type="pct"/>
            <w:vAlign w:val="center"/>
          </w:tcPr>
          <w:p w14:paraId="2C76EF15">
            <w:pPr>
              <w:keepNext w:val="0"/>
              <w:keepLines w:val="0"/>
              <w:widowControl w:val="0"/>
              <w:suppressLineNumbers w:val="0"/>
              <w:adjustRightInd/>
              <w:snapToGrid/>
              <w:spacing w:before="0" w:beforeAutospacing="0" w:after="0" w:afterAutospacing="0" w:line="240" w:lineRule="auto"/>
              <w:ind w:left="0" w:right="0" w:firstLine="0"/>
              <w:jc w:val="left"/>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w:t>
            </w:r>
            <w:r>
              <w:rPr>
                <w:rFonts w:hint="default" w:ascii="Times New Roman" w:hAnsi="Times New Roman" w:eastAsia="宋体" w:cs="Times New Roman"/>
                <w:color w:val="auto"/>
                <w:kern w:val="2"/>
                <w:sz w:val="21"/>
                <w:szCs w:val="21"/>
                <w:highlight w:val="none"/>
                <w:lang w:val="en-US" w:eastAsia="zh-CN" w:bidi="ar-SA"/>
              </w:rPr>
              <w:t>阀门松动：因长时间的</w:t>
            </w:r>
            <w:r>
              <w:rPr>
                <w:rFonts w:hint="eastAsia" w:cs="Times New Roman"/>
                <w:color w:val="auto"/>
                <w:kern w:val="2"/>
                <w:sz w:val="21"/>
                <w:szCs w:val="21"/>
                <w:highlight w:val="none"/>
                <w:lang w:val="en-US" w:eastAsia="zh-CN" w:bidi="ar-SA"/>
              </w:rPr>
              <w:t>振动</w:t>
            </w:r>
            <w:r>
              <w:rPr>
                <w:rFonts w:hint="default" w:ascii="Times New Roman" w:hAnsi="Times New Roman" w:eastAsia="宋体" w:cs="Times New Roman"/>
                <w:color w:val="auto"/>
                <w:kern w:val="2"/>
                <w:sz w:val="21"/>
                <w:szCs w:val="21"/>
                <w:highlight w:val="none"/>
                <w:lang w:val="en-US" w:eastAsia="zh-CN" w:bidi="ar-SA"/>
              </w:rPr>
              <w:t>、开关操作导致阀门在受</w:t>
            </w:r>
            <w:r>
              <w:rPr>
                <w:rFonts w:hint="eastAsia" w:cs="Times New Roman"/>
                <w:color w:val="auto"/>
                <w:kern w:val="2"/>
                <w:sz w:val="21"/>
                <w:szCs w:val="21"/>
                <w:highlight w:val="none"/>
                <w:lang w:val="en-US" w:eastAsia="zh-CN" w:bidi="ar-SA"/>
              </w:rPr>
              <w:t>外力</w:t>
            </w:r>
            <w:r>
              <w:rPr>
                <w:rFonts w:hint="default" w:ascii="Times New Roman" w:hAnsi="Times New Roman" w:eastAsia="宋体" w:cs="Times New Roman"/>
                <w:color w:val="auto"/>
                <w:kern w:val="2"/>
                <w:sz w:val="21"/>
                <w:szCs w:val="21"/>
                <w:highlight w:val="none"/>
                <w:lang w:val="en-US" w:eastAsia="zh-CN" w:bidi="ar-SA"/>
              </w:rPr>
              <w:t>作用</w:t>
            </w:r>
            <w:r>
              <w:rPr>
                <w:rFonts w:hint="eastAsia" w:cs="Times New Roman"/>
                <w:color w:val="auto"/>
                <w:kern w:val="2"/>
                <w:sz w:val="21"/>
                <w:szCs w:val="21"/>
                <w:highlight w:val="none"/>
                <w:lang w:val="en-US" w:eastAsia="zh-CN" w:bidi="ar-SA"/>
              </w:rPr>
              <w:t>下</w:t>
            </w:r>
            <w:r>
              <w:rPr>
                <w:rFonts w:hint="default" w:ascii="Times New Roman" w:hAnsi="Times New Roman" w:eastAsia="宋体" w:cs="Times New Roman"/>
                <w:color w:val="auto"/>
                <w:kern w:val="2"/>
                <w:sz w:val="21"/>
                <w:szCs w:val="21"/>
                <w:highlight w:val="none"/>
                <w:lang w:val="en-US" w:eastAsia="zh-CN" w:bidi="ar-SA"/>
              </w:rPr>
              <w:t>易发生松动，导致存储物料泄漏；</w:t>
            </w:r>
          </w:p>
        </w:tc>
      </w:tr>
      <w:tr w14:paraId="607B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pct"/>
            <w:vMerge w:val="continue"/>
            <w:vAlign w:val="center"/>
          </w:tcPr>
          <w:p w14:paraId="71572DC9">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eastAsia="宋体" w:cs="Times New Roman"/>
                <w:color w:val="auto"/>
                <w:kern w:val="2"/>
                <w:sz w:val="21"/>
                <w:szCs w:val="21"/>
                <w:highlight w:val="none"/>
                <w:lang w:val="en-US" w:eastAsia="zh-CN" w:bidi="ar-SA"/>
              </w:rPr>
            </w:pPr>
          </w:p>
        </w:tc>
        <w:tc>
          <w:tcPr>
            <w:tcW w:w="4300" w:type="pct"/>
            <w:vAlign w:val="center"/>
          </w:tcPr>
          <w:p w14:paraId="23164535">
            <w:pPr>
              <w:keepNext w:val="0"/>
              <w:keepLines w:val="0"/>
              <w:widowControl w:val="0"/>
              <w:suppressLineNumbers w:val="0"/>
              <w:adjustRightInd/>
              <w:snapToGrid/>
              <w:spacing w:before="0" w:beforeAutospacing="0" w:after="0" w:afterAutospacing="0" w:line="240" w:lineRule="auto"/>
              <w:ind w:left="0" w:right="0" w:firstLine="0"/>
              <w:jc w:val="left"/>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w:t>
            </w:r>
            <w:r>
              <w:rPr>
                <w:rFonts w:hint="default" w:ascii="Times New Roman" w:hAnsi="Times New Roman" w:eastAsia="宋体" w:cs="Times New Roman"/>
                <w:color w:val="auto"/>
                <w:kern w:val="2"/>
                <w:sz w:val="21"/>
                <w:szCs w:val="21"/>
                <w:highlight w:val="none"/>
                <w:lang w:val="en-US" w:eastAsia="zh-CN" w:bidi="ar-SA"/>
              </w:rPr>
              <w:t>受外力导致阀门破损：受外力撞击、自然因素引起阀门破裂或毁坏，从而引起存储物料泄漏；</w:t>
            </w:r>
          </w:p>
        </w:tc>
      </w:tr>
      <w:tr w14:paraId="6B58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pct"/>
            <w:vMerge w:val="continue"/>
            <w:vAlign w:val="center"/>
          </w:tcPr>
          <w:p w14:paraId="23F871BB">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eastAsia="宋体" w:cs="Times New Roman"/>
                <w:color w:val="auto"/>
                <w:kern w:val="2"/>
                <w:sz w:val="21"/>
                <w:szCs w:val="21"/>
                <w:highlight w:val="none"/>
                <w:lang w:val="en-US" w:eastAsia="zh-CN" w:bidi="ar-SA"/>
              </w:rPr>
            </w:pPr>
          </w:p>
        </w:tc>
        <w:tc>
          <w:tcPr>
            <w:tcW w:w="4300" w:type="pct"/>
            <w:vAlign w:val="center"/>
          </w:tcPr>
          <w:p w14:paraId="1D97640D">
            <w:pPr>
              <w:keepNext w:val="0"/>
              <w:keepLines w:val="0"/>
              <w:widowControl w:val="0"/>
              <w:suppressLineNumbers w:val="0"/>
              <w:adjustRightInd/>
              <w:snapToGrid/>
              <w:spacing w:before="0" w:beforeAutospacing="0" w:after="0" w:afterAutospacing="0" w:line="240" w:lineRule="auto"/>
              <w:ind w:left="0" w:right="0" w:firstLine="0"/>
              <w:jc w:val="left"/>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w:t>
            </w:r>
            <w:r>
              <w:rPr>
                <w:rFonts w:hint="default" w:ascii="Times New Roman" w:hAnsi="Times New Roman" w:eastAsia="宋体" w:cs="Times New Roman"/>
                <w:color w:val="auto"/>
                <w:kern w:val="2"/>
                <w:sz w:val="21"/>
                <w:szCs w:val="21"/>
                <w:highlight w:val="none"/>
                <w:lang w:val="en-US" w:eastAsia="zh-CN" w:bidi="ar-SA"/>
              </w:rPr>
              <w:t>控制阀门操作不规范：人为开关控制阀门，并未严格按照操作规范，在未确定阀门是否关闭时往罐体输送物料；</w:t>
            </w:r>
          </w:p>
        </w:tc>
      </w:tr>
      <w:tr w14:paraId="7DF4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pct"/>
            <w:vMerge w:val="continue"/>
            <w:vAlign w:val="center"/>
          </w:tcPr>
          <w:p w14:paraId="682EF2C2">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eastAsia="宋体" w:cs="Times New Roman"/>
                <w:color w:val="auto"/>
                <w:kern w:val="2"/>
                <w:sz w:val="21"/>
                <w:szCs w:val="21"/>
                <w:highlight w:val="none"/>
                <w:lang w:val="en-US" w:eastAsia="zh-CN" w:bidi="ar-SA"/>
              </w:rPr>
            </w:pPr>
          </w:p>
        </w:tc>
        <w:tc>
          <w:tcPr>
            <w:tcW w:w="4300" w:type="pct"/>
            <w:vAlign w:val="center"/>
          </w:tcPr>
          <w:p w14:paraId="26CD662D">
            <w:pPr>
              <w:keepNext w:val="0"/>
              <w:keepLines w:val="0"/>
              <w:widowControl w:val="0"/>
              <w:suppressLineNumbers w:val="0"/>
              <w:adjustRightInd/>
              <w:snapToGrid/>
              <w:spacing w:before="0" w:beforeAutospacing="0" w:after="0" w:afterAutospacing="0" w:line="240" w:lineRule="auto"/>
              <w:ind w:left="0" w:right="0" w:firstLine="0"/>
              <w:jc w:val="left"/>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④</w:t>
            </w:r>
            <w:r>
              <w:rPr>
                <w:rFonts w:hint="default" w:ascii="Times New Roman" w:hAnsi="Times New Roman" w:eastAsia="宋体" w:cs="Times New Roman"/>
                <w:color w:val="auto"/>
                <w:kern w:val="2"/>
                <w:sz w:val="21"/>
                <w:szCs w:val="21"/>
                <w:highlight w:val="none"/>
                <w:lang w:val="en-US" w:eastAsia="zh-CN" w:bidi="ar-SA"/>
              </w:rPr>
              <w:t>阀门老化，受压过强，配件老化，承受过大压力，导致阀门松动或破损，引起物料泄漏；</w:t>
            </w:r>
          </w:p>
        </w:tc>
      </w:tr>
      <w:tr w14:paraId="5490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pct"/>
            <w:vMerge w:val="continue"/>
            <w:vAlign w:val="center"/>
          </w:tcPr>
          <w:p w14:paraId="0337DDB0">
            <w:pPr>
              <w:keepNext w:val="0"/>
              <w:keepLines w:val="0"/>
              <w:widowControl w:val="0"/>
              <w:suppressLineNumbers w:val="0"/>
              <w:adjustRightInd/>
              <w:snapToGrid/>
              <w:spacing w:before="0" w:beforeAutospacing="0" w:after="0" w:afterAutospacing="0" w:line="240" w:lineRule="auto"/>
              <w:ind w:left="0" w:right="0" w:firstLine="0"/>
              <w:jc w:val="center"/>
              <w:rPr>
                <w:rFonts w:hint="default" w:ascii="Times New Roman" w:hAnsi="Times New Roman" w:eastAsia="宋体" w:cs="Times New Roman"/>
                <w:color w:val="auto"/>
                <w:kern w:val="2"/>
                <w:sz w:val="21"/>
                <w:szCs w:val="21"/>
                <w:highlight w:val="none"/>
                <w:lang w:val="en-US" w:eastAsia="zh-CN" w:bidi="ar-SA"/>
              </w:rPr>
            </w:pPr>
          </w:p>
        </w:tc>
        <w:tc>
          <w:tcPr>
            <w:tcW w:w="4300" w:type="pct"/>
            <w:vAlign w:val="center"/>
          </w:tcPr>
          <w:p w14:paraId="1238FA03">
            <w:pPr>
              <w:keepNext w:val="0"/>
              <w:keepLines w:val="0"/>
              <w:widowControl w:val="0"/>
              <w:suppressLineNumbers w:val="0"/>
              <w:adjustRightInd/>
              <w:snapToGrid/>
              <w:spacing w:before="0" w:beforeAutospacing="0" w:after="0" w:afterAutospacing="0" w:line="240" w:lineRule="auto"/>
              <w:ind w:left="0" w:right="0" w:firstLine="0"/>
              <w:jc w:val="left"/>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⑤</w:t>
            </w:r>
            <w:r>
              <w:rPr>
                <w:rFonts w:hint="default" w:ascii="Times New Roman" w:hAnsi="Times New Roman" w:eastAsia="宋体" w:cs="Times New Roman"/>
                <w:color w:val="auto"/>
                <w:kern w:val="2"/>
                <w:sz w:val="21"/>
                <w:szCs w:val="21"/>
                <w:highlight w:val="none"/>
                <w:lang w:val="en-US" w:eastAsia="zh-CN" w:bidi="ar-SA"/>
              </w:rPr>
              <w:t>其它事故：</w:t>
            </w:r>
            <w:r>
              <w:rPr>
                <w:rFonts w:hint="eastAsia" w:cs="Times New Roman"/>
                <w:color w:val="auto"/>
                <w:kern w:val="2"/>
                <w:sz w:val="21"/>
                <w:szCs w:val="21"/>
                <w:highlight w:val="none"/>
                <w:lang w:val="en-US" w:eastAsia="zh-CN" w:bidi="ar-SA"/>
              </w:rPr>
              <w:t>由于</w:t>
            </w:r>
            <w:r>
              <w:rPr>
                <w:rFonts w:hint="default" w:ascii="Times New Roman" w:hAnsi="Times New Roman" w:eastAsia="宋体" w:cs="Times New Roman"/>
                <w:color w:val="auto"/>
                <w:kern w:val="2"/>
                <w:sz w:val="21"/>
                <w:szCs w:val="21"/>
                <w:highlight w:val="none"/>
                <w:lang w:val="en-US" w:eastAsia="zh-CN" w:bidi="ar-SA"/>
              </w:rPr>
              <w:t>事故发生，导致阀门破坏，引起物料泄漏。</w:t>
            </w:r>
          </w:p>
        </w:tc>
      </w:tr>
    </w:tbl>
    <w:p w14:paraId="29F92D04">
      <w:pPr>
        <w:pStyle w:val="683"/>
        <w:spacing w:before="0" w:after="0" w:line="240" w:lineRule="auto"/>
        <w:rPr>
          <w:color w:val="auto"/>
          <w:highlight w:val="none"/>
        </w:rPr>
      </w:pPr>
      <w:r>
        <w:rPr>
          <w:rFonts w:ascii="黑体" w:hAnsi="黑体" w:eastAsia="黑体"/>
          <w:b w:val="0"/>
          <w:bCs/>
          <w:color w:val="auto"/>
          <w:sz w:val="21"/>
          <w:szCs w:val="16"/>
          <w:highlight w:val="none"/>
        </w:rPr>
        <w:t xml:space="preserve"> </w:t>
      </w:r>
    </w:p>
    <w:p w14:paraId="65F4BA14">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加油区风险事故调查及事故树分析</w:t>
      </w:r>
    </w:p>
    <w:p w14:paraId="5B35ED82">
      <w:pPr>
        <w:ind w:firstLine="480" w:firstLineChars="200"/>
        <w:rPr>
          <w:color w:val="auto"/>
          <w:highlight w:val="none"/>
        </w:rPr>
      </w:pPr>
      <w:r>
        <w:rPr>
          <w:rFonts w:hint="eastAsia"/>
          <w:color w:val="auto"/>
          <w:highlight w:val="none"/>
          <w:lang w:val="en-US" w:eastAsia="zh-CN"/>
        </w:rPr>
        <w:t>加油区油品</w:t>
      </w:r>
      <w:r>
        <w:rPr>
          <w:color w:val="auto"/>
          <w:highlight w:val="none"/>
        </w:rPr>
        <w:t>具有易蒸发、易燃烧、易爆炸、易流淌扩散、易受热膨胀和易产生静电的特性，一旦蒸气浓度达到燃烧极限，遇到火源即可发生燃烧或爆炸。</w:t>
      </w:r>
      <w:r>
        <w:rPr>
          <w:rFonts w:hint="eastAsia"/>
          <w:color w:val="auto"/>
          <w:highlight w:val="none"/>
          <w:lang w:val="en-US" w:eastAsia="zh-CN"/>
        </w:rPr>
        <w:t>油车棚</w:t>
      </w:r>
      <w:r>
        <w:rPr>
          <w:color w:val="auto"/>
          <w:highlight w:val="none"/>
        </w:rPr>
        <w:t>可能发生的风险为油罐泄漏、火灾和爆炸，可能影响的环境要素有环境空气、地表水、土壤、地下水和工作人员。</w:t>
      </w:r>
    </w:p>
    <w:p w14:paraId="6BFE7E06">
      <w:pPr>
        <w:ind w:left="0" w:leftChars="0" w:right="0" w:rightChars="0" w:firstLine="420" w:firstLineChars="0"/>
        <w:jc w:val="both"/>
        <w:rPr>
          <w:color w:val="auto"/>
          <w:highlight w:val="none"/>
        </w:rPr>
      </w:pPr>
      <w:r>
        <w:rPr>
          <w:color w:val="auto"/>
          <w:highlight w:val="none"/>
        </w:rPr>
        <w:t>火险事故树分析如下：</w:t>
      </w:r>
    </w:p>
    <w:p w14:paraId="28A1FF0E">
      <w:pPr>
        <w:ind w:firstLine="480" w:firstLineChars="200"/>
        <w:rPr>
          <w:color w:val="auto"/>
          <w:highlight w:val="none"/>
        </w:rPr>
      </w:pPr>
      <w:r>
        <w:rPr>
          <w:color w:val="auto"/>
          <w:highlight w:val="none"/>
        </w:rPr>
        <w:t>通过事故树可以看出加油</w:t>
      </w:r>
      <w:r>
        <w:rPr>
          <w:rFonts w:hint="eastAsia" w:ascii="Times New Roman" w:eastAsia="宋体"/>
          <w:color w:val="auto"/>
          <w:highlight w:val="none"/>
          <w:lang w:val="en-US" w:eastAsia="zh-CN"/>
        </w:rPr>
        <w:t>区</w:t>
      </w:r>
      <w:r>
        <w:rPr>
          <w:color w:val="auto"/>
          <w:highlight w:val="none"/>
        </w:rPr>
        <w:t>风险与油</w:t>
      </w:r>
      <w:r>
        <w:rPr>
          <w:rFonts w:hint="eastAsia" w:ascii="Times New Roman" w:eastAsia="宋体"/>
          <w:color w:val="auto"/>
          <w:highlight w:val="none"/>
          <w:lang w:val="en-US" w:eastAsia="zh-CN"/>
        </w:rPr>
        <w:t>类物质</w:t>
      </w:r>
      <w:r>
        <w:rPr>
          <w:color w:val="auto"/>
          <w:highlight w:val="none"/>
        </w:rPr>
        <w:t>风险类似主要为泄漏、火灾和爆炸，油蒸汽</w:t>
      </w:r>
      <w:r>
        <w:rPr>
          <w:rFonts w:hint="eastAsia"/>
          <w:color w:val="auto"/>
          <w:highlight w:val="none"/>
          <w:lang w:eastAsia="zh-CN"/>
        </w:rPr>
        <w:t>外溢</w:t>
      </w:r>
      <w:r>
        <w:rPr>
          <w:color w:val="auto"/>
          <w:highlight w:val="none"/>
        </w:rPr>
        <w:t xml:space="preserve">主要起因于泄漏，火源的存在会引发火灾和爆炸风险。 </w:t>
      </w:r>
    </w:p>
    <w:p w14:paraId="7871581F">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油车棚</w:t>
      </w:r>
      <w:r>
        <w:rPr>
          <w:rFonts w:hint="eastAsia" w:ascii="Times New Roman" w:hAnsi="Times New Roman" w:eastAsia="宋体" w:cs="Times New Roman"/>
          <w:b w:val="0"/>
          <w:bCs w:val="0"/>
          <w:color w:val="auto"/>
          <w:kern w:val="2"/>
          <w:sz w:val="24"/>
          <w:szCs w:val="24"/>
          <w:highlight w:val="none"/>
          <w:lang w:val="en-US" w:eastAsia="zh-CN" w:bidi="ar-SA"/>
        </w:rPr>
        <w:t>火灾事故影响分析</w:t>
      </w:r>
    </w:p>
    <w:p w14:paraId="335811C4">
      <w:pPr>
        <w:ind w:firstLine="480" w:firstLineChars="200"/>
        <w:rPr>
          <w:color w:val="auto"/>
          <w:highlight w:val="none"/>
        </w:rPr>
      </w:pPr>
      <w:r>
        <w:rPr>
          <w:color w:val="auto"/>
          <w:highlight w:val="none"/>
        </w:rPr>
        <w:t>根据本项目事故调查及事故树分析，确定最大可信事故为油</w:t>
      </w:r>
      <w:r>
        <w:rPr>
          <w:rFonts w:hint="eastAsia" w:ascii="Times New Roman" w:eastAsia="宋体"/>
          <w:color w:val="auto"/>
          <w:highlight w:val="none"/>
          <w:lang w:val="en-US" w:eastAsia="zh-CN"/>
        </w:rPr>
        <w:t>类物质</w:t>
      </w:r>
      <w:r>
        <w:rPr>
          <w:color w:val="auto"/>
          <w:highlight w:val="none"/>
        </w:rPr>
        <w:t>泄漏发生池火灾事故。</w:t>
      </w:r>
      <w:r>
        <w:rPr>
          <w:color w:val="auto"/>
          <w:highlight w:val="none"/>
          <w:lang w:bidi="zh-CN"/>
        </w:rPr>
        <w:t>本项目</w:t>
      </w:r>
      <w:r>
        <w:rPr>
          <w:rFonts w:hint="eastAsia"/>
          <w:color w:val="auto"/>
          <w:highlight w:val="none"/>
          <w:lang w:val="en-US" w:bidi="zh-CN"/>
        </w:rPr>
        <w:t>油车棚</w:t>
      </w:r>
      <w:r>
        <w:rPr>
          <w:color w:val="auto"/>
          <w:highlight w:val="none"/>
        </w:rPr>
        <w:t>风险发生</w:t>
      </w:r>
      <w:r>
        <w:rPr>
          <w:rFonts w:hint="eastAsia"/>
          <w:color w:val="auto"/>
          <w:highlight w:val="none"/>
          <w:lang w:eastAsia="zh-CN"/>
        </w:rPr>
        <w:t>概率</w:t>
      </w:r>
      <w:r>
        <w:rPr>
          <w:color w:val="auto"/>
          <w:highlight w:val="none"/>
        </w:rPr>
        <w:t>相对较小，环境风险评价可参照油</w:t>
      </w:r>
      <w:r>
        <w:rPr>
          <w:rFonts w:hint="eastAsia" w:ascii="Times New Roman" w:eastAsia="宋体"/>
          <w:color w:val="auto"/>
          <w:highlight w:val="none"/>
          <w:lang w:val="en-US" w:eastAsia="zh-CN"/>
        </w:rPr>
        <w:t>类物质泄漏</w:t>
      </w:r>
      <w:r>
        <w:rPr>
          <w:color w:val="auto"/>
          <w:highlight w:val="none"/>
        </w:rPr>
        <w:t>分析结果。</w:t>
      </w:r>
    </w:p>
    <w:p w14:paraId="55742D76">
      <w:pPr>
        <w:ind w:firstLine="480" w:firstLineChars="200"/>
        <w:rPr>
          <w:color w:val="auto"/>
          <w:highlight w:val="none"/>
        </w:rPr>
      </w:pPr>
      <w:r>
        <w:rPr>
          <w:color w:val="auto"/>
          <w:highlight w:val="none"/>
        </w:rPr>
        <w:t>参考《环境风险评价技术和方法》中统计数据，油</w:t>
      </w:r>
      <w:r>
        <w:rPr>
          <w:rFonts w:hint="eastAsia" w:ascii="Times New Roman" w:eastAsia="宋体"/>
          <w:color w:val="auto"/>
          <w:highlight w:val="none"/>
          <w:lang w:val="en-US" w:eastAsia="zh-CN"/>
        </w:rPr>
        <w:t>类物质</w:t>
      </w:r>
      <w:r>
        <w:rPr>
          <w:color w:val="auto"/>
          <w:highlight w:val="none"/>
        </w:rPr>
        <w:t>泄漏</w:t>
      </w:r>
      <w:r>
        <w:rPr>
          <w:rFonts w:hint="eastAsia"/>
          <w:color w:val="auto"/>
          <w:highlight w:val="none"/>
          <w:lang w:eastAsia="zh-CN"/>
        </w:rPr>
        <w:t>发生</w:t>
      </w:r>
      <w:r>
        <w:rPr>
          <w:color w:val="auto"/>
          <w:highlight w:val="none"/>
        </w:rPr>
        <w:t>火灾事故的概率为</w:t>
      </w:r>
      <w:r>
        <w:rPr>
          <w:rFonts w:eastAsia="Times New Roman"/>
          <w:color w:val="auto"/>
          <w:highlight w:val="none"/>
        </w:rPr>
        <w:t>0.877×10</w:t>
      </w:r>
      <w:r>
        <w:rPr>
          <w:rFonts w:eastAsia="Times New Roman"/>
          <w:color w:val="auto"/>
          <w:highlight w:val="none"/>
          <w:vertAlign w:val="superscript"/>
        </w:rPr>
        <w:t xml:space="preserve">-6 </w:t>
      </w:r>
      <w:r>
        <w:rPr>
          <w:color w:val="auto"/>
          <w:highlight w:val="none"/>
        </w:rPr>
        <w:t>次</w:t>
      </w:r>
      <w:r>
        <w:rPr>
          <w:rFonts w:eastAsia="Times New Roman"/>
          <w:color w:val="auto"/>
          <w:highlight w:val="none"/>
        </w:rPr>
        <w:t>/</w:t>
      </w:r>
      <w:r>
        <w:rPr>
          <w:color w:val="auto"/>
          <w:highlight w:val="none"/>
        </w:rPr>
        <w:t>（年</w:t>
      </w:r>
      <w:r>
        <w:rPr>
          <w:rFonts w:eastAsia="Times New Roman"/>
          <w:color w:val="auto"/>
          <w:highlight w:val="none"/>
        </w:rPr>
        <w:t>·</w:t>
      </w:r>
      <w:r>
        <w:rPr>
          <w:color w:val="auto"/>
          <w:highlight w:val="none"/>
        </w:rPr>
        <w:t>罐）。</w:t>
      </w:r>
    </w:p>
    <w:p w14:paraId="5CAC3B55">
      <w:pPr>
        <w:ind w:firstLine="480" w:firstLineChars="200"/>
        <w:rPr>
          <w:color w:val="auto"/>
          <w:highlight w:val="none"/>
        </w:rPr>
      </w:pPr>
      <w:r>
        <w:rPr>
          <w:rFonts w:hint="eastAsia"/>
          <w:color w:val="auto"/>
          <w:highlight w:val="none"/>
          <w:lang w:val="en-US" w:eastAsia="zh-CN"/>
        </w:rPr>
        <w:t>罐车</w:t>
      </w:r>
      <w:r>
        <w:rPr>
          <w:color w:val="auto"/>
          <w:highlight w:val="none"/>
        </w:rPr>
        <w:t>如发生泄漏、储罐冒顶、装卸跑料等事故，油料与空气可形成爆炸性气体混合物，遇明火、静电等点火源可发生爆炸、着火，由于项目中油料的贮存量大，如发生大量泄漏、跑料，极易引发重大火灾、爆炸事故，造成重大损失。</w:t>
      </w:r>
    </w:p>
    <w:p w14:paraId="151092A0">
      <w:pPr>
        <w:ind w:firstLine="480" w:firstLineChars="200"/>
        <w:rPr>
          <w:color w:val="auto"/>
          <w:highlight w:val="none"/>
        </w:rPr>
      </w:pPr>
      <w:r>
        <w:rPr>
          <w:color w:val="auto"/>
          <w:highlight w:val="none"/>
        </w:rPr>
        <w:t>油罐发生火灾、爆炸过程中，油类物质燃烧会伴生大量的烟尘、</w:t>
      </w:r>
      <w:r>
        <w:rPr>
          <w:rFonts w:eastAsia="Times New Roman"/>
          <w:color w:val="auto"/>
          <w:highlight w:val="none"/>
        </w:rPr>
        <w:t>CO</w:t>
      </w:r>
      <w:r>
        <w:rPr>
          <w:color w:val="auto"/>
          <w:highlight w:val="none"/>
        </w:rPr>
        <w:t>、</w:t>
      </w:r>
      <w:r>
        <w:rPr>
          <w:rFonts w:eastAsia="Times New Roman"/>
          <w:color w:val="auto"/>
          <w:highlight w:val="none"/>
        </w:rPr>
        <w:t>SO</w:t>
      </w:r>
      <w:r>
        <w:rPr>
          <w:rFonts w:eastAsia="Times New Roman"/>
          <w:color w:val="auto"/>
          <w:highlight w:val="none"/>
          <w:vertAlign w:val="subscript"/>
        </w:rPr>
        <w:t>2</w:t>
      </w:r>
      <w:r>
        <w:rPr>
          <w:color w:val="auto"/>
          <w:highlight w:val="none"/>
        </w:rPr>
        <w:t>等污染物，其伴生污染物</w:t>
      </w:r>
      <w:r>
        <w:rPr>
          <w:rFonts w:eastAsia="Times New Roman"/>
          <w:color w:val="auto"/>
          <w:highlight w:val="none"/>
        </w:rPr>
        <w:t>CO</w:t>
      </w:r>
      <w:r>
        <w:rPr>
          <w:color w:val="auto"/>
          <w:highlight w:val="none"/>
        </w:rPr>
        <w:t>和</w:t>
      </w:r>
      <w:r>
        <w:rPr>
          <w:rFonts w:eastAsia="Times New Roman"/>
          <w:color w:val="auto"/>
          <w:highlight w:val="none"/>
        </w:rPr>
        <w:t>SO</w:t>
      </w:r>
      <w:r>
        <w:rPr>
          <w:rFonts w:eastAsia="Times New Roman"/>
          <w:color w:val="auto"/>
          <w:highlight w:val="none"/>
          <w:vertAlign w:val="subscript"/>
        </w:rPr>
        <w:t xml:space="preserve">2 </w:t>
      </w:r>
      <w:r>
        <w:rPr>
          <w:color w:val="auto"/>
          <w:highlight w:val="none"/>
        </w:rPr>
        <w:t>进入大气将形成毒性气体云团，在被稀释至安全浓度前，这些云团可以在较大范围内扩散，在短时间内对环境空气质量和人群健康产生影响。尤其不完全燃烧产生的</w:t>
      </w:r>
      <w:r>
        <w:rPr>
          <w:rFonts w:eastAsia="Times New Roman"/>
          <w:color w:val="auto"/>
          <w:highlight w:val="none"/>
        </w:rPr>
        <w:t>CO</w:t>
      </w:r>
      <w:r>
        <w:rPr>
          <w:color w:val="auto"/>
          <w:highlight w:val="none"/>
        </w:rPr>
        <w:t>毒性较大，对人体健康产生的危害较大。因此在机场运营过程中，必须采取相应的风险防范措施，将风险事故的发生概率降至最低；如果发生事故，机场建设方及当地政府职能部门须根据应急预案做好相应的应对措施。</w:t>
      </w:r>
    </w:p>
    <w:p w14:paraId="63F4F5B9">
      <w:pPr>
        <w:ind w:firstLine="480" w:firstLineChars="200"/>
        <w:rPr>
          <w:color w:val="auto"/>
          <w:highlight w:val="none"/>
        </w:rPr>
      </w:pPr>
      <w:r>
        <w:rPr>
          <w:color w:val="auto"/>
          <w:highlight w:val="none"/>
        </w:rPr>
        <w:t>同时本次环评建议在</w:t>
      </w:r>
      <w:r>
        <w:rPr>
          <w:rFonts w:hint="eastAsia"/>
          <w:color w:val="auto"/>
          <w:highlight w:val="none"/>
          <w:lang w:val="en-US" w:eastAsia="zh-CN"/>
        </w:rPr>
        <w:t>油车棚</w:t>
      </w:r>
      <w:r>
        <w:rPr>
          <w:color w:val="auto"/>
          <w:highlight w:val="none"/>
        </w:rPr>
        <w:t>设置事故水池，通过排水沟收集事故水进入事故水池，尽可能回收溢油</w:t>
      </w:r>
      <w:r>
        <w:rPr>
          <w:rFonts w:hint="eastAsia"/>
          <w:color w:val="auto"/>
          <w:highlight w:val="none"/>
          <w:lang w:eastAsia="zh-CN"/>
        </w:rPr>
        <w:t>，</w:t>
      </w:r>
      <w:r>
        <w:rPr>
          <w:color w:val="auto"/>
          <w:highlight w:val="none"/>
        </w:rPr>
        <w:t>把事故造成对环境的污染降至最低的限度。</w:t>
      </w:r>
      <w:r>
        <w:rPr>
          <w:rFonts w:eastAsia="Times New Roman"/>
          <w:color w:val="auto"/>
          <w:highlight w:val="none"/>
        </w:rPr>
        <w:t xml:space="preserve"> </w:t>
      </w:r>
    </w:p>
    <w:p w14:paraId="01A87E7A">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航煤对地下水、土壤的影响分析</w:t>
      </w:r>
    </w:p>
    <w:p w14:paraId="2D420938">
      <w:pPr>
        <w:ind w:firstLine="480" w:firstLineChars="200"/>
        <w:rPr>
          <w:color w:val="auto"/>
          <w:highlight w:val="none"/>
        </w:rPr>
      </w:pPr>
      <w:r>
        <w:rPr>
          <w:color w:val="auto"/>
          <w:highlight w:val="none"/>
        </w:rPr>
        <w:t>本项目油</w:t>
      </w:r>
      <w:r>
        <w:rPr>
          <w:rFonts w:hint="eastAsia" w:ascii="Times New Roman" w:eastAsia="宋体"/>
          <w:color w:val="auto"/>
          <w:highlight w:val="none"/>
          <w:lang w:val="en-US" w:eastAsia="zh-CN"/>
        </w:rPr>
        <w:t>类物质</w:t>
      </w:r>
      <w:r>
        <w:rPr>
          <w:color w:val="auto"/>
          <w:highlight w:val="none"/>
        </w:rPr>
        <w:t>发生泄漏，可能导致地下水污染事故。根据机场项目的特点，项目运营后对地下水污染源主要为</w:t>
      </w:r>
      <w:r>
        <w:rPr>
          <w:rFonts w:hint="eastAsia"/>
          <w:color w:val="auto"/>
          <w:highlight w:val="none"/>
          <w:lang w:val="en-US" w:eastAsia="zh-CN"/>
        </w:rPr>
        <w:t>罐式加油车</w:t>
      </w:r>
      <w:r>
        <w:rPr>
          <w:color w:val="auto"/>
          <w:highlight w:val="none"/>
        </w:rPr>
        <w:t>，如果</w:t>
      </w:r>
      <w:r>
        <w:rPr>
          <w:rFonts w:hint="eastAsia"/>
          <w:color w:val="auto"/>
          <w:highlight w:val="none"/>
          <w:lang w:val="en-US" w:eastAsia="zh-CN"/>
        </w:rPr>
        <w:t>罐体</w:t>
      </w:r>
      <w:r>
        <w:rPr>
          <w:color w:val="auto"/>
          <w:highlight w:val="none"/>
        </w:rPr>
        <w:t>底部发生破损，污染物通过包气带进入潜水含水层，进而下渗地下水体。根据地下水预测结果，项目运行后正常状态下不会产生渗漏，对地下水不产生直接影响。非正常状况下油</w:t>
      </w:r>
      <w:r>
        <w:rPr>
          <w:rFonts w:hint="eastAsia" w:ascii="Times New Roman" w:eastAsia="宋体"/>
          <w:color w:val="auto"/>
          <w:highlight w:val="none"/>
          <w:lang w:val="en-US" w:eastAsia="zh-CN"/>
        </w:rPr>
        <w:t>类物质</w:t>
      </w:r>
      <w:r>
        <w:rPr>
          <w:color w:val="auto"/>
          <w:highlight w:val="none"/>
        </w:rPr>
        <w:t xml:space="preserve">发生渗漏时，对下游地下水水质会产生一定的影响，在采取一定的环保措施后不会对项目区外地下水环境造成影响，项目地下水环境影响可接受。 </w:t>
      </w:r>
    </w:p>
    <w:p w14:paraId="49162201">
      <w:pPr>
        <w:ind w:firstLine="480" w:firstLineChars="200"/>
        <w:rPr>
          <w:color w:val="auto"/>
          <w:highlight w:val="none"/>
        </w:rPr>
      </w:pPr>
      <w:r>
        <w:rPr>
          <w:color w:val="auto"/>
          <w:highlight w:val="none"/>
        </w:rPr>
        <w:t>本项目机场油</w:t>
      </w:r>
      <w:r>
        <w:rPr>
          <w:rFonts w:hint="eastAsia" w:ascii="Times New Roman" w:eastAsia="宋体"/>
          <w:color w:val="auto"/>
          <w:highlight w:val="none"/>
          <w:lang w:val="en-US" w:eastAsia="zh-CN"/>
        </w:rPr>
        <w:t>类物质</w:t>
      </w:r>
      <w:r>
        <w:rPr>
          <w:color w:val="auto"/>
          <w:highlight w:val="none"/>
        </w:rPr>
        <w:t>发生泄漏、火灾后，所有漏油及消防废水均被事故水池收集，不排入外环境。</w:t>
      </w:r>
      <w:r>
        <w:rPr>
          <w:rFonts w:hint="eastAsia"/>
          <w:color w:val="auto"/>
          <w:highlight w:val="none"/>
          <w:lang w:val="en-US" w:eastAsia="zh-CN"/>
        </w:rPr>
        <w:t>油车棚</w:t>
      </w:r>
      <w:r>
        <w:rPr>
          <w:color w:val="auto"/>
          <w:highlight w:val="none"/>
        </w:rPr>
        <w:t>和事故水池设置硬化地面且下设防渗层，漏油及消防废水不直接与土壤接触，事故废水经处理达标后回用，不会对土壤环境产生较大影响。</w:t>
      </w:r>
      <w:r>
        <w:rPr>
          <w:rFonts w:hint="eastAsia"/>
          <w:color w:val="auto"/>
          <w:highlight w:val="none"/>
        </w:rPr>
        <w:t>故本次评价重点分析非正常情况下油品泄漏对土壤的影响，土壤中存在着大量的有机和无机胶体、土壤动植物和微生物，泄漏事故航煤、汽油进入土壤后，通过土壤的物理、化学和生物等作用，不断地被吸附、分解、迁移和转化，残留物质被植物吸收后影响植物的生长、产量和农产品质量。</w:t>
      </w:r>
    </w:p>
    <w:p w14:paraId="490F73FF">
      <w:pPr>
        <w:ind w:firstLine="480" w:firstLineChars="200"/>
        <w:rPr>
          <w:color w:val="auto"/>
          <w:highlight w:val="none"/>
        </w:rPr>
      </w:pPr>
      <w:r>
        <w:rPr>
          <w:rFonts w:hint="eastAsia"/>
          <w:color w:val="auto"/>
          <w:highlight w:val="none"/>
        </w:rPr>
        <w:t>根据土壤分析结果，非正常状况下</w:t>
      </w:r>
      <w:r>
        <w:rPr>
          <w:color w:val="auto"/>
          <w:highlight w:val="none"/>
        </w:rPr>
        <w:t>油</w:t>
      </w:r>
      <w:r>
        <w:rPr>
          <w:rFonts w:hint="eastAsia" w:ascii="Times New Roman" w:eastAsia="宋体"/>
          <w:color w:val="auto"/>
          <w:highlight w:val="none"/>
          <w:lang w:val="en-US" w:eastAsia="zh-CN"/>
        </w:rPr>
        <w:t>类物质</w:t>
      </w:r>
      <w:r>
        <w:rPr>
          <w:rFonts w:hint="eastAsia"/>
          <w:color w:val="auto"/>
          <w:highlight w:val="none"/>
        </w:rPr>
        <w:t>渗漏的石油类将穿透土壤层，到达地下含水层，需采取一定措施降低非正常状况的发生率，并将非正常状况下对土壤和地下水的污染程度降低到</w:t>
      </w:r>
      <w:r>
        <w:rPr>
          <w:rFonts w:hint="eastAsia"/>
          <w:color w:val="auto"/>
          <w:highlight w:val="none"/>
          <w:lang w:eastAsia="zh-CN"/>
        </w:rPr>
        <w:t>最低程度</w:t>
      </w:r>
      <w:r>
        <w:rPr>
          <w:color w:val="auto"/>
          <w:highlight w:val="none"/>
        </w:rPr>
        <w:t>。</w:t>
      </w:r>
    </w:p>
    <w:p w14:paraId="291841D3">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环境风险防范措施</w:t>
      </w:r>
    </w:p>
    <w:p w14:paraId="01297DB3">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油车棚</w:t>
      </w:r>
      <w:r>
        <w:rPr>
          <w:rFonts w:hint="eastAsia" w:ascii="Times New Roman" w:hAnsi="Times New Roman" w:eastAsia="宋体" w:cs="Times New Roman"/>
          <w:b w:val="0"/>
          <w:bCs w:val="0"/>
          <w:color w:val="auto"/>
          <w:kern w:val="2"/>
          <w:sz w:val="24"/>
          <w:szCs w:val="24"/>
          <w:highlight w:val="none"/>
          <w:lang w:val="en-US" w:eastAsia="zh-CN" w:bidi="ar-SA"/>
        </w:rPr>
        <w:t>风险防范措施</w:t>
      </w:r>
    </w:p>
    <w:p w14:paraId="1F714278">
      <w:pPr>
        <w:pStyle w:val="133"/>
        <w:rPr>
          <w:color w:val="auto"/>
          <w:highlight w:val="none"/>
        </w:rPr>
      </w:pPr>
      <w:r>
        <w:rPr>
          <w:color w:val="auto"/>
          <w:highlight w:val="none"/>
        </w:rPr>
        <w:t>（1）物料泄漏防范措施</w:t>
      </w:r>
    </w:p>
    <w:p w14:paraId="51E52DAD">
      <w:pPr>
        <w:pStyle w:val="133"/>
        <w:rPr>
          <w:color w:val="auto"/>
          <w:highlight w:val="none"/>
        </w:rPr>
      </w:pPr>
      <w:r>
        <w:rPr>
          <w:rFonts w:hint="eastAsia"/>
          <w:color w:val="auto"/>
          <w:highlight w:val="none"/>
        </w:rPr>
        <w:t>油类物质</w:t>
      </w:r>
      <w:r>
        <w:rPr>
          <w:color w:val="auto"/>
          <w:highlight w:val="none"/>
        </w:rPr>
        <w:t>泄漏防范措施见表</w:t>
      </w:r>
      <w:r>
        <w:rPr>
          <w:rFonts w:eastAsia="Times New Roman"/>
          <w:color w:val="auto"/>
          <w:highlight w:val="none"/>
        </w:rPr>
        <w:t>5-8-10</w:t>
      </w:r>
      <w:r>
        <w:rPr>
          <w:color w:val="auto"/>
          <w:highlight w:val="none"/>
        </w:rPr>
        <w:t>。</w:t>
      </w:r>
    </w:p>
    <w:p w14:paraId="4F2BC2F2">
      <w:pPr>
        <w:pStyle w:val="683"/>
        <w:spacing w:before="0" w:after="0" w:line="240" w:lineRule="auto"/>
        <w:rPr>
          <w:rFonts w:ascii="黑体" w:hAnsi="黑体" w:eastAsia="黑体"/>
          <w:b w:val="0"/>
          <w:color w:val="auto"/>
          <w:sz w:val="21"/>
          <w:highlight w:val="none"/>
        </w:rPr>
      </w:pPr>
    </w:p>
    <w:p w14:paraId="452B0C0D">
      <w:pPr>
        <w:pStyle w:val="683"/>
        <w:spacing w:before="0" w:after="0" w:line="240" w:lineRule="auto"/>
        <w:rPr>
          <w:rFonts w:ascii="黑体" w:hAnsi="黑体" w:eastAsia="黑体"/>
          <w:b w:val="0"/>
          <w:color w:val="auto"/>
          <w:sz w:val="21"/>
          <w:highlight w:val="none"/>
        </w:rPr>
      </w:pPr>
      <w:r>
        <w:rPr>
          <w:rFonts w:ascii="黑体" w:hAnsi="黑体" w:eastAsia="黑体"/>
          <w:b w:val="0"/>
          <w:color w:val="auto"/>
          <w:sz w:val="21"/>
          <w:highlight w:val="none"/>
        </w:rPr>
        <w:t xml:space="preserve">表5-8-10 </w:t>
      </w:r>
      <w:r>
        <w:rPr>
          <w:rFonts w:hint="eastAsia" w:ascii="黑体" w:hAnsi="黑体" w:eastAsia="黑体"/>
          <w:b w:val="0"/>
          <w:color w:val="auto"/>
          <w:sz w:val="21"/>
          <w:highlight w:val="none"/>
        </w:rPr>
        <w:t>油类物质</w:t>
      </w:r>
      <w:r>
        <w:rPr>
          <w:rFonts w:ascii="黑体" w:hAnsi="黑体" w:eastAsia="黑体"/>
          <w:b w:val="0"/>
          <w:color w:val="auto"/>
          <w:sz w:val="21"/>
          <w:highlight w:val="none"/>
        </w:rPr>
        <w:t>泄漏防范措施</w:t>
      </w:r>
    </w:p>
    <w:tbl>
      <w:tblPr>
        <w:tblStyle w:val="515"/>
        <w:tblW w:w="48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7692"/>
      </w:tblGrid>
      <w:tr w14:paraId="4998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vMerge w:val="restart"/>
            <w:vAlign w:val="center"/>
          </w:tcPr>
          <w:p w14:paraId="7CEB98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油类物质泄漏防范措施</w:t>
            </w:r>
          </w:p>
        </w:tc>
        <w:tc>
          <w:tcPr>
            <w:tcW w:w="4533" w:type="pct"/>
            <w:vAlign w:val="center"/>
          </w:tcPr>
          <w:p w14:paraId="1F55FD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在油车棚及相关区域设立监测探头，对周围环境的易燃易爆气体进行</w:t>
            </w:r>
            <w:r>
              <w:rPr>
                <w:rFonts w:hint="eastAsia" w:cs="Times New Roman"/>
                <w:color w:val="auto"/>
                <w:kern w:val="2"/>
                <w:sz w:val="21"/>
                <w:szCs w:val="21"/>
                <w:highlight w:val="none"/>
                <w:lang w:val="en-US" w:eastAsia="zh-CN" w:bidi="ar-SA"/>
              </w:rPr>
              <w:t>实时</w:t>
            </w:r>
            <w:r>
              <w:rPr>
                <w:rFonts w:hint="default" w:ascii="Times New Roman" w:hAnsi="Times New Roman" w:eastAsia="宋体" w:cs="Times New Roman"/>
                <w:color w:val="auto"/>
                <w:kern w:val="2"/>
                <w:sz w:val="21"/>
                <w:szCs w:val="21"/>
                <w:highlight w:val="none"/>
                <w:lang w:val="en-US" w:eastAsia="zh-CN" w:bidi="ar-SA"/>
              </w:rPr>
              <w:t>监控，以便于在第一时间发现物料泄漏事故，并确定事故发生点；</w:t>
            </w:r>
          </w:p>
        </w:tc>
      </w:tr>
      <w:tr w14:paraId="0636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vMerge w:val="continue"/>
            <w:vAlign w:val="center"/>
          </w:tcPr>
          <w:p w14:paraId="11C08B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4533" w:type="pct"/>
            <w:vAlign w:val="center"/>
          </w:tcPr>
          <w:p w14:paraId="302B3E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定期检查</w:t>
            </w:r>
            <w:r>
              <w:rPr>
                <w:rFonts w:hint="eastAsia" w:ascii="Times New Roman" w:hAnsi="Times New Roman" w:eastAsia="宋体" w:cs="Times New Roman"/>
                <w:color w:val="auto"/>
                <w:kern w:val="2"/>
                <w:sz w:val="21"/>
                <w:szCs w:val="21"/>
                <w:highlight w:val="none"/>
                <w:lang w:val="en-US" w:eastAsia="zh-CN" w:bidi="ar-SA"/>
              </w:rPr>
              <w:t>罐式加油车</w:t>
            </w:r>
            <w:r>
              <w:rPr>
                <w:rFonts w:hint="default" w:ascii="Times New Roman" w:hAnsi="Times New Roman" w:eastAsia="宋体" w:cs="Times New Roman"/>
                <w:color w:val="auto"/>
                <w:kern w:val="2"/>
                <w:sz w:val="21"/>
                <w:szCs w:val="21"/>
                <w:highlight w:val="none"/>
                <w:lang w:val="en-US" w:eastAsia="zh-CN" w:bidi="ar-SA"/>
              </w:rPr>
              <w:t>及</w:t>
            </w:r>
            <w:r>
              <w:rPr>
                <w:rFonts w:hint="eastAsia" w:ascii="Times New Roman" w:hAnsi="Times New Roman" w:eastAsia="宋体" w:cs="Times New Roman"/>
                <w:color w:val="auto"/>
                <w:kern w:val="2"/>
                <w:sz w:val="21"/>
                <w:szCs w:val="21"/>
                <w:highlight w:val="none"/>
                <w:lang w:val="en-US" w:eastAsia="zh-CN" w:bidi="ar-SA"/>
              </w:rPr>
              <w:t>配套设施</w:t>
            </w:r>
            <w:r>
              <w:rPr>
                <w:rFonts w:hint="default" w:ascii="Times New Roman" w:hAnsi="Times New Roman" w:eastAsia="宋体" w:cs="Times New Roman"/>
                <w:color w:val="auto"/>
                <w:kern w:val="2"/>
                <w:sz w:val="21"/>
                <w:szCs w:val="21"/>
                <w:highlight w:val="none"/>
                <w:lang w:val="en-US" w:eastAsia="zh-CN" w:bidi="ar-SA"/>
              </w:rPr>
              <w:t>，及时将损坏原配件进行维护和更换，对部分构件进行保养，以减少事故发生的可能性；</w:t>
            </w:r>
          </w:p>
        </w:tc>
      </w:tr>
      <w:tr w14:paraId="58F6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vMerge w:val="continue"/>
            <w:vAlign w:val="center"/>
          </w:tcPr>
          <w:p w14:paraId="6DD797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4533" w:type="pct"/>
            <w:vAlign w:val="center"/>
          </w:tcPr>
          <w:p w14:paraId="5767EF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严格按照航油存储区的操作规范工作，避免物料存储条件改变而导致事故发生；</w:t>
            </w:r>
          </w:p>
        </w:tc>
      </w:tr>
      <w:tr w14:paraId="1A2C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vMerge w:val="continue"/>
            <w:vAlign w:val="center"/>
          </w:tcPr>
          <w:p w14:paraId="2ACE5A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4533" w:type="pct"/>
            <w:vAlign w:val="center"/>
          </w:tcPr>
          <w:p w14:paraId="6D3D90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避免在</w:t>
            </w:r>
            <w:r>
              <w:rPr>
                <w:rFonts w:hint="eastAsia" w:ascii="Times New Roman" w:hAnsi="Times New Roman" w:eastAsia="宋体" w:cs="Times New Roman"/>
                <w:color w:val="auto"/>
                <w:kern w:val="2"/>
                <w:sz w:val="21"/>
                <w:szCs w:val="21"/>
                <w:highlight w:val="none"/>
                <w:lang w:val="en-US" w:eastAsia="zh-CN" w:bidi="ar-SA"/>
              </w:rPr>
              <w:t>油车棚</w:t>
            </w:r>
            <w:r>
              <w:rPr>
                <w:rFonts w:hint="default" w:ascii="Times New Roman" w:hAnsi="Times New Roman" w:eastAsia="宋体" w:cs="Times New Roman"/>
                <w:color w:val="auto"/>
                <w:kern w:val="2"/>
                <w:sz w:val="21"/>
                <w:szCs w:val="21"/>
                <w:highlight w:val="none"/>
                <w:lang w:val="en-US" w:eastAsia="zh-CN" w:bidi="ar-SA"/>
              </w:rPr>
              <w:t>进行</w:t>
            </w:r>
            <w:r>
              <w:rPr>
                <w:rFonts w:hint="eastAsia" w:cs="Times New Roman"/>
                <w:color w:val="auto"/>
                <w:kern w:val="2"/>
                <w:sz w:val="21"/>
                <w:szCs w:val="21"/>
                <w:highlight w:val="none"/>
                <w:lang w:val="en-US" w:eastAsia="zh-CN" w:bidi="ar-SA"/>
              </w:rPr>
              <w:t>土建施工</w:t>
            </w:r>
            <w:r>
              <w:rPr>
                <w:rFonts w:hint="default" w:ascii="Times New Roman" w:hAnsi="Times New Roman" w:eastAsia="宋体" w:cs="Times New Roman"/>
                <w:color w:val="auto"/>
                <w:kern w:val="2"/>
                <w:sz w:val="21"/>
                <w:szCs w:val="21"/>
                <w:highlight w:val="none"/>
                <w:lang w:val="en-US" w:eastAsia="zh-CN" w:bidi="ar-SA"/>
              </w:rPr>
              <w:t>，以减少意外事故导致罐体和阀门破坏；</w:t>
            </w:r>
          </w:p>
        </w:tc>
      </w:tr>
      <w:tr w14:paraId="09A8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vMerge w:val="continue"/>
            <w:vAlign w:val="center"/>
          </w:tcPr>
          <w:p w14:paraId="1695C9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4533" w:type="pct"/>
            <w:vAlign w:val="center"/>
          </w:tcPr>
          <w:p w14:paraId="2CEDBE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对油车棚进行定时巡逻，防止偷盗行为破坏罐体及相关配件，导致事故发生；在油罐阀门等处应设置警示牌；</w:t>
            </w:r>
          </w:p>
        </w:tc>
      </w:tr>
      <w:tr w14:paraId="2738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vMerge w:val="continue"/>
            <w:vAlign w:val="center"/>
          </w:tcPr>
          <w:p w14:paraId="2FAAF4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4533" w:type="pct"/>
            <w:vAlign w:val="center"/>
          </w:tcPr>
          <w:p w14:paraId="39E0D9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一旦发生油类物质泄漏，应立刻关闭所有正在作业的油罐阀门，停止燃料输送，检查油水分离池和罐底阀门，关闭入口和出口。为防止大量溢油通过隔油池进入机场排水系统，应迅速将储备吸油棉或泥沙等将扩散溢油固定，避免对机场污水处理站的冲击。</w:t>
            </w:r>
          </w:p>
        </w:tc>
      </w:tr>
    </w:tbl>
    <w:p w14:paraId="1E5318C1">
      <w:pPr>
        <w:pStyle w:val="683"/>
        <w:spacing w:before="0" w:after="0" w:line="240" w:lineRule="auto"/>
        <w:rPr>
          <w:rFonts w:ascii="黑体" w:hAnsi="黑体" w:eastAsia="黑体"/>
          <w:b w:val="0"/>
          <w:color w:val="auto"/>
          <w:sz w:val="21"/>
          <w:highlight w:val="none"/>
        </w:rPr>
      </w:pPr>
    </w:p>
    <w:p w14:paraId="48B257B7">
      <w:pPr>
        <w:pStyle w:val="133"/>
        <w:rPr>
          <w:color w:val="auto"/>
          <w:highlight w:val="none"/>
        </w:rPr>
      </w:pPr>
      <w:r>
        <w:rPr>
          <w:color w:val="auto"/>
          <w:highlight w:val="none"/>
        </w:rPr>
        <w:t xml:space="preserve">（2）火灾爆炸事故防范措施 </w:t>
      </w:r>
    </w:p>
    <w:p w14:paraId="0CF92901">
      <w:pPr>
        <w:pStyle w:val="133"/>
        <w:rPr>
          <w:color w:val="auto"/>
          <w:highlight w:val="none"/>
        </w:rPr>
      </w:pPr>
      <w:r>
        <w:rPr>
          <w:rFonts w:hint="eastAsia"/>
          <w:color w:val="auto"/>
          <w:highlight w:val="none"/>
          <w:lang w:val="en-US" w:eastAsia="zh-CN"/>
        </w:rPr>
        <w:t>油车棚</w:t>
      </w:r>
      <w:r>
        <w:rPr>
          <w:color w:val="auto"/>
          <w:highlight w:val="none"/>
        </w:rPr>
        <w:t>属于一级防火单位，一旦发生火灾和爆炸会对周围居民安全造成威胁，同时航空煤油燃烧也会排放大量的石油类物质的烟尘，对大气环境和土壤环境造成污染。</w:t>
      </w:r>
      <w:r>
        <w:rPr>
          <w:rFonts w:eastAsia="Times New Roman"/>
          <w:color w:val="auto"/>
          <w:highlight w:val="none"/>
        </w:rPr>
        <w:t xml:space="preserve"> </w:t>
      </w:r>
    </w:p>
    <w:p w14:paraId="37391A80">
      <w:pPr>
        <w:pStyle w:val="133"/>
        <w:rPr>
          <w:rFonts w:ascii="宋体" w:hAnsi="宋体" w:cs="宋体"/>
          <w:color w:val="auto"/>
          <w:highlight w:val="none"/>
        </w:rPr>
      </w:pPr>
      <w:r>
        <w:rPr>
          <w:color w:val="auto"/>
          <w:highlight w:val="none"/>
        </w:rPr>
        <w:t xml:space="preserve">针对本项目的实际情况火灾爆炸事故防范措施见表 </w:t>
      </w:r>
      <w:r>
        <w:rPr>
          <w:rFonts w:eastAsia="Times New Roman"/>
          <w:color w:val="auto"/>
          <w:highlight w:val="none"/>
        </w:rPr>
        <w:t>5-8-11</w:t>
      </w:r>
      <w:r>
        <w:rPr>
          <w:rFonts w:hint="eastAsia" w:ascii="宋体" w:hAnsi="宋体" w:cs="宋体"/>
          <w:color w:val="auto"/>
          <w:highlight w:val="none"/>
        </w:rPr>
        <w:t>。</w:t>
      </w:r>
    </w:p>
    <w:p w14:paraId="3C7C1096">
      <w:pPr>
        <w:pStyle w:val="133"/>
        <w:ind w:firstLine="0"/>
        <w:jc w:val="center"/>
        <w:rPr>
          <w:rFonts w:hint="eastAsia" w:ascii="黑体" w:hAnsi="黑体" w:eastAsia="黑体" w:cs="黑体"/>
          <w:color w:val="auto"/>
          <w:sz w:val="21"/>
          <w:szCs w:val="16"/>
          <w:highlight w:val="none"/>
        </w:rPr>
      </w:pPr>
      <w:r>
        <w:rPr>
          <w:rFonts w:hint="eastAsia" w:ascii="黑体" w:hAnsi="黑体" w:eastAsia="黑体" w:cs="黑体"/>
          <w:color w:val="auto"/>
          <w:sz w:val="21"/>
          <w:szCs w:val="16"/>
          <w:highlight w:val="none"/>
        </w:rPr>
        <w:t>表5-8-11 油车棚物料泄漏防范措施</w:t>
      </w:r>
    </w:p>
    <w:tbl>
      <w:tblPr>
        <w:tblStyle w:val="515"/>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7854"/>
      </w:tblGrid>
      <w:tr w14:paraId="54153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7" w:type="pct"/>
            <w:vMerge w:val="restart"/>
            <w:vAlign w:val="center"/>
          </w:tcPr>
          <w:p w14:paraId="070C84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 w:val="21"/>
                <w:szCs w:val="21"/>
                <w:highlight w:val="none"/>
              </w:rPr>
            </w:pPr>
            <w:r>
              <w:rPr>
                <w:rFonts w:hint="eastAsia"/>
                <w:color w:val="auto"/>
                <w:sz w:val="21"/>
                <w:szCs w:val="21"/>
                <w:highlight w:val="none"/>
              </w:rPr>
              <w:t>油车棚</w:t>
            </w:r>
          </w:p>
        </w:tc>
        <w:tc>
          <w:tcPr>
            <w:tcW w:w="4503" w:type="pct"/>
            <w:vAlign w:val="center"/>
          </w:tcPr>
          <w:p w14:paraId="58AE42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 w:val="21"/>
                <w:szCs w:val="21"/>
                <w:highlight w:val="none"/>
              </w:rPr>
            </w:pPr>
            <w:r>
              <w:rPr>
                <w:rFonts w:hint="default"/>
                <w:color w:val="auto"/>
                <w:sz w:val="21"/>
                <w:szCs w:val="21"/>
                <w:highlight w:val="none"/>
              </w:rPr>
              <w:t>工作区禁止一切火源（包括高热源）；</w:t>
            </w:r>
          </w:p>
        </w:tc>
      </w:tr>
      <w:tr w14:paraId="7D9C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7" w:type="pct"/>
            <w:vMerge w:val="continue"/>
            <w:vAlign w:val="center"/>
          </w:tcPr>
          <w:p w14:paraId="4EC94F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 w:val="21"/>
                <w:szCs w:val="21"/>
                <w:highlight w:val="none"/>
              </w:rPr>
            </w:pPr>
          </w:p>
        </w:tc>
        <w:tc>
          <w:tcPr>
            <w:tcW w:w="4503" w:type="pct"/>
            <w:vAlign w:val="center"/>
          </w:tcPr>
          <w:p w14:paraId="7F1CBC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 w:val="21"/>
                <w:szCs w:val="21"/>
                <w:highlight w:val="none"/>
              </w:rPr>
            </w:pPr>
            <w:r>
              <w:rPr>
                <w:rFonts w:hint="default"/>
                <w:color w:val="auto"/>
                <w:sz w:val="21"/>
                <w:szCs w:val="21"/>
                <w:highlight w:val="none"/>
              </w:rPr>
              <w:t>在工作区设置火灾监控报警器，便于在有火源出现的第一时间发出信号，采取相应措施，避免火情进一步扩大；</w:t>
            </w:r>
          </w:p>
        </w:tc>
      </w:tr>
      <w:tr w14:paraId="5F1E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7" w:type="pct"/>
            <w:vMerge w:val="continue"/>
            <w:vAlign w:val="center"/>
          </w:tcPr>
          <w:p w14:paraId="293997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 w:val="21"/>
                <w:szCs w:val="21"/>
                <w:highlight w:val="none"/>
              </w:rPr>
            </w:pPr>
          </w:p>
        </w:tc>
        <w:tc>
          <w:tcPr>
            <w:tcW w:w="4503" w:type="pct"/>
            <w:vAlign w:val="center"/>
          </w:tcPr>
          <w:p w14:paraId="724584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 w:val="21"/>
                <w:szCs w:val="21"/>
                <w:highlight w:val="none"/>
              </w:rPr>
            </w:pPr>
            <w:r>
              <w:rPr>
                <w:rFonts w:hint="default"/>
                <w:color w:val="auto"/>
                <w:sz w:val="21"/>
                <w:szCs w:val="21"/>
                <w:highlight w:val="none"/>
              </w:rPr>
              <w:t>在工作区内配备相应的灭火器材，且确保数量和质量上过关；</w:t>
            </w:r>
          </w:p>
        </w:tc>
      </w:tr>
      <w:tr w14:paraId="24EB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7" w:type="pct"/>
            <w:vMerge w:val="restart"/>
            <w:vAlign w:val="center"/>
          </w:tcPr>
          <w:p w14:paraId="3240D7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罐式加油车</w:t>
            </w:r>
          </w:p>
        </w:tc>
        <w:tc>
          <w:tcPr>
            <w:tcW w:w="4503" w:type="pct"/>
            <w:vAlign w:val="center"/>
          </w:tcPr>
          <w:p w14:paraId="09278D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 w:val="21"/>
                <w:szCs w:val="21"/>
                <w:highlight w:val="none"/>
              </w:rPr>
            </w:pPr>
            <w:r>
              <w:rPr>
                <w:rFonts w:hint="default"/>
                <w:color w:val="auto"/>
                <w:sz w:val="21"/>
                <w:szCs w:val="21"/>
                <w:highlight w:val="none"/>
              </w:rPr>
              <w:t>罐式加油车设备质量必须符合国家有关安全规定；</w:t>
            </w:r>
          </w:p>
        </w:tc>
      </w:tr>
      <w:tr w14:paraId="2AB8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7" w:type="pct"/>
            <w:vMerge w:val="continue"/>
            <w:vAlign w:val="center"/>
          </w:tcPr>
          <w:p w14:paraId="144E4B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 w:val="21"/>
                <w:szCs w:val="21"/>
                <w:highlight w:val="none"/>
              </w:rPr>
            </w:pPr>
          </w:p>
        </w:tc>
        <w:tc>
          <w:tcPr>
            <w:tcW w:w="4503" w:type="pct"/>
            <w:vAlign w:val="center"/>
          </w:tcPr>
          <w:p w14:paraId="6A0406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 w:val="21"/>
                <w:szCs w:val="21"/>
                <w:highlight w:val="none"/>
              </w:rPr>
            </w:pPr>
            <w:r>
              <w:rPr>
                <w:rFonts w:hint="eastAsia"/>
                <w:color w:val="auto"/>
                <w:sz w:val="21"/>
                <w:szCs w:val="21"/>
                <w:highlight w:val="none"/>
                <w:lang w:val="en-US" w:eastAsia="zh-CN"/>
              </w:rPr>
              <w:t>罐车</w:t>
            </w:r>
            <w:r>
              <w:rPr>
                <w:rFonts w:hint="default"/>
                <w:color w:val="auto"/>
                <w:sz w:val="21"/>
                <w:szCs w:val="21"/>
                <w:highlight w:val="none"/>
              </w:rPr>
              <w:t>必须经常检查、维护、保持良好的工作状态；</w:t>
            </w:r>
          </w:p>
        </w:tc>
      </w:tr>
      <w:tr w14:paraId="159B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7" w:type="pct"/>
            <w:vMerge w:val="continue"/>
            <w:vAlign w:val="center"/>
          </w:tcPr>
          <w:p w14:paraId="2A00EC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 w:val="21"/>
                <w:szCs w:val="21"/>
                <w:highlight w:val="none"/>
              </w:rPr>
            </w:pPr>
          </w:p>
        </w:tc>
        <w:tc>
          <w:tcPr>
            <w:tcW w:w="4503" w:type="pct"/>
            <w:vAlign w:val="center"/>
          </w:tcPr>
          <w:p w14:paraId="0F534B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 w:val="21"/>
                <w:szCs w:val="21"/>
                <w:highlight w:val="none"/>
              </w:rPr>
            </w:pPr>
            <w:r>
              <w:rPr>
                <w:rFonts w:hint="default"/>
                <w:color w:val="auto"/>
                <w:sz w:val="21"/>
                <w:szCs w:val="21"/>
                <w:highlight w:val="none"/>
              </w:rPr>
              <w:t>加油时必须做好现场监护，按照规程操作，防止冒顶跑油；</w:t>
            </w:r>
          </w:p>
        </w:tc>
      </w:tr>
      <w:tr w14:paraId="73F47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7" w:type="pct"/>
            <w:vMerge w:val="continue"/>
            <w:vAlign w:val="center"/>
          </w:tcPr>
          <w:p w14:paraId="110258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 w:val="21"/>
                <w:szCs w:val="21"/>
                <w:highlight w:val="none"/>
              </w:rPr>
            </w:pPr>
          </w:p>
        </w:tc>
        <w:tc>
          <w:tcPr>
            <w:tcW w:w="4503" w:type="pct"/>
            <w:vAlign w:val="center"/>
          </w:tcPr>
          <w:p w14:paraId="6D9F8F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 w:val="21"/>
                <w:szCs w:val="21"/>
                <w:highlight w:val="none"/>
              </w:rPr>
            </w:pPr>
            <w:r>
              <w:rPr>
                <w:rFonts w:hint="default"/>
                <w:color w:val="auto"/>
                <w:sz w:val="21"/>
                <w:szCs w:val="21"/>
                <w:highlight w:val="none"/>
              </w:rPr>
              <w:t>加强火源管理</w:t>
            </w:r>
            <w:r>
              <w:rPr>
                <w:rFonts w:hint="eastAsia" w:eastAsia="宋体"/>
                <w:color w:val="auto"/>
                <w:sz w:val="21"/>
                <w:szCs w:val="21"/>
                <w:highlight w:val="none"/>
                <w:lang w:eastAsia="zh-CN"/>
              </w:rPr>
              <w:t>，</w:t>
            </w:r>
            <w:r>
              <w:rPr>
                <w:rFonts w:hint="default"/>
                <w:color w:val="auto"/>
                <w:sz w:val="21"/>
                <w:szCs w:val="21"/>
                <w:highlight w:val="none"/>
              </w:rPr>
              <w:t>杜绝火种，严禁闲杂人员入内；</w:t>
            </w:r>
          </w:p>
        </w:tc>
      </w:tr>
      <w:tr w14:paraId="0DD3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7" w:type="pct"/>
            <w:vMerge w:val="continue"/>
            <w:vAlign w:val="center"/>
          </w:tcPr>
          <w:p w14:paraId="113672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 w:val="21"/>
                <w:szCs w:val="21"/>
                <w:highlight w:val="none"/>
              </w:rPr>
            </w:pPr>
          </w:p>
        </w:tc>
        <w:tc>
          <w:tcPr>
            <w:tcW w:w="4503" w:type="pct"/>
            <w:vAlign w:val="center"/>
          </w:tcPr>
          <w:p w14:paraId="3B1961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 w:val="21"/>
                <w:szCs w:val="21"/>
                <w:highlight w:val="none"/>
              </w:rPr>
            </w:pPr>
            <w:r>
              <w:rPr>
                <w:rFonts w:hint="default"/>
                <w:color w:val="auto"/>
                <w:sz w:val="21"/>
                <w:szCs w:val="21"/>
                <w:highlight w:val="none"/>
              </w:rPr>
              <w:t>生产工作人员要熟练掌握操作技术和防火安全管理规定。</w:t>
            </w:r>
          </w:p>
        </w:tc>
      </w:tr>
    </w:tbl>
    <w:p w14:paraId="46394600">
      <w:pPr>
        <w:pStyle w:val="133"/>
        <w:rPr>
          <w:color w:val="auto"/>
          <w:highlight w:val="none"/>
        </w:rPr>
      </w:pPr>
      <w:r>
        <w:rPr>
          <w:color w:val="auto"/>
          <w:highlight w:val="none"/>
        </w:rPr>
        <w:t>（3）消防事故水处理</w:t>
      </w:r>
    </w:p>
    <w:p w14:paraId="0AB333A5">
      <w:pPr>
        <w:pStyle w:val="133"/>
        <w:rPr>
          <w:color w:val="auto"/>
          <w:highlight w:val="none"/>
        </w:rPr>
      </w:pPr>
      <w:r>
        <w:rPr>
          <w:rFonts w:hint="eastAsia"/>
          <w:color w:val="auto"/>
          <w:highlight w:val="none"/>
        </w:rPr>
        <w:t>本</w:t>
      </w:r>
      <w:r>
        <w:rPr>
          <w:rFonts w:hint="eastAsia"/>
          <w:color w:val="auto"/>
          <w:highlight w:val="none"/>
          <w:lang w:val="en-US" w:eastAsia="zh-CN"/>
        </w:rPr>
        <w:t>项目</w:t>
      </w:r>
      <w:r>
        <w:rPr>
          <w:rFonts w:hint="eastAsia"/>
          <w:color w:val="auto"/>
          <w:highlight w:val="none"/>
        </w:rPr>
        <w:t>设置</w:t>
      </w:r>
      <w:r>
        <w:rPr>
          <w:rFonts w:hint="eastAsia"/>
          <w:color w:val="auto"/>
          <w:highlight w:val="none"/>
          <w:lang w:val="en-US" w:eastAsia="zh-CN"/>
        </w:rPr>
        <w:t>1座</w:t>
      </w:r>
      <w:r>
        <w:rPr>
          <w:rFonts w:hint="eastAsia"/>
          <w:color w:val="auto"/>
          <w:highlight w:val="none"/>
        </w:rPr>
        <w:t>300m</w:t>
      </w:r>
      <w:r>
        <w:rPr>
          <w:rFonts w:hint="eastAsia"/>
          <w:color w:val="auto"/>
          <w:highlight w:val="none"/>
          <w:vertAlign w:val="superscript"/>
        </w:rPr>
        <w:t>3</w:t>
      </w:r>
      <w:r>
        <w:rPr>
          <w:rFonts w:hint="eastAsia"/>
          <w:color w:val="auto"/>
          <w:highlight w:val="none"/>
        </w:rPr>
        <w:t>钢筋混凝土集渗水池，用于收集雨水；</w:t>
      </w:r>
      <w:r>
        <w:rPr>
          <w:rFonts w:hint="eastAsia"/>
          <w:color w:val="auto"/>
          <w:highlight w:val="none"/>
          <w:lang w:val="en-US" w:eastAsia="zh-CN"/>
        </w:rPr>
        <w:t>同时建议在油车棚下游设置防渗事故池，在发生事故时可满足暂存事故水的需求</w:t>
      </w:r>
      <w:r>
        <w:rPr>
          <w:rFonts w:hint="eastAsia"/>
          <w:color w:val="auto"/>
          <w:highlight w:val="none"/>
        </w:rPr>
        <w:t>，防止含油污水污染周围土壤和地下水</w:t>
      </w:r>
      <w:r>
        <w:rPr>
          <w:color w:val="auto"/>
          <w:highlight w:val="none"/>
        </w:rPr>
        <w:t>。</w:t>
      </w:r>
    </w:p>
    <w:p w14:paraId="30751D18">
      <w:pPr>
        <w:pStyle w:val="133"/>
        <w:rPr>
          <w:color w:val="auto"/>
          <w:highlight w:val="none"/>
        </w:rPr>
      </w:pPr>
      <w:r>
        <w:rPr>
          <w:color w:val="auto"/>
          <w:highlight w:val="none"/>
        </w:rPr>
        <w:t>事故缓冲设施总有效容积参照</w:t>
      </w:r>
      <w:r>
        <w:rPr>
          <w:rFonts w:hint="eastAsia"/>
          <w:color w:val="auto"/>
          <w:highlight w:val="none"/>
        </w:rPr>
        <w:t>《事故状态下水体污染的预防和控制规范》（Q/SY08190-2019）</w:t>
      </w:r>
      <w:r>
        <w:rPr>
          <w:color w:val="auto"/>
          <w:highlight w:val="none"/>
        </w:rPr>
        <w:t>中的有关规定进行计算，公式如下：</w:t>
      </w:r>
    </w:p>
    <w:p w14:paraId="7515FA00">
      <w:pPr>
        <w:ind w:firstLine="480"/>
        <w:jc w:val="center"/>
        <w:rPr>
          <w:rFonts w:eastAsia="Cambria Math"/>
          <w:color w:val="auto"/>
          <w:highlight w:val="none"/>
          <w:vertAlign w:val="subscript"/>
        </w:rPr>
      </w:pPr>
      <w:r>
        <w:rPr>
          <w:rFonts w:ascii="Cambria Math" w:hAnsi="Cambria Math" w:eastAsia="Cambria Math" w:cs="Cambria Math"/>
          <w:color w:val="auto"/>
          <w:highlight w:val="none"/>
        </w:rPr>
        <w:t>𝑉</w:t>
      </w:r>
      <w:r>
        <w:rPr>
          <w:color w:val="auto"/>
          <w:highlight w:val="none"/>
          <w:vertAlign w:val="subscript"/>
        </w:rPr>
        <w:t>总</w:t>
      </w:r>
      <w:r>
        <w:rPr>
          <w:rFonts w:eastAsia="Cambria Math"/>
          <w:color w:val="auto"/>
          <w:highlight w:val="none"/>
        </w:rPr>
        <w:t>=</w:t>
      </w:r>
      <w:r>
        <w:rPr>
          <w:rFonts w:hint="eastAsia" w:ascii="宋体" w:hAnsi="宋体" w:cs="宋体"/>
          <w:color w:val="auto"/>
          <w:highlight w:val="none"/>
        </w:rPr>
        <w:t>（</w:t>
      </w:r>
      <w:r>
        <w:rPr>
          <w:rFonts w:ascii="Cambria Math" w:hAnsi="Cambria Math" w:eastAsia="Cambria Math" w:cs="Cambria Math"/>
          <w:color w:val="auto"/>
          <w:highlight w:val="none"/>
        </w:rPr>
        <w:t>𝑉</w:t>
      </w:r>
      <w:r>
        <w:rPr>
          <w:rFonts w:eastAsia="Cambria Math"/>
          <w:color w:val="auto"/>
          <w:highlight w:val="none"/>
          <w:vertAlign w:val="subscript"/>
        </w:rPr>
        <w:t>1</w:t>
      </w:r>
      <w:r>
        <w:rPr>
          <w:rFonts w:eastAsia="Cambria Math"/>
          <w:color w:val="auto"/>
          <w:highlight w:val="none"/>
        </w:rPr>
        <w:t>+</w:t>
      </w:r>
      <w:r>
        <w:rPr>
          <w:rFonts w:ascii="Cambria Math" w:hAnsi="Cambria Math" w:eastAsia="Cambria Math" w:cs="Cambria Math"/>
          <w:color w:val="auto"/>
          <w:highlight w:val="none"/>
        </w:rPr>
        <w:t>𝑉</w:t>
      </w:r>
      <w:r>
        <w:rPr>
          <w:rFonts w:eastAsia="Cambria Math"/>
          <w:color w:val="auto"/>
          <w:highlight w:val="none"/>
          <w:vertAlign w:val="subscript"/>
        </w:rPr>
        <w:t>2</w:t>
      </w:r>
      <w:r>
        <w:rPr>
          <w:rFonts w:eastAsia="Cambria Math"/>
          <w:color w:val="auto"/>
          <w:highlight w:val="none"/>
        </w:rPr>
        <w:t>−</w:t>
      </w:r>
      <w:r>
        <w:rPr>
          <w:rFonts w:ascii="Cambria Math" w:hAnsi="Cambria Math" w:eastAsia="Cambria Math" w:cs="Cambria Math"/>
          <w:color w:val="auto"/>
          <w:highlight w:val="none"/>
        </w:rPr>
        <w:t>𝑉</w:t>
      </w:r>
      <w:r>
        <w:rPr>
          <w:rFonts w:eastAsia="Cambria Math"/>
          <w:color w:val="auto"/>
          <w:highlight w:val="none"/>
          <w:vertAlign w:val="subscript"/>
        </w:rPr>
        <w:t>3</w:t>
      </w:r>
      <w:r>
        <w:rPr>
          <w:rFonts w:hint="eastAsia" w:ascii="宋体" w:hAnsi="宋体" w:cs="宋体"/>
          <w:color w:val="auto"/>
          <w:highlight w:val="none"/>
        </w:rPr>
        <w:t>）</w:t>
      </w:r>
      <w:r>
        <w:rPr>
          <w:rFonts w:ascii="Cambria Math" w:hAnsi="Cambria Math" w:eastAsia="Cambria Math" w:cs="Cambria Math"/>
          <w:color w:val="auto"/>
          <w:highlight w:val="none"/>
          <w:vertAlign w:val="subscript"/>
        </w:rPr>
        <w:t>𝑚𝑎𝑥</w:t>
      </w:r>
      <w:r>
        <w:rPr>
          <w:rFonts w:eastAsia="Cambria Math"/>
          <w:color w:val="auto"/>
          <w:highlight w:val="none"/>
        </w:rPr>
        <w:t>+</w:t>
      </w:r>
      <w:r>
        <w:rPr>
          <w:rFonts w:ascii="Cambria Math" w:hAnsi="Cambria Math" w:eastAsia="Cambria Math" w:cs="Cambria Math"/>
          <w:color w:val="auto"/>
          <w:highlight w:val="none"/>
        </w:rPr>
        <w:t>𝑉</w:t>
      </w:r>
      <w:r>
        <w:rPr>
          <w:rFonts w:eastAsia="Cambria Math"/>
          <w:color w:val="auto"/>
          <w:highlight w:val="none"/>
          <w:vertAlign w:val="subscript"/>
        </w:rPr>
        <w:t>4</w:t>
      </w:r>
      <w:r>
        <w:rPr>
          <w:rFonts w:eastAsia="Cambria Math"/>
          <w:color w:val="auto"/>
          <w:highlight w:val="none"/>
        </w:rPr>
        <w:t>+</w:t>
      </w:r>
      <w:r>
        <w:rPr>
          <w:rFonts w:ascii="Cambria Math" w:hAnsi="Cambria Math" w:eastAsia="Cambria Math" w:cs="Cambria Math"/>
          <w:color w:val="auto"/>
          <w:highlight w:val="none"/>
        </w:rPr>
        <w:t>𝑉</w:t>
      </w:r>
      <w:r>
        <w:rPr>
          <w:rFonts w:eastAsia="Cambria Math"/>
          <w:color w:val="auto"/>
          <w:highlight w:val="none"/>
          <w:vertAlign w:val="subscript"/>
        </w:rPr>
        <w:t>5</w:t>
      </w:r>
    </w:p>
    <w:p w14:paraId="4442517D">
      <w:pPr>
        <w:ind w:firstLine="480" w:firstLineChars="200"/>
        <w:rPr>
          <w:color w:val="auto"/>
          <w:highlight w:val="none"/>
        </w:rPr>
      </w:pPr>
      <w:r>
        <w:rPr>
          <w:color w:val="auto"/>
          <w:highlight w:val="none"/>
        </w:rPr>
        <w:t>式中：</w:t>
      </w:r>
    </w:p>
    <w:p w14:paraId="39502FE9">
      <w:pPr>
        <w:ind w:left="1838" w:leftChars="471" w:hanging="708" w:hangingChars="295"/>
        <w:rPr>
          <w:color w:val="auto"/>
          <w:highlight w:val="none"/>
        </w:rPr>
      </w:pPr>
      <w:r>
        <w:rPr>
          <w:rFonts w:hint="eastAsia" w:ascii="宋体" w:hAnsi="宋体" w:cs="宋体"/>
          <w:color w:val="auto"/>
          <w:highlight w:val="none"/>
        </w:rPr>
        <w:t>（</w:t>
      </w:r>
      <w:r>
        <w:rPr>
          <w:rFonts w:ascii="Cambria Math" w:hAnsi="Cambria Math" w:eastAsia="Cambria Math" w:cs="Cambria Math"/>
          <w:color w:val="auto"/>
          <w:highlight w:val="none"/>
        </w:rPr>
        <w:t>𝑉</w:t>
      </w:r>
      <w:r>
        <w:rPr>
          <w:rFonts w:eastAsia="Cambria Math"/>
          <w:color w:val="auto"/>
          <w:highlight w:val="none"/>
          <w:vertAlign w:val="subscript"/>
        </w:rPr>
        <w:t>1</w:t>
      </w:r>
      <w:r>
        <w:rPr>
          <w:rFonts w:eastAsia="Cambria Math"/>
          <w:color w:val="auto"/>
          <w:highlight w:val="none"/>
        </w:rPr>
        <w:t>+</w:t>
      </w:r>
      <w:r>
        <w:rPr>
          <w:rFonts w:ascii="Cambria Math" w:hAnsi="Cambria Math" w:eastAsia="Cambria Math" w:cs="Cambria Math"/>
          <w:color w:val="auto"/>
          <w:highlight w:val="none"/>
        </w:rPr>
        <w:t>𝑉</w:t>
      </w:r>
      <w:r>
        <w:rPr>
          <w:rFonts w:eastAsia="Cambria Math"/>
          <w:color w:val="auto"/>
          <w:highlight w:val="none"/>
          <w:vertAlign w:val="subscript"/>
        </w:rPr>
        <w:t>2</w:t>
      </w:r>
      <w:r>
        <w:rPr>
          <w:rFonts w:eastAsia="Cambria Math"/>
          <w:color w:val="auto"/>
          <w:highlight w:val="none"/>
        </w:rPr>
        <w:t>−</w:t>
      </w:r>
      <w:r>
        <w:rPr>
          <w:rFonts w:ascii="Cambria Math" w:hAnsi="Cambria Math" w:eastAsia="Cambria Math" w:cs="Cambria Math"/>
          <w:color w:val="auto"/>
          <w:highlight w:val="none"/>
        </w:rPr>
        <w:t>𝑉</w:t>
      </w:r>
      <w:r>
        <w:rPr>
          <w:rFonts w:eastAsia="Cambria Math"/>
          <w:color w:val="auto"/>
          <w:highlight w:val="none"/>
          <w:vertAlign w:val="subscript"/>
        </w:rPr>
        <w:t>3</w:t>
      </w:r>
      <w:r>
        <w:rPr>
          <w:rFonts w:hint="eastAsia" w:ascii="宋体" w:hAnsi="宋体" w:cs="宋体"/>
          <w:color w:val="auto"/>
          <w:highlight w:val="none"/>
        </w:rPr>
        <w:t>）</w:t>
      </w:r>
      <w:r>
        <w:rPr>
          <w:rFonts w:ascii="Cambria Math" w:hAnsi="Cambria Math" w:eastAsia="Cambria Math" w:cs="Cambria Math"/>
          <w:color w:val="auto"/>
          <w:highlight w:val="none"/>
          <w:vertAlign w:val="subscript"/>
        </w:rPr>
        <w:t>𝑚𝑎𝑥</w:t>
      </w:r>
      <w:r>
        <w:rPr>
          <w:rFonts w:eastAsia="Times New Roman"/>
          <w:color w:val="auto"/>
          <w:highlight w:val="none"/>
        </w:rPr>
        <w:t>——</w:t>
      </w:r>
      <w:r>
        <w:rPr>
          <w:color w:val="auto"/>
          <w:highlight w:val="none"/>
        </w:rPr>
        <w:t>收集系统范围内不同罐组或装置分别计算</w:t>
      </w:r>
      <w:r>
        <w:rPr>
          <w:rFonts w:ascii="Cambria Math" w:hAnsi="Cambria Math" w:eastAsia="Cambria Math" w:cs="Cambria Math"/>
          <w:color w:val="auto"/>
          <w:highlight w:val="none"/>
        </w:rPr>
        <w:t>𝑉</w:t>
      </w:r>
      <w:r>
        <w:rPr>
          <w:rFonts w:eastAsia="Cambria Math"/>
          <w:color w:val="auto"/>
          <w:highlight w:val="none"/>
          <w:vertAlign w:val="subscript"/>
        </w:rPr>
        <w:t>1</w:t>
      </w:r>
      <w:r>
        <w:rPr>
          <w:rFonts w:eastAsia="Cambria Math"/>
          <w:color w:val="auto"/>
          <w:highlight w:val="none"/>
        </w:rPr>
        <w:t>+</w:t>
      </w:r>
      <w:r>
        <w:rPr>
          <w:rFonts w:ascii="Cambria Math" w:hAnsi="Cambria Math" w:eastAsia="Cambria Math" w:cs="Cambria Math"/>
          <w:color w:val="auto"/>
          <w:highlight w:val="none"/>
        </w:rPr>
        <w:t>𝑉</w:t>
      </w:r>
      <w:r>
        <w:rPr>
          <w:rFonts w:eastAsia="Cambria Math"/>
          <w:color w:val="auto"/>
          <w:highlight w:val="none"/>
          <w:vertAlign w:val="subscript"/>
        </w:rPr>
        <w:t>2</w:t>
      </w:r>
      <w:r>
        <w:rPr>
          <w:rFonts w:eastAsia="Cambria Math"/>
          <w:color w:val="auto"/>
          <w:highlight w:val="none"/>
        </w:rPr>
        <w:t>−</w:t>
      </w:r>
      <w:r>
        <w:rPr>
          <w:rFonts w:ascii="Cambria Math" w:hAnsi="Cambria Math" w:eastAsia="Cambria Math" w:cs="Cambria Math"/>
          <w:color w:val="auto"/>
          <w:highlight w:val="none"/>
        </w:rPr>
        <w:t>𝑉</w:t>
      </w:r>
      <w:r>
        <w:rPr>
          <w:rFonts w:eastAsia="Cambria Math"/>
          <w:color w:val="auto"/>
          <w:highlight w:val="none"/>
          <w:vertAlign w:val="subscript"/>
        </w:rPr>
        <w:t>3</w:t>
      </w:r>
      <w:r>
        <w:rPr>
          <w:color w:val="auto"/>
          <w:highlight w:val="none"/>
        </w:rPr>
        <w:t>，取其中最大值；</w:t>
      </w:r>
    </w:p>
    <w:p w14:paraId="1D092CF8">
      <w:pPr>
        <w:ind w:left="1838" w:leftChars="471" w:hanging="708" w:hangingChars="295"/>
        <w:rPr>
          <w:rFonts w:hint="default" w:eastAsia="宋体"/>
          <w:color w:val="auto"/>
          <w:highlight w:val="none"/>
          <w:lang w:val="en-US" w:eastAsia="zh-CN"/>
        </w:rPr>
      </w:pPr>
      <w:r>
        <w:rPr>
          <w:rFonts w:ascii="Cambria Math" w:hAnsi="Cambria Math" w:eastAsia="Cambria Math" w:cs="Cambria Math"/>
          <w:color w:val="auto"/>
          <w:highlight w:val="none"/>
        </w:rPr>
        <w:t>𝑉</w:t>
      </w:r>
      <w:r>
        <w:rPr>
          <w:rFonts w:eastAsia="Cambria Math"/>
          <w:color w:val="auto"/>
          <w:highlight w:val="none"/>
          <w:vertAlign w:val="subscript"/>
        </w:rPr>
        <w:t>1</w:t>
      </w:r>
      <w:r>
        <w:rPr>
          <w:color w:val="auto"/>
          <w:highlight w:val="none"/>
        </w:rPr>
        <w:t>——收集系统范围内发生事故的一个罐组或一套装置的物料量。储存相同物料的罐组按一个最大储罐计，</w:t>
      </w:r>
      <w:r>
        <w:rPr>
          <w:rFonts w:hint="eastAsia"/>
          <w:color w:val="auto"/>
          <w:highlight w:val="none"/>
          <w:lang w:eastAsia="zh-CN"/>
        </w:rPr>
        <w:t>装载</w:t>
      </w:r>
      <w:r>
        <w:rPr>
          <w:color w:val="auto"/>
          <w:highlight w:val="none"/>
        </w:rPr>
        <w:t>物料量按存留最大物料量的一台反应器或中间储罐计，取单个油罐容积的</w:t>
      </w:r>
      <w:r>
        <w:rPr>
          <w:rFonts w:eastAsia="Times New Roman"/>
          <w:color w:val="auto"/>
          <w:highlight w:val="none"/>
        </w:rPr>
        <w:t>85%</w:t>
      </w:r>
      <w:r>
        <w:rPr>
          <w:color w:val="auto"/>
          <w:highlight w:val="none"/>
        </w:rPr>
        <w:t>作为有效容积。</w:t>
      </w:r>
      <w:r>
        <w:rPr>
          <w:rFonts w:hint="eastAsia"/>
          <w:color w:val="auto"/>
          <w:highlight w:val="none"/>
          <w:lang w:val="en-US" w:eastAsia="zh-CN"/>
        </w:rPr>
        <w:t>本项目油车棚内2辆罐式加油车容量分别为10m</w:t>
      </w:r>
      <w:r>
        <w:rPr>
          <w:rFonts w:hint="eastAsia"/>
          <w:color w:val="auto"/>
          <w:highlight w:val="none"/>
          <w:vertAlign w:val="superscript"/>
          <w:lang w:val="en-US" w:eastAsia="zh-CN"/>
        </w:rPr>
        <w:t>3</w:t>
      </w:r>
      <w:r>
        <w:rPr>
          <w:rFonts w:hint="eastAsia"/>
          <w:color w:val="auto"/>
          <w:highlight w:val="none"/>
          <w:lang w:val="en-US" w:eastAsia="zh-CN"/>
        </w:rPr>
        <w:t>、25m</w:t>
      </w:r>
      <w:r>
        <w:rPr>
          <w:rFonts w:hint="eastAsia"/>
          <w:color w:val="auto"/>
          <w:highlight w:val="none"/>
          <w:vertAlign w:val="superscript"/>
          <w:lang w:val="en-US" w:eastAsia="zh-CN"/>
        </w:rPr>
        <w:t>3</w:t>
      </w:r>
      <w:r>
        <w:rPr>
          <w:rFonts w:hint="eastAsia"/>
          <w:color w:val="auto"/>
          <w:highlight w:val="none"/>
          <w:lang w:val="en-US" w:eastAsia="zh-CN"/>
        </w:rPr>
        <w:t>，则最大储罐的有效容积按21.25</w:t>
      </w:r>
      <w:r>
        <w:rPr>
          <w:rFonts w:hint="eastAsia" w:ascii="Times New Roman" w:eastAsia="宋体"/>
          <w:color w:val="auto"/>
          <w:highlight w:val="none"/>
          <w:lang w:val="en-US" w:eastAsia="zh-CN"/>
        </w:rPr>
        <w:t>m</w:t>
      </w:r>
      <w:r>
        <w:rPr>
          <w:rFonts w:hint="eastAsia" w:ascii="Times New Roman" w:eastAsia="宋体"/>
          <w:color w:val="auto"/>
          <w:highlight w:val="none"/>
          <w:vertAlign w:val="superscript"/>
          <w:lang w:val="en-US" w:eastAsia="zh-CN"/>
        </w:rPr>
        <w:t>3</w:t>
      </w:r>
      <w:r>
        <w:rPr>
          <w:rFonts w:hint="eastAsia"/>
          <w:color w:val="auto"/>
          <w:highlight w:val="none"/>
          <w:lang w:val="en-US" w:eastAsia="zh-CN"/>
        </w:rPr>
        <w:t>计。</w:t>
      </w:r>
    </w:p>
    <w:p w14:paraId="21721D3D">
      <w:pPr>
        <w:ind w:left="1838" w:leftChars="471" w:hanging="708" w:hangingChars="295"/>
        <w:rPr>
          <w:color w:val="auto"/>
          <w:highlight w:val="none"/>
        </w:rPr>
      </w:pPr>
      <w:r>
        <w:rPr>
          <w:rFonts w:ascii="Cambria Math" w:hAnsi="Cambria Math" w:eastAsia="Cambria Math" w:cs="Cambria Math"/>
          <w:color w:val="auto"/>
          <w:highlight w:val="none"/>
        </w:rPr>
        <w:t>𝑉</w:t>
      </w:r>
      <w:r>
        <w:rPr>
          <w:rFonts w:eastAsia="Cambria Math"/>
          <w:color w:val="auto"/>
          <w:highlight w:val="none"/>
          <w:vertAlign w:val="subscript"/>
        </w:rPr>
        <w:t>2</w:t>
      </w:r>
      <w:r>
        <w:rPr>
          <w:rFonts w:eastAsia="Times New Roman"/>
          <w:color w:val="auto"/>
          <w:highlight w:val="none"/>
        </w:rPr>
        <w:t>——</w:t>
      </w:r>
      <w:r>
        <w:rPr>
          <w:color w:val="auto"/>
          <w:highlight w:val="none"/>
        </w:rPr>
        <w:t>发生事故的储罐或装置的消防水量，</w:t>
      </w:r>
      <w:r>
        <w:rPr>
          <w:rFonts w:eastAsia="Times New Roman"/>
          <w:color w:val="auto"/>
          <w:highlight w:val="none"/>
        </w:rPr>
        <w:t>m</w:t>
      </w:r>
      <w:r>
        <w:rPr>
          <w:rFonts w:eastAsia="Times New Roman"/>
          <w:color w:val="auto"/>
          <w:highlight w:val="none"/>
          <w:vertAlign w:val="superscript"/>
        </w:rPr>
        <w:t>3</w:t>
      </w:r>
      <w:r>
        <w:rPr>
          <w:color w:val="auto"/>
          <w:highlight w:val="none"/>
        </w:rPr>
        <w:t>；根据</w:t>
      </w:r>
      <w:r>
        <w:rPr>
          <w:rFonts w:hint="eastAsia"/>
          <w:color w:val="auto"/>
          <w:highlight w:val="none"/>
        </w:rPr>
        <w:t>资料</w:t>
      </w:r>
      <w:r>
        <w:rPr>
          <w:color w:val="auto"/>
          <w:highlight w:val="none"/>
        </w:rPr>
        <w:t>本项目消防水量约为</w:t>
      </w:r>
      <w:r>
        <w:rPr>
          <w:rFonts w:eastAsia="Times New Roman"/>
          <w:color w:val="auto"/>
          <w:highlight w:val="none"/>
        </w:rPr>
        <w:t>55m</w:t>
      </w:r>
      <w:r>
        <w:rPr>
          <w:rFonts w:eastAsia="Times New Roman"/>
          <w:color w:val="auto"/>
          <w:highlight w:val="none"/>
          <w:vertAlign w:val="superscript"/>
        </w:rPr>
        <w:t>3</w:t>
      </w:r>
      <w:r>
        <w:rPr>
          <w:color w:val="auto"/>
          <w:highlight w:val="none"/>
        </w:rPr>
        <w:t>；</w:t>
      </w:r>
    </w:p>
    <w:p w14:paraId="59D22549">
      <w:pPr>
        <w:ind w:left="1838" w:leftChars="471" w:hanging="708" w:hangingChars="295"/>
        <w:rPr>
          <w:color w:val="auto"/>
          <w:highlight w:val="none"/>
        </w:rPr>
      </w:pPr>
      <w:r>
        <w:rPr>
          <w:rFonts w:ascii="Cambria Math" w:hAnsi="Cambria Math" w:eastAsia="Cambria Math" w:cs="Cambria Math"/>
          <w:color w:val="auto"/>
          <w:highlight w:val="none"/>
        </w:rPr>
        <w:t>𝑉</w:t>
      </w:r>
      <w:r>
        <w:rPr>
          <w:rFonts w:eastAsia="Cambria Math"/>
          <w:color w:val="auto"/>
          <w:highlight w:val="none"/>
          <w:vertAlign w:val="subscript"/>
        </w:rPr>
        <w:t>3</w:t>
      </w:r>
      <w:r>
        <w:rPr>
          <w:rFonts w:eastAsia="Times New Roman"/>
          <w:color w:val="auto"/>
          <w:highlight w:val="none"/>
        </w:rPr>
        <w:t>——</w:t>
      </w:r>
      <w:r>
        <w:rPr>
          <w:color w:val="auto"/>
          <w:highlight w:val="none"/>
        </w:rPr>
        <w:t>发生事故时可以转输到其他储存或处理设施的物料量，</w:t>
      </w:r>
      <w:r>
        <w:rPr>
          <w:rFonts w:eastAsia="Times New Roman"/>
          <w:color w:val="auto"/>
          <w:highlight w:val="none"/>
        </w:rPr>
        <w:t>m</w:t>
      </w:r>
      <w:r>
        <w:rPr>
          <w:rFonts w:eastAsia="Times New Roman"/>
          <w:color w:val="auto"/>
          <w:highlight w:val="none"/>
          <w:vertAlign w:val="superscript"/>
        </w:rPr>
        <w:t>3</w:t>
      </w:r>
      <w:r>
        <w:rPr>
          <w:color w:val="auto"/>
          <w:highlight w:val="none"/>
        </w:rPr>
        <w:t>；</w:t>
      </w:r>
    </w:p>
    <w:p w14:paraId="059AE6CB">
      <w:pPr>
        <w:ind w:left="1838" w:leftChars="471" w:hanging="708" w:hangingChars="295"/>
        <w:rPr>
          <w:color w:val="auto"/>
          <w:highlight w:val="none"/>
        </w:rPr>
      </w:pPr>
      <w:r>
        <w:rPr>
          <w:rFonts w:ascii="Cambria Math" w:hAnsi="Cambria Math" w:eastAsia="Cambria Math" w:cs="Cambria Math"/>
          <w:color w:val="auto"/>
          <w:highlight w:val="none"/>
        </w:rPr>
        <w:t>𝑉</w:t>
      </w:r>
      <w:r>
        <w:rPr>
          <w:rFonts w:eastAsia="Cambria Math"/>
          <w:color w:val="auto"/>
          <w:highlight w:val="none"/>
          <w:vertAlign w:val="subscript"/>
        </w:rPr>
        <w:t>4</w:t>
      </w:r>
      <w:r>
        <w:rPr>
          <w:rFonts w:eastAsia="Times New Roman"/>
          <w:color w:val="auto"/>
          <w:highlight w:val="none"/>
        </w:rPr>
        <w:t>——</w:t>
      </w:r>
      <w:r>
        <w:rPr>
          <w:color w:val="auto"/>
          <w:highlight w:val="none"/>
        </w:rPr>
        <w:t>发生事故时仍必须进入该收集系统的生产废水量，</w:t>
      </w:r>
      <w:r>
        <w:rPr>
          <w:rFonts w:eastAsia="Times New Roman"/>
          <w:color w:val="auto"/>
          <w:highlight w:val="none"/>
        </w:rPr>
        <w:t>m</w:t>
      </w:r>
      <w:r>
        <w:rPr>
          <w:rFonts w:eastAsia="Times New Roman"/>
          <w:color w:val="auto"/>
          <w:highlight w:val="none"/>
          <w:vertAlign w:val="superscript"/>
        </w:rPr>
        <w:t>3</w:t>
      </w:r>
      <w:r>
        <w:rPr>
          <w:color w:val="auto"/>
          <w:highlight w:val="none"/>
        </w:rPr>
        <w:t>；</w:t>
      </w:r>
    </w:p>
    <w:p w14:paraId="29810034">
      <w:pPr>
        <w:ind w:left="1985" w:leftChars="472" w:hanging="852" w:hangingChars="355"/>
        <w:rPr>
          <w:color w:val="auto"/>
          <w:highlight w:val="none"/>
        </w:rPr>
      </w:pPr>
      <w:r>
        <w:rPr>
          <w:rFonts w:ascii="Cambria Math" w:hAnsi="Cambria Math" w:eastAsia="Cambria Math" w:cs="Cambria Math"/>
          <w:color w:val="auto"/>
          <w:highlight w:val="none"/>
        </w:rPr>
        <w:t>𝑉</w:t>
      </w:r>
      <w:r>
        <w:rPr>
          <w:rFonts w:eastAsia="Cambria Math"/>
          <w:color w:val="auto"/>
          <w:highlight w:val="none"/>
          <w:vertAlign w:val="subscript"/>
        </w:rPr>
        <w:t>5</w:t>
      </w:r>
      <w:r>
        <w:rPr>
          <w:rFonts w:eastAsia="Times New Roman"/>
          <w:color w:val="auto"/>
          <w:highlight w:val="none"/>
        </w:rPr>
        <w:t>——</w:t>
      </w:r>
      <w:r>
        <w:rPr>
          <w:color w:val="auto"/>
          <w:highlight w:val="none"/>
        </w:rPr>
        <w:t>发生事故时可能进入该收集系统的降雨量，</w:t>
      </w:r>
      <w:r>
        <w:rPr>
          <w:rFonts w:eastAsia="Times New Roman"/>
          <w:color w:val="auto"/>
          <w:highlight w:val="none"/>
        </w:rPr>
        <w:t>m</w:t>
      </w:r>
      <w:r>
        <w:rPr>
          <w:rFonts w:eastAsia="Times New Roman"/>
          <w:color w:val="auto"/>
          <w:highlight w:val="none"/>
          <w:vertAlign w:val="superscript"/>
        </w:rPr>
        <w:t>3</w:t>
      </w:r>
      <w:r>
        <w:rPr>
          <w:color w:val="auto"/>
          <w:highlight w:val="none"/>
        </w:rPr>
        <w:t>；</w:t>
      </w:r>
    </w:p>
    <w:p w14:paraId="55810952">
      <w:pPr>
        <w:pStyle w:val="683"/>
        <w:spacing w:before="0" w:after="0" w:line="240" w:lineRule="auto"/>
        <w:rPr>
          <w:rFonts w:ascii="黑体" w:hAnsi="黑体" w:eastAsia="黑体"/>
          <w:b w:val="0"/>
          <w:bCs/>
          <w:color w:val="auto"/>
          <w:sz w:val="21"/>
          <w:szCs w:val="16"/>
          <w:highlight w:val="none"/>
        </w:rPr>
      </w:pPr>
      <w:r>
        <w:rPr>
          <w:rFonts w:ascii="黑体" w:hAnsi="黑体" w:eastAsia="黑体"/>
          <w:b w:val="0"/>
          <w:bCs/>
          <w:color w:val="auto"/>
          <w:sz w:val="21"/>
          <w:szCs w:val="16"/>
          <w:highlight w:val="none"/>
        </w:rPr>
        <w:t>表5-8-12 项目事故消防水量储存核算</w:t>
      </w:r>
    </w:p>
    <w:tbl>
      <w:tblPr>
        <w:tblStyle w:val="5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6140"/>
        <w:gridCol w:w="1747"/>
      </w:tblGrid>
      <w:tr w14:paraId="54D6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998" w:type="pct"/>
            <w:gridSpan w:val="2"/>
            <w:vAlign w:val="center"/>
          </w:tcPr>
          <w:p w14:paraId="54C5DEE3">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项目类别</w:t>
            </w:r>
          </w:p>
        </w:tc>
        <w:tc>
          <w:tcPr>
            <w:tcW w:w="1002" w:type="pct"/>
            <w:vAlign w:val="center"/>
          </w:tcPr>
          <w:p w14:paraId="78C4EB31">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罐式加油车</w:t>
            </w:r>
            <w:r>
              <w:rPr>
                <w:rFonts w:hint="default" w:ascii="Times New Roman" w:hAnsi="Times New Roman" w:cs="Times New Roman" w:eastAsiaTheme="minorEastAsia"/>
                <w:color w:val="auto"/>
                <w:kern w:val="2"/>
                <w:sz w:val="21"/>
                <w:szCs w:val="21"/>
                <w:highlight w:val="none"/>
                <w:lang w:val="en-US" w:eastAsia="zh-CN" w:bidi="ar-SA"/>
              </w:rPr>
              <w:t>（m</w:t>
            </w:r>
            <w:r>
              <w:rPr>
                <w:rFonts w:hint="default" w:ascii="Times New Roman" w:hAnsi="Times New Roman" w:cs="Times New Roman" w:eastAsiaTheme="minorEastAsia"/>
                <w:color w:val="auto"/>
                <w:kern w:val="2"/>
                <w:sz w:val="21"/>
                <w:szCs w:val="21"/>
                <w:highlight w:val="none"/>
                <w:vertAlign w:val="superscript"/>
                <w:lang w:val="en-US" w:eastAsia="zh-CN" w:bidi="ar-SA"/>
              </w:rPr>
              <w:t>3</w:t>
            </w:r>
            <w:r>
              <w:rPr>
                <w:rFonts w:hint="default" w:ascii="Times New Roman" w:hAnsi="Times New Roman" w:cs="Times New Roman" w:eastAsiaTheme="minorEastAsia"/>
                <w:color w:val="auto"/>
                <w:kern w:val="2"/>
                <w:sz w:val="21"/>
                <w:szCs w:val="21"/>
                <w:highlight w:val="none"/>
                <w:lang w:val="en-US" w:eastAsia="zh-CN" w:bidi="ar-SA"/>
              </w:rPr>
              <w:t>）</w:t>
            </w:r>
          </w:p>
        </w:tc>
      </w:tr>
      <w:tr w14:paraId="0CC9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477" w:type="pct"/>
            <w:vAlign w:val="center"/>
          </w:tcPr>
          <w:p w14:paraId="5E552C88">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Cambria Math" w:hAnsi="Cambria Math" w:cs="Cambria Math" w:eastAsiaTheme="minorEastAsia"/>
                <w:color w:val="auto"/>
                <w:kern w:val="2"/>
                <w:sz w:val="21"/>
                <w:szCs w:val="21"/>
                <w:highlight w:val="none"/>
                <w:lang w:val="en-US" w:eastAsia="zh-CN" w:bidi="ar-SA"/>
              </w:rPr>
              <w:t>𝑉</w:t>
            </w:r>
            <w:r>
              <w:rPr>
                <w:rFonts w:hint="default" w:ascii="Times New Roman" w:hAnsi="Times New Roman" w:cs="Times New Roman" w:eastAsiaTheme="minorEastAsia"/>
                <w:color w:val="auto"/>
                <w:kern w:val="2"/>
                <w:sz w:val="21"/>
                <w:szCs w:val="21"/>
                <w:highlight w:val="none"/>
                <w:lang w:val="en-US" w:eastAsia="zh-CN" w:bidi="ar-SA"/>
              </w:rPr>
              <w:t>1</w:t>
            </w:r>
            <w:r>
              <w:rPr>
                <w:rFonts w:hint="default" w:ascii="Cambria Math" w:hAnsi="Cambria Math" w:cs="Cambria Math" w:eastAsiaTheme="minorEastAsia"/>
                <w:color w:val="auto"/>
                <w:kern w:val="2"/>
                <w:sz w:val="21"/>
                <w:szCs w:val="21"/>
                <w:highlight w:val="none"/>
                <w:lang w:val="en-US" w:eastAsia="zh-CN" w:bidi="ar-SA"/>
              </w:rPr>
              <w:t>𝑚𝑎𝑥</w:t>
            </w:r>
          </w:p>
        </w:tc>
        <w:tc>
          <w:tcPr>
            <w:tcW w:w="3521" w:type="pct"/>
            <w:vAlign w:val="center"/>
          </w:tcPr>
          <w:p w14:paraId="7A84A5A7">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收集系统范围内发生事故的一个罐组或一套装置的物料量；</w:t>
            </w:r>
          </w:p>
        </w:tc>
        <w:tc>
          <w:tcPr>
            <w:tcW w:w="1002" w:type="pct"/>
            <w:vAlign w:val="center"/>
          </w:tcPr>
          <w:p w14:paraId="0D2878A2">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21.25</w:t>
            </w:r>
          </w:p>
        </w:tc>
      </w:tr>
      <w:tr w14:paraId="452C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477" w:type="pct"/>
            <w:vAlign w:val="center"/>
          </w:tcPr>
          <w:p w14:paraId="6717B116">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Cambria Math" w:hAnsi="Cambria Math" w:cs="Cambria Math" w:eastAsiaTheme="minorEastAsia"/>
                <w:color w:val="auto"/>
                <w:kern w:val="2"/>
                <w:sz w:val="21"/>
                <w:szCs w:val="21"/>
                <w:highlight w:val="none"/>
                <w:lang w:val="en-US" w:eastAsia="zh-CN" w:bidi="ar-SA"/>
              </w:rPr>
              <w:t>𝑉</w:t>
            </w:r>
            <w:r>
              <w:rPr>
                <w:rFonts w:hint="default" w:ascii="Times New Roman" w:hAnsi="Times New Roman" w:cs="Times New Roman" w:eastAsiaTheme="minorEastAsia"/>
                <w:color w:val="auto"/>
                <w:kern w:val="2"/>
                <w:sz w:val="21"/>
                <w:szCs w:val="21"/>
                <w:highlight w:val="none"/>
                <w:lang w:val="en-US" w:eastAsia="zh-CN" w:bidi="ar-SA"/>
              </w:rPr>
              <w:t>2</w:t>
            </w:r>
            <w:r>
              <w:rPr>
                <w:rFonts w:hint="default" w:ascii="Cambria Math" w:hAnsi="Cambria Math" w:cs="Cambria Math" w:eastAsiaTheme="minorEastAsia"/>
                <w:color w:val="auto"/>
                <w:kern w:val="2"/>
                <w:sz w:val="21"/>
                <w:szCs w:val="21"/>
                <w:highlight w:val="none"/>
                <w:lang w:val="en-US" w:eastAsia="zh-CN" w:bidi="ar-SA"/>
              </w:rPr>
              <w:t>𝑚𝑎𝑥</w:t>
            </w:r>
          </w:p>
        </w:tc>
        <w:tc>
          <w:tcPr>
            <w:tcW w:w="3521" w:type="pct"/>
            <w:vAlign w:val="center"/>
          </w:tcPr>
          <w:p w14:paraId="79D6CDD4">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根据可研，发生事故的储罐或装置的消防水量；</w:t>
            </w:r>
          </w:p>
        </w:tc>
        <w:tc>
          <w:tcPr>
            <w:tcW w:w="1002" w:type="pct"/>
            <w:vAlign w:val="center"/>
          </w:tcPr>
          <w:p w14:paraId="4B147E5C">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5</w:t>
            </w:r>
            <w:r>
              <w:rPr>
                <w:rFonts w:hint="eastAsia" w:cs="Times New Roman" w:eastAsiaTheme="minorEastAsia"/>
                <w:color w:val="auto"/>
                <w:kern w:val="2"/>
                <w:sz w:val="21"/>
                <w:szCs w:val="21"/>
                <w:highlight w:val="none"/>
                <w:lang w:val="en-US" w:eastAsia="zh-CN" w:bidi="ar-SA"/>
              </w:rPr>
              <w:t>5</w:t>
            </w:r>
          </w:p>
        </w:tc>
      </w:tr>
      <w:tr w14:paraId="1FF9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477" w:type="pct"/>
            <w:vAlign w:val="center"/>
          </w:tcPr>
          <w:p w14:paraId="14C5AD60">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Cambria Math" w:hAnsi="Cambria Math" w:cs="Cambria Math" w:eastAsiaTheme="minorEastAsia"/>
                <w:color w:val="auto"/>
                <w:kern w:val="2"/>
                <w:sz w:val="21"/>
                <w:szCs w:val="21"/>
                <w:highlight w:val="none"/>
                <w:lang w:val="en-US" w:eastAsia="zh-CN" w:bidi="ar-SA"/>
              </w:rPr>
              <w:t>𝑉</w:t>
            </w:r>
            <w:r>
              <w:rPr>
                <w:rFonts w:hint="default" w:ascii="Times New Roman" w:hAnsi="Times New Roman" w:cs="Times New Roman" w:eastAsiaTheme="minorEastAsia"/>
                <w:color w:val="auto"/>
                <w:kern w:val="2"/>
                <w:sz w:val="21"/>
                <w:szCs w:val="21"/>
                <w:highlight w:val="none"/>
                <w:lang w:val="en-US" w:eastAsia="zh-CN" w:bidi="ar-SA"/>
              </w:rPr>
              <w:t>3</w:t>
            </w:r>
            <w:r>
              <w:rPr>
                <w:rFonts w:hint="default" w:ascii="Cambria Math" w:hAnsi="Cambria Math" w:cs="Cambria Math" w:eastAsiaTheme="minorEastAsia"/>
                <w:color w:val="auto"/>
                <w:kern w:val="2"/>
                <w:sz w:val="21"/>
                <w:szCs w:val="21"/>
                <w:highlight w:val="none"/>
                <w:lang w:val="en-US" w:eastAsia="zh-CN" w:bidi="ar-SA"/>
              </w:rPr>
              <w:t>𝑚𝑎𝑥</w:t>
            </w:r>
          </w:p>
        </w:tc>
        <w:tc>
          <w:tcPr>
            <w:tcW w:w="3521" w:type="pct"/>
            <w:vAlign w:val="center"/>
          </w:tcPr>
          <w:p w14:paraId="14F05671">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发生事故时可以转输到其他储存或处理设施的物料量，m</w:t>
            </w:r>
            <w:r>
              <w:rPr>
                <w:rFonts w:hint="default" w:ascii="Times New Roman" w:hAnsi="Times New Roman" w:cs="Times New Roman" w:eastAsiaTheme="minorEastAsia"/>
                <w:color w:val="auto"/>
                <w:kern w:val="2"/>
                <w:sz w:val="21"/>
                <w:szCs w:val="21"/>
                <w:highlight w:val="none"/>
                <w:vertAlign w:val="superscript"/>
                <w:lang w:val="en-US" w:eastAsia="zh-CN" w:bidi="ar-SA"/>
              </w:rPr>
              <w:t>3</w:t>
            </w:r>
            <w:r>
              <w:rPr>
                <w:rFonts w:hint="default" w:ascii="Times New Roman" w:hAnsi="Times New Roman" w:cs="Times New Roman" w:eastAsiaTheme="minorEastAsia"/>
                <w:color w:val="auto"/>
                <w:kern w:val="2"/>
                <w:sz w:val="21"/>
                <w:szCs w:val="21"/>
                <w:highlight w:val="none"/>
                <w:lang w:val="en-US" w:eastAsia="zh-CN" w:bidi="ar-SA"/>
              </w:rPr>
              <w:t>；</w:t>
            </w:r>
          </w:p>
        </w:tc>
        <w:tc>
          <w:tcPr>
            <w:tcW w:w="1002" w:type="pct"/>
            <w:vAlign w:val="center"/>
          </w:tcPr>
          <w:p w14:paraId="4B0F0E6D">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0</w:t>
            </w:r>
          </w:p>
        </w:tc>
      </w:tr>
      <w:tr w14:paraId="4017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477" w:type="pct"/>
            <w:vAlign w:val="center"/>
          </w:tcPr>
          <w:p w14:paraId="3799EE26">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Cambria Math" w:hAnsi="Cambria Math" w:cs="Cambria Math" w:eastAsiaTheme="minorEastAsia"/>
                <w:color w:val="auto"/>
                <w:kern w:val="2"/>
                <w:sz w:val="21"/>
                <w:szCs w:val="21"/>
                <w:highlight w:val="none"/>
                <w:lang w:val="en-US" w:eastAsia="zh-CN" w:bidi="ar-SA"/>
              </w:rPr>
              <w:t>𝑉</w:t>
            </w:r>
            <w:r>
              <w:rPr>
                <w:rFonts w:hint="default" w:ascii="Times New Roman" w:hAnsi="Times New Roman" w:cs="Times New Roman" w:eastAsiaTheme="minorEastAsia"/>
                <w:color w:val="auto"/>
                <w:kern w:val="2"/>
                <w:sz w:val="21"/>
                <w:szCs w:val="21"/>
                <w:highlight w:val="none"/>
                <w:vertAlign w:val="subscript"/>
                <w:lang w:val="en-US" w:eastAsia="zh-CN" w:bidi="ar-SA"/>
              </w:rPr>
              <w:t>4</w:t>
            </w:r>
          </w:p>
        </w:tc>
        <w:tc>
          <w:tcPr>
            <w:tcW w:w="3521" w:type="pct"/>
            <w:vAlign w:val="center"/>
          </w:tcPr>
          <w:p w14:paraId="3B550714">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发生事故时仍必须进入该收集系统的生产废水量，m</w:t>
            </w:r>
            <w:r>
              <w:rPr>
                <w:rFonts w:hint="default" w:ascii="Times New Roman" w:hAnsi="Times New Roman" w:cs="Times New Roman" w:eastAsiaTheme="minorEastAsia"/>
                <w:color w:val="auto"/>
                <w:kern w:val="2"/>
                <w:sz w:val="21"/>
                <w:szCs w:val="21"/>
                <w:highlight w:val="none"/>
                <w:vertAlign w:val="superscript"/>
                <w:lang w:val="en-US" w:eastAsia="zh-CN" w:bidi="ar-SA"/>
              </w:rPr>
              <w:t>3</w:t>
            </w:r>
            <w:r>
              <w:rPr>
                <w:rFonts w:hint="default" w:ascii="Times New Roman" w:hAnsi="Times New Roman" w:cs="Times New Roman" w:eastAsiaTheme="minorEastAsia"/>
                <w:color w:val="auto"/>
                <w:kern w:val="2"/>
                <w:sz w:val="21"/>
                <w:szCs w:val="21"/>
                <w:highlight w:val="none"/>
                <w:lang w:val="en-US" w:eastAsia="zh-CN" w:bidi="ar-SA"/>
              </w:rPr>
              <w:t>；</w:t>
            </w:r>
          </w:p>
        </w:tc>
        <w:tc>
          <w:tcPr>
            <w:tcW w:w="1002" w:type="pct"/>
            <w:vAlign w:val="center"/>
          </w:tcPr>
          <w:p w14:paraId="40A39238">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0</w:t>
            </w:r>
          </w:p>
        </w:tc>
      </w:tr>
      <w:tr w14:paraId="45A0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477" w:type="pct"/>
            <w:vAlign w:val="center"/>
          </w:tcPr>
          <w:p w14:paraId="3E92BF61">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Cambria Math" w:hAnsi="Cambria Math" w:cs="Cambria Math" w:eastAsiaTheme="minorEastAsia"/>
                <w:color w:val="auto"/>
                <w:kern w:val="2"/>
                <w:sz w:val="21"/>
                <w:szCs w:val="21"/>
                <w:highlight w:val="none"/>
                <w:lang w:val="en-US" w:eastAsia="zh-CN" w:bidi="ar-SA"/>
              </w:rPr>
              <w:t>𝑉</w:t>
            </w:r>
            <w:r>
              <w:rPr>
                <w:rFonts w:hint="default" w:ascii="Times New Roman" w:hAnsi="Times New Roman" w:cs="Times New Roman" w:eastAsiaTheme="minorEastAsia"/>
                <w:color w:val="auto"/>
                <w:kern w:val="2"/>
                <w:sz w:val="21"/>
                <w:szCs w:val="21"/>
                <w:highlight w:val="none"/>
                <w:vertAlign w:val="subscript"/>
                <w:lang w:val="en-US" w:eastAsia="zh-CN" w:bidi="ar-SA"/>
              </w:rPr>
              <w:t>5</w:t>
            </w:r>
          </w:p>
        </w:tc>
        <w:tc>
          <w:tcPr>
            <w:tcW w:w="3521" w:type="pct"/>
            <w:vAlign w:val="center"/>
          </w:tcPr>
          <w:p w14:paraId="2FEA3391">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发生事故时可能进入该收集系统的降雨量，m</w:t>
            </w:r>
            <w:r>
              <w:rPr>
                <w:rFonts w:hint="default" w:ascii="Times New Roman" w:hAnsi="Times New Roman" w:cs="Times New Roman" w:eastAsiaTheme="minorEastAsia"/>
                <w:color w:val="auto"/>
                <w:kern w:val="2"/>
                <w:sz w:val="21"/>
                <w:szCs w:val="21"/>
                <w:highlight w:val="none"/>
                <w:vertAlign w:val="superscript"/>
                <w:lang w:val="en-US" w:eastAsia="zh-CN" w:bidi="ar-SA"/>
              </w:rPr>
              <w:t>3</w:t>
            </w:r>
            <w:r>
              <w:rPr>
                <w:rFonts w:hint="default" w:ascii="Times New Roman" w:hAnsi="Times New Roman" w:cs="Times New Roman" w:eastAsiaTheme="minorEastAsia"/>
                <w:color w:val="auto"/>
                <w:kern w:val="2"/>
                <w:sz w:val="21"/>
                <w:szCs w:val="21"/>
                <w:highlight w:val="none"/>
                <w:lang w:val="en-US" w:eastAsia="zh-CN" w:bidi="ar-SA"/>
              </w:rPr>
              <w:t>；根据</w:t>
            </w:r>
            <w:r>
              <w:rPr>
                <w:rFonts w:hint="eastAsia" w:ascii="Times New Roman" w:hAnsi="Times New Roman" w:cs="Times New Roman" w:eastAsiaTheme="minorEastAsia"/>
                <w:color w:val="auto"/>
                <w:kern w:val="2"/>
                <w:sz w:val="21"/>
                <w:szCs w:val="21"/>
                <w:highlight w:val="none"/>
                <w:lang w:val="en-US" w:eastAsia="zh-CN" w:bidi="ar-SA"/>
              </w:rPr>
              <w:t>资料</w:t>
            </w:r>
            <w:r>
              <w:rPr>
                <w:rFonts w:hint="default" w:ascii="Times New Roman" w:hAnsi="Times New Roman" w:cs="Times New Roman" w:eastAsiaTheme="minorEastAsia"/>
                <w:color w:val="auto"/>
                <w:kern w:val="2"/>
                <w:sz w:val="21"/>
                <w:szCs w:val="21"/>
                <w:highlight w:val="none"/>
                <w:lang w:val="en-US" w:eastAsia="zh-CN" w:bidi="ar-SA"/>
              </w:rPr>
              <w:t>，</w:t>
            </w:r>
            <w:r>
              <w:rPr>
                <w:rFonts w:hint="eastAsia" w:cs="Times New Roman" w:eastAsiaTheme="minorEastAsia"/>
                <w:color w:val="auto"/>
                <w:kern w:val="2"/>
                <w:sz w:val="21"/>
                <w:szCs w:val="21"/>
                <w:highlight w:val="none"/>
                <w:lang w:val="en-US" w:eastAsia="zh-CN" w:bidi="ar-SA"/>
              </w:rPr>
              <w:t>油车棚</w:t>
            </w:r>
            <w:r>
              <w:rPr>
                <w:rFonts w:hint="default" w:ascii="Times New Roman" w:hAnsi="Times New Roman" w:cs="Times New Roman" w:eastAsiaTheme="minorEastAsia"/>
                <w:color w:val="auto"/>
                <w:kern w:val="2"/>
                <w:sz w:val="21"/>
                <w:szCs w:val="21"/>
                <w:highlight w:val="none"/>
                <w:lang w:val="en-US" w:eastAsia="zh-CN" w:bidi="ar-SA"/>
              </w:rPr>
              <w:t>面积112.5m</w:t>
            </w:r>
            <w:r>
              <w:rPr>
                <w:rFonts w:hint="default" w:ascii="Times New Roman" w:hAnsi="Times New Roman" w:cs="Times New Roman" w:eastAsiaTheme="minorEastAsia"/>
                <w:color w:val="auto"/>
                <w:kern w:val="2"/>
                <w:sz w:val="21"/>
                <w:szCs w:val="21"/>
                <w:highlight w:val="none"/>
                <w:vertAlign w:val="superscript"/>
                <w:lang w:val="en-US" w:eastAsia="zh-CN" w:bidi="ar-SA"/>
              </w:rPr>
              <w:t>2</w:t>
            </w:r>
            <w:r>
              <w:rPr>
                <w:rFonts w:hint="default" w:ascii="Times New Roman" w:hAnsi="Times New Roman" w:cs="Times New Roman" w:eastAsiaTheme="minorEastAsia"/>
                <w:color w:val="auto"/>
                <w:kern w:val="2"/>
                <w:sz w:val="21"/>
                <w:szCs w:val="21"/>
                <w:highlight w:val="none"/>
                <w:lang w:val="en-US" w:eastAsia="zh-CN" w:bidi="ar-SA"/>
              </w:rPr>
              <w:t>，精河县近20年日最大降水量为37.6mm，则油车棚最大可能的降雨量为4.23m</w:t>
            </w:r>
            <w:r>
              <w:rPr>
                <w:rFonts w:hint="default" w:ascii="Times New Roman" w:hAnsi="Times New Roman" w:cs="Times New Roman" w:eastAsiaTheme="minorEastAsia"/>
                <w:color w:val="auto"/>
                <w:kern w:val="2"/>
                <w:sz w:val="21"/>
                <w:szCs w:val="21"/>
                <w:highlight w:val="none"/>
                <w:vertAlign w:val="superscript"/>
                <w:lang w:val="en-US" w:eastAsia="zh-CN" w:bidi="ar-SA"/>
              </w:rPr>
              <w:t>3</w:t>
            </w:r>
            <w:r>
              <w:rPr>
                <w:rFonts w:hint="default" w:ascii="Times New Roman" w:hAnsi="Times New Roman" w:cs="Times New Roman" w:eastAsiaTheme="minorEastAsia"/>
                <w:color w:val="auto"/>
                <w:kern w:val="2"/>
                <w:sz w:val="21"/>
                <w:szCs w:val="21"/>
                <w:highlight w:val="none"/>
                <w:lang w:val="en-US" w:eastAsia="zh-CN" w:bidi="ar-SA"/>
              </w:rPr>
              <w:t>。</w:t>
            </w:r>
          </w:p>
        </w:tc>
        <w:tc>
          <w:tcPr>
            <w:tcW w:w="1002" w:type="pct"/>
            <w:vAlign w:val="center"/>
          </w:tcPr>
          <w:p w14:paraId="62226682">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6.2</w:t>
            </w:r>
          </w:p>
        </w:tc>
      </w:tr>
      <w:tr w14:paraId="36D1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477" w:type="pct"/>
            <w:vAlign w:val="center"/>
          </w:tcPr>
          <w:p w14:paraId="75F3EFD8">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Cambria Math" w:hAnsi="Cambria Math" w:cs="Cambria Math" w:eastAsiaTheme="minorEastAsia"/>
                <w:color w:val="auto"/>
                <w:kern w:val="2"/>
                <w:sz w:val="21"/>
                <w:szCs w:val="21"/>
                <w:highlight w:val="none"/>
                <w:lang w:val="en-US" w:eastAsia="zh-CN" w:bidi="ar-SA"/>
              </w:rPr>
              <w:t>𝑉</w:t>
            </w:r>
            <w:r>
              <w:rPr>
                <w:rFonts w:hint="default" w:ascii="Times New Roman" w:hAnsi="Times New Roman" w:cs="Times New Roman" w:eastAsiaTheme="minorEastAsia"/>
                <w:color w:val="auto"/>
                <w:kern w:val="2"/>
                <w:sz w:val="21"/>
                <w:szCs w:val="21"/>
                <w:highlight w:val="none"/>
                <w:vertAlign w:val="subscript"/>
                <w:lang w:val="en-US" w:eastAsia="zh-CN" w:bidi="ar-SA"/>
              </w:rPr>
              <w:t>总</w:t>
            </w:r>
          </w:p>
        </w:tc>
        <w:tc>
          <w:tcPr>
            <w:tcW w:w="3521" w:type="pct"/>
            <w:vAlign w:val="center"/>
          </w:tcPr>
          <w:p w14:paraId="3BBFE94D">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Cambria Math" w:hAnsi="Cambria Math" w:cs="Cambria Math" w:eastAsiaTheme="minorEastAsia"/>
                <w:color w:val="auto"/>
                <w:kern w:val="2"/>
                <w:sz w:val="21"/>
                <w:szCs w:val="21"/>
                <w:highlight w:val="none"/>
                <w:lang w:val="en-US" w:eastAsia="zh-CN" w:bidi="ar-SA"/>
              </w:rPr>
              <w:t>𝑉</w:t>
            </w:r>
            <w:r>
              <w:rPr>
                <w:rFonts w:hint="default" w:ascii="Times New Roman" w:hAnsi="Times New Roman" w:cs="Times New Roman" w:eastAsiaTheme="minorEastAsia"/>
                <w:color w:val="auto"/>
                <w:kern w:val="2"/>
                <w:sz w:val="21"/>
                <w:szCs w:val="21"/>
                <w:highlight w:val="none"/>
                <w:lang w:val="en-US" w:eastAsia="zh-CN" w:bidi="ar-SA"/>
              </w:rPr>
              <w:t>总=（</w:t>
            </w:r>
            <w:r>
              <w:rPr>
                <w:rFonts w:hint="default" w:ascii="Cambria Math" w:hAnsi="Cambria Math" w:cs="Cambria Math" w:eastAsiaTheme="minorEastAsia"/>
                <w:color w:val="auto"/>
                <w:kern w:val="2"/>
                <w:sz w:val="21"/>
                <w:szCs w:val="21"/>
                <w:highlight w:val="none"/>
                <w:lang w:val="en-US" w:eastAsia="zh-CN" w:bidi="ar-SA"/>
              </w:rPr>
              <w:t>𝑉</w:t>
            </w:r>
            <w:r>
              <w:rPr>
                <w:rFonts w:hint="default" w:ascii="Times New Roman" w:hAnsi="Times New Roman" w:cs="Times New Roman" w:eastAsiaTheme="minorEastAsia"/>
                <w:color w:val="auto"/>
                <w:kern w:val="2"/>
                <w:sz w:val="21"/>
                <w:szCs w:val="21"/>
                <w:highlight w:val="none"/>
                <w:lang w:val="en-US" w:eastAsia="zh-CN" w:bidi="ar-SA"/>
              </w:rPr>
              <w:t>1+</w:t>
            </w:r>
            <w:r>
              <w:rPr>
                <w:rFonts w:hint="default" w:ascii="Cambria Math" w:hAnsi="Cambria Math" w:cs="Cambria Math" w:eastAsiaTheme="minorEastAsia"/>
                <w:color w:val="auto"/>
                <w:kern w:val="2"/>
                <w:sz w:val="21"/>
                <w:szCs w:val="21"/>
                <w:highlight w:val="none"/>
                <w:lang w:val="en-US" w:eastAsia="zh-CN" w:bidi="ar-SA"/>
              </w:rPr>
              <w:t>𝑉</w:t>
            </w:r>
            <w:r>
              <w:rPr>
                <w:rFonts w:hint="default" w:ascii="Times New Roman" w:hAnsi="Times New Roman" w:cs="Times New Roman" w:eastAsiaTheme="minorEastAsia"/>
                <w:color w:val="auto"/>
                <w:kern w:val="2"/>
                <w:sz w:val="21"/>
                <w:szCs w:val="21"/>
                <w:highlight w:val="none"/>
                <w:lang w:val="en-US" w:eastAsia="zh-CN" w:bidi="ar-SA"/>
              </w:rPr>
              <w:t>2</w:t>
            </w:r>
            <w:r>
              <w:rPr>
                <w:rFonts w:hint="default" w:ascii="Times New Roman" w:hAnsi="Times New Roman" w:eastAsia="微软雅黑" w:cs="Times New Roman"/>
                <w:color w:val="auto"/>
                <w:kern w:val="2"/>
                <w:sz w:val="21"/>
                <w:szCs w:val="21"/>
                <w:highlight w:val="none"/>
                <w:lang w:val="en-US" w:eastAsia="zh-CN" w:bidi="ar-SA"/>
              </w:rPr>
              <w:t>−</w:t>
            </w:r>
            <w:r>
              <w:rPr>
                <w:rFonts w:hint="default" w:ascii="Cambria Math" w:hAnsi="Cambria Math" w:cs="Cambria Math" w:eastAsiaTheme="minorEastAsia"/>
                <w:color w:val="auto"/>
                <w:kern w:val="2"/>
                <w:sz w:val="21"/>
                <w:szCs w:val="21"/>
                <w:highlight w:val="none"/>
                <w:lang w:val="en-US" w:eastAsia="zh-CN" w:bidi="ar-SA"/>
              </w:rPr>
              <w:t>𝑉</w:t>
            </w:r>
            <w:r>
              <w:rPr>
                <w:rFonts w:hint="default" w:ascii="Times New Roman" w:hAnsi="Times New Roman" w:cs="Times New Roman" w:eastAsiaTheme="minorEastAsia"/>
                <w:color w:val="auto"/>
                <w:kern w:val="2"/>
                <w:sz w:val="21"/>
                <w:szCs w:val="21"/>
                <w:highlight w:val="none"/>
                <w:lang w:val="en-US" w:eastAsia="zh-CN" w:bidi="ar-SA"/>
              </w:rPr>
              <w:t>3）</w:t>
            </w:r>
            <w:r>
              <w:rPr>
                <w:rFonts w:hint="default" w:ascii="Cambria Math" w:hAnsi="Cambria Math" w:cs="Cambria Math" w:eastAsiaTheme="minorEastAsia"/>
                <w:color w:val="auto"/>
                <w:kern w:val="2"/>
                <w:sz w:val="21"/>
                <w:szCs w:val="21"/>
                <w:highlight w:val="none"/>
                <w:lang w:val="en-US" w:eastAsia="zh-CN" w:bidi="ar-SA"/>
              </w:rPr>
              <w:t>𝑚𝑎𝑥</w:t>
            </w:r>
            <w:r>
              <w:rPr>
                <w:rFonts w:hint="default" w:ascii="Times New Roman" w:hAnsi="Times New Roman" w:cs="Times New Roman" w:eastAsiaTheme="minorEastAsia"/>
                <w:color w:val="auto"/>
                <w:kern w:val="2"/>
                <w:sz w:val="21"/>
                <w:szCs w:val="21"/>
                <w:highlight w:val="none"/>
                <w:lang w:val="en-US" w:eastAsia="zh-CN" w:bidi="ar-SA"/>
              </w:rPr>
              <w:t>+</w:t>
            </w:r>
            <w:r>
              <w:rPr>
                <w:rFonts w:hint="default" w:ascii="Cambria Math" w:hAnsi="Cambria Math" w:cs="Cambria Math" w:eastAsiaTheme="minorEastAsia"/>
                <w:color w:val="auto"/>
                <w:kern w:val="2"/>
                <w:sz w:val="21"/>
                <w:szCs w:val="21"/>
                <w:highlight w:val="none"/>
                <w:lang w:val="en-US" w:eastAsia="zh-CN" w:bidi="ar-SA"/>
              </w:rPr>
              <w:t>𝑉</w:t>
            </w:r>
            <w:r>
              <w:rPr>
                <w:rFonts w:hint="default" w:ascii="Times New Roman" w:hAnsi="Times New Roman" w:cs="Times New Roman" w:eastAsiaTheme="minorEastAsia"/>
                <w:color w:val="auto"/>
                <w:kern w:val="2"/>
                <w:sz w:val="21"/>
                <w:szCs w:val="21"/>
                <w:highlight w:val="none"/>
                <w:lang w:val="en-US" w:eastAsia="zh-CN" w:bidi="ar-SA"/>
              </w:rPr>
              <w:t>4+</w:t>
            </w:r>
            <w:r>
              <w:rPr>
                <w:rFonts w:hint="default" w:ascii="Cambria Math" w:hAnsi="Cambria Math" w:cs="Cambria Math" w:eastAsiaTheme="minorEastAsia"/>
                <w:color w:val="auto"/>
                <w:kern w:val="2"/>
                <w:sz w:val="21"/>
                <w:szCs w:val="21"/>
                <w:highlight w:val="none"/>
                <w:lang w:val="en-US" w:eastAsia="zh-CN" w:bidi="ar-SA"/>
              </w:rPr>
              <w:t>𝑉</w:t>
            </w:r>
            <w:r>
              <w:rPr>
                <w:rFonts w:hint="default" w:ascii="Times New Roman" w:hAnsi="Times New Roman" w:cs="Times New Roman" w:eastAsiaTheme="minorEastAsia"/>
                <w:color w:val="auto"/>
                <w:kern w:val="2"/>
                <w:sz w:val="21"/>
                <w:szCs w:val="21"/>
                <w:highlight w:val="none"/>
                <w:lang w:val="en-US" w:eastAsia="zh-CN" w:bidi="ar-SA"/>
              </w:rPr>
              <w:t>5</w:t>
            </w:r>
          </w:p>
        </w:tc>
        <w:tc>
          <w:tcPr>
            <w:tcW w:w="1002" w:type="pct"/>
            <w:vAlign w:val="center"/>
          </w:tcPr>
          <w:p w14:paraId="4A2A5289">
            <w:pPr>
              <w:keepNext w:val="0"/>
              <w:keepLines w:val="0"/>
              <w:widowControl w:val="0"/>
              <w:suppressLineNumbers w:val="0"/>
              <w:adjustRightInd w:val="0"/>
              <w:snapToGrid w:val="0"/>
              <w:spacing w:before="0" w:beforeAutospacing="0" w:after="0" w:afterAutospacing="0" w:line="280" w:lineRule="exact"/>
              <w:ind w:left="-28" w:right="-28" w:firstLine="0"/>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82.45</w:t>
            </w:r>
            <w:r>
              <w:rPr>
                <w:rFonts w:hint="default" w:ascii="Times New Roman" w:hAnsi="Times New Roman" w:cs="Times New Roman" w:eastAsiaTheme="minorEastAsia"/>
                <w:color w:val="auto"/>
                <w:kern w:val="2"/>
                <w:sz w:val="21"/>
                <w:szCs w:val="21"/>
                <w:highlight w:val="none"/>
                <w:lang w:val="en-US" w:eastAsia="zh-CN" w:bidi="ar-SA"/>
              </w:rPr>
              <w:fldChar w:fldCharType="begin"/>
            </w:r>
            <w:r>
              <w:rPr>
                <w:rFonts w:hint="default" w:ascii="Times New Roman" w:hAnsi="Times New Roman" w:cs="Times New Roman" w:eastAsiaTheme="minorEastAsia"/>
                <w:color w:val="auto"/>
                <w:kern w:val="2"/>
                <w:sz w:val="21"/>
                <w:szCs w:val="21"/>
                <w:highlight w:val="none"/>
                <w:lang w:val="en-US" w:eastAsia="zh-CN" w:bidi="ar-SA"/>
              </w:rPr>
              <w:instrText xml:space="preserve"> =SUM(ABOVE) </w:instrText>
            </w:r>
            <w:r>
              <w:rPr>
                <w:rFonts w:hint="default" w:ascii="Times New Roman" w:hAnsi="Times New Roman" w:cs="Times New Roman" w:eastAsiaTheme="minorEastAsia"/>
                <w:color w:val="auto"/>
                <w:kern w:val="2"/>
                <w:sz w:val="21"/>
                <w:szCs w:val="21"/>
                <w:highlight w:val="none"/>
                <w:lang w:val="en-US" w:eastAsia="zh-CN" w:bidi="ar-SA"/>
              </w:rPr>
              <w:fldChar w:fldCharType="end"/>
            </w:r>
          </w:p>
        </w:tc>
      </w:tr>
    </w:tbl>
    <w:p w14:paraId="6B96FD17">
      <w:pPr>
        <w:ind w:firstLine="480" w:firstLineChars="200"/>
        <w:rPr>
          <w:color w:val="auto"/>
          <w:highlight w:val="none"/>
        </w:rPr>
      </w:pPr>
      <w:r>
        <w:rPr>
          <w:color w:val="auto"/>
          <w:highlight w:val="none"/>
        </w:rPr>
        <w:t>通过上述分析，</w:t>
      </w:r>
      <w:r>
        <w:rPr>
          <w:rFonts w:hint="eastAsia"/>
          <w:color w:val="auto"/>
          <w:highlight w:val="none"/>
          <w:lang w:val="en-US" w:eastAsia="zh-CN"/>
        </w:rPr>
        <w:t>油车棚</w:t>
      </w:r>
      <w:r>
        <w:rPr>
          <w:color w:val="auto"/>
          <w:highlight w:val="none"/>
        </w:rPr>
        <w:t>事故污水量核算结果为</w:t>
      </w:r>
      <w:r>
        <w:rPr>
          <w:rFonts w:eastAsia="Times New Roman"/>
          <w:color w:val="auto"/>
          <w:highlight w:val="none"/>
        </w:rPr>
        <w:t>V</w:t>
      </w:r>
      <w:r>
        <w:rPr>
          <w:color w:val="auto"/>
          <w:sz w:val="18"/>
          <w:highlight w:val="none"/>
          <w:vertAlign w:val="subscript"/>
        </w:rPr>
        <w:t>总</w:t>
      </w:r>
      <w:r>
        <w:rPr>
          <w:rFonts w:eastAsia="Times New Roman"/>
          <w:color w:val="auto"/>
          <w:highlight w:val="none"/>
        </w:rPr>
        <w:t>=</w:t>
      </w:r>
      <w:r>
        <w:rPr>
          <w:rFonts w:hint="eastAsia" w:eastAsia="宋体"/>
          <w:color w:val="auto"/>
          <w:highlight w:val="none"/>
          <w:lang w:eastAsia="zh-CN"/>
        </w:rPr>
        <w:t>82.45</w:t>
      </w:r>
      <w:r>
        <w:rPr>
          <w:rFonts w:eastAsia="Times New Roman"/>
          <w:color w:val="auto"/>
          <w:highlight w:val="none"/>
        </w:rPr>
        <w:t>m</w:t>
      </w:r>
      <w:r>
        <w:rPr>
          <w:rFonts w:eastAsia="Times New Roman"/>
          <w:color w:val="auto"/>
          <w:highlight w:val="none"/>
          <w:vertAlign w:val="superscript"/>
        </w:rPr>
        <w:t>3</w:t>
      </w:r>
      <w:r>
        <w:rPr>
          <w:color w:val="auto"/>
          <w:highlight w:val="none"/>
        </w:rPr>
        <w:t>。</w:t>
      </w:r>
    </w:p>
    <w:p w14:paraId="646B04A6">
      <w:pPr>
        <w:ind w:firstLine="480" w:firstLineChars="200"/>
        <w:rPr>
          <w:color w:val="auto"/>
          <w:highlight w:val="none"/>
        </w:rPr>
      </w:pPr>
      <w:r>
        <w:rPr>
          <w:rFonts w:hint="eastAsia"/>
          <w:color w:val="auto"/>
          <w:highlight w:val="none"/>
        </w:rPr>
        <w:t>因此，本环评建议</w:t>
      </w:r>
      <w:r>
        <w:rPr>
          <w:rFonts w:hint="eastAsia"/>
          <w:color w:val="auto"/>
          <w:highlight w:val="none"/>
          <w:lang w:val="en-US" w:eastAsia="zh-CN"/>
        </w:rPr>
        <w:t>在油车棚下游</w:t>
      </w:r>
      <w:r>
        <w:rPr>
          <w:rFonts w:hint="eastAsia"/>
          <w:color w:val="auto"/>
          <w:highlight w:val="none"/>
        </w:rPr>
        <w:t>设置不小于</w:t>
      </w:r>
      <w:r>
        <w:rPr>
          <w:rFonts w:hint="eastAsia"/>
          <w:color w:val="auto"/>
          <w:highlight w:val="none"/>
          <w:lang w:eastAsia="zh-CN"/>
        </w:rPr>
        <w:t>82.45</w:t>
      </w:r>
      <w:r>
        <w:rPr>
          <w:rFonts w:hint="eastAsia"/>
          <w:color w:val="auto"/>
          <w:highlight w:val="none"/>
        </w:rPr>
        <w:t>m</w:t>
      </w:r>
      <w:r>
        <w:rPr>
          <w:rFonts w:hint="eastAsia"/>
          <w:color w:val="auto"/>
          <w:highlight w:val="none"/>
          <w:vertAlign w:val="superscript"/>
        </w:rPr>
        <w:t>3</w:t>
      </w:r>
      <w:r>
        <w:rPr>
          <w:rFonts w:hint="eastAsia"/>
          <w:color w:val="auto"/>
          <w:highlight w:val="none"/>
        </w:rPr>
        <w:t>的防渗事故池，在发生事故时可满足暂存事故水的需求，防止</w:t>
      </w:r>
      <w:r>
        <w:rPr>
          <w:rFonts w:hint="eastAsia"/>
          <w:color w:val="auto"/>
          <w:highlight w:val="none"/>
          <w:lang w:val="en-US" w:eastAsia="zh-CN"/>
        </w:rPr>
        <w:t>含油污水</w:t>
      </w:r>
      <w:r>
        <w:rPr>
          <w:rFonts w:hint="eastAsia"/>
          <w:color w:val="auto"/>
          <w:highlight w:val="none"/>
        </w:rPr>
        <w:t>污染周围土壤和地下水。此外，还应铺设消防水池连接污水管道，安装切换阀。当发生火灾爆炸事故时，关闭雨水管出口，使被污染的消防水经厂区污水管道进入场内污水处理设施。</w:t>
      </w:r>
    </w:p>
    <w:p w14:paraId="6562F10E">
      <w:pPr>
        <w:ind w:firstLine="480" w:firstLineChars="200"/>
        <w:rPr>
          <w:color w:val="auto"/>
          <w:highlight w:val="none"/>
        </w:rPr>
      </w:pPr>
      <w:r>
        <w:rPr>
          <w:rFonts w:hint="eastAsia"/>
          <w:color w:val="auto"/>
          <w:highlight w:val="none"/>
        </w:rPr>
        <w:t>为避免事故工况下泄漏物料外排对外环境造成恶劣影响，针对项目污染物来源及其特性，以实现达标排放和满足应急处置为原则，建立污染源头、处理过程和最终排放的“三级防控”机制，具体包括：</w:t>
      </w:r>
    </w:p>
    <w:p w14:paraId="2F7F3F24">
      <w:pPr>
        <w:ind w:firstLine="480" w:firstLineChars="200"/>
        <w:rPr>
          <w:color w:val="auto"/>
          <w:highlight w:val="none"/>
        </w:rPr>
      </w:pPr>
      <w:r>
        <w:rPr>
          <w:rFonts w:hint="eastAsia"/>
          <w:color w:val="auto"/>
          <w:highlight w:val="none"/>
        </w:rPr>
        <w:t>第一级防控措施是设置油罐组防渗层，构筑生产过程中环境安全的第一层防控网，将泄漏物料切换到处理系统，防止污染雨水和轻微事故泄漏造成的环境污染；</w:t>
      </w:r>
    </w:p>
    <w:p w14:paraId="223B3C87">
      <w:pPr>
        <w:ind w:firstLine="480" w:firstLineChars="200"/>
        <w:rPr>
          <w:color w:val="auto"/>
          <w:highlight w:val="none"/>
        </w:rPr>
      </w:pPr>
      <w:r>
        <w:rPr>
          <w:rFonts w:hint="eastAsia"/>
          <w:color w:val="auto"/>
          <w:highlight w:val="none"/>
        </w:rPr>
        <w:t>第二级防控措施是在</w:t>
      </w:r>
      <w:r>
        <w:rPr>
          <w:rFonts w:hint="eastAsia"/>
          <w:color w:val="auto"/>
          <w:highlight w:val="none"/>
          <w:lang w:val="en-US" w:eastAsia="zh-CN"/>
        </w:rPr>
        <w:t>油车棚</w:t>
      </w:r>
      <w:r>
        <w:rPr>
          <w:rFonts w:hint="eastAsia"/>
          <w:color w:val="auto"/>
          <w:highlight w:val="none"/>
        </w:rPr>
        <w:t>设置事故池，切断污染物与外部的通道、导入污水处理系统，将污染控制在厂内，防止重大事故泄漏物料和污染消防水造成的环境污染；</w:t>
      </w:r>
    </w:p>
    <w:p w14:paraId="3F4C2FCF">
      <w:pPr>
        <w:ind w:firstLine="480" w:firstLineChars="200"/>
        <w:rPr>
          <w:color w:val="auto"/>
          <w:highlight w:val="none"/>
        </w:rPr>
      </w:pPr>
      <w:r>
        <w:rPr>
          <w:rFonts w:hint="eastAsia"/>
          <w:color w:val="auto"/>
          <w:highlight w:val="none"/>
        </w:rPr>
        <w:t>第三级防控措施是消防水池连接厂区污水管道，使被污染的消防水经厂区污水管道进入场内污水处理设施。将污染物控制在</w:t>
      </w:r>
      <w:r>
        <w:rPr>
          <w:rFonts w:hint="eastAsia"/>
          <w:color w:val="auto"/>
          <w:highlight w:val="none"/>
          <w:lang w:eastAsia="zh-CN"/>
        </w:rPr>
        <w:t>区域</w:t>
      </w:r>
      <w:r>
        <w:rPr>
          <w:rFonts w:hint="eastAsia"/>
          <w:color w:val="auto"/>
          <w:highlight w:val="none"/>
        </w:rPr>
        <w:t>内，防止重大事故泄漏物料和污染消防水造成的环境污染</w:t>
      </w:r>
      <w:r>
        <w:rPr>
          <w:color w:val="auto"/>
          <w:highlight w:val="none"/>
        </w:rPr>
        <w:t>。</w:t>
      </w:r>
    </w:p>
    <w:p w14:paraId="1B4106F0">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应急防护疏散措施</w:t>
      </w:r>
    </w:p>
    <w:p w14:paraId="2FF36369">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color w:val="auto"/>
          <w:highlight w:val="none"/>
        </w:rPr>
      </w:pPr>
      <w:r>
        <w:rPr>
          <w:color w:val="auto"/>
          <w:highlight w:val="none"/>
        </w:rPr>
        <w:t>根据火灾事故的影响预测结果，评价针对影响区域的居民制定相应的应急预案。</w:t>
      </w:r>
    </w:p>
    <w:p w14:paraId="6D01131D">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right="0" w:firstLine="480"/>
        <w:textAlignment w:val="auto"/>
        <w:rPr>
          <w:color w:val="auto"/>
          <w:highlight w:val="none"/>
        </w:rPr>
      </w:pPr>
      <w:r>
        <w:rPr>
          <w:color w:val="auto"/>
          <w:highlight w:val="none"/>
        </w:rPr>
        <w:t>除机场设置应急指挥小组外，管委会也应设置应急指挥小组，负责现场应急疏散组织指挥工作。</w:t>
      </w:r>
    </w:p>
    <w:p w14:paraId="2E8F60BA">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right="0" w:firstLine="480"/>
        <w:textAlignment w:val="auto"/>
        <w:rPr>
          <w:color w:val="auto"/>
          <w:highlight w:val="none"/>
        </w:rPr>
      </w:pPr>
      <w:r>
        <w:rPr>
          <w:color w:val="auto"/>
          <w:highlight w:val="none"/>
        </w:rPr>
        <w:t>发生事故时，机场应急小组根据事故现场事态情况，及时疏散航站楼旅客及现场非应急人员；同时立即与管委会应急小组联系，报告事故发生的时间、地点和简要情况，并随时报告事故的后续情况。</w:t>
      </w:r>
    </w:p>
    <w:p w14:paraId="63A2EFDC">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right="0" w:firstLine="480"/>
        <w:textAlignment w:val="auto"/>
        <w:rPr>
          <w:color w:val="auto"/>
          <w:highlight w:val="none"/>
        </w:rPr>
      </w:pPr>
      <w:r>
        <w:rPr>
          <w:color w:val="auto"/>
          <w:highlight w:val="none"/>
        </w:rPr>
        <w:t>应急小组接到通知后，及时将现场情况进行广播通知，确保能够在必要条件下能够将应急人员集中起来，组织撤离；同时迅速组织人员对周边地区和道路进行警戒、控制，保障撤离工作正常开展，组织人员有序疏散。</w:t>
      </w:r>
    </w:p>
    <w:p w14:paraId="545B19D6">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right="0" w:firstLine="480"/>
        <w:textAlignment w:val="auto"/>
        <w:rPr>
          <w:color w:val="auto"/>
          <w:highlight w:val="none"/>
        </w:rPr>
      </w:pPr>
      <w:r>
        <w:rPr>
          <w:color w:val="auto"/>
          <w:highlight w:val="none"/>
        </w:rPr>
        <w:t>根据</w:t>
      </w:r>
      <w:r>
        <w:rPr>
          <w:rFonts w:hint="eastAsia"/>
          <w:color w:val="auto"/>
          <w:highlight w:val="none"/>
          <w:lang w:val="en-US" w:eastAsia="zh-CN"/>
        </w:rPr>
        <w:t>油车棚</w:t>
      </w:r>
      <w:r>
        <w:rPr>
          <w:color w:val="auto"/>
          <w:highlight w:val="none"/>
        </w:rPr>
        <w:t>周围地势、沟渠等情况张贴应急疏散图，标明人员所在位置及疏散方向；在疏散通道必要位置，设置事故应急照明灯，并保持使用有效；疏散指示标志应用箭头或文字表示，并在黑暗中发出醒目光亮，便于识别。</w:t>
      </w:r>
    </w:p>
    <w:p w14:paraId="2274AB3D">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right="0" w:firstLine="480"/>
        <w:textAlignment w:val="auto"/>
        <w:rPr>
          <w:color w:val="auto"/>
          <w:highlight w:val="none"/>
        </w:rPr>
      </w:pPr>
      <w:r>
        <w:rPr>
          <w:color w:val="auto"/>
          <w:highlight w:val="none"/>
        </w:rPr>
        <w:t>应急疏散时疏散方向应与即时风向保持垂直，避免疏散人员在地势低洼处、沟渠处聚集；严禁在疏散通道上堆放杂物，保证其畅通无阻；疏导人员用最快的速度通知现场无关人员按疏散的方向和通道进行疏散。</w:t>
      </w:r>
    </w:p>
    <w:p w14:paraId="473C6B76">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right="0" w:firstLine="480"/>
        <w:textAlignment w:val="auto"/>
        <w:rPr>
          <w:color w:val="auto"/>
          <w:highlight w:val="none"/>
        </w:rPr>
      </w:pPr>
      <w:r>
        <w:rPr>
          <w:color w:val="auto"/>
          <w:highlight w:val="none"/>
        </w:rPr>
        <w:t>事故现场有受到威胁被困人员时，疏导人员应劝导受到威胁被困人员服从领导听从指挥，做到有组织、有秩序地进行疏散；根据</w:t>
      </w:r>
      <w:r>
        <w:rPr>
          <w:rFonts w:hint="eastAsia"/>
          <w:color w:val="auto"/>
          <w:highlight w:val="none"/>
          <w:lang w:eastAsia="zh-CN"/>
        </w:rPr>
        <w:t>对</w:t>
      </w:r>
      <w:r>
        <w:rPr>
          <w:color w:val="auto"/>
          <w:highlight w:val="none"/>
        </w:rPr>
        <w:t>一般防护对象内人群的健康情况，有选择（老弱病残）的进行优先撤离；在撤离过程中，应及时指导和组织群众采取各种措施进行自身防护，必要时准备湿毛巾遮住口鼻。</w:t>
      </w:r>
    </w:p>
    <w:p w14:paraId="64EA9DF9">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right="0" w:firstLine="480"/>
        <w:textAlignment w:val="auto"/>
        <w:rPr>
          <w:color w:val="auto"/>
          <w:highlight w:val="none"/>
        </w:rPr>
      </w:pPr>
      <w:r>
        <w:rPr>
          <w:color w:val="auto"/>
          <w:highlight w:val="none"/>
        </w:rPr>
        <w:t>疏导人员到指定地点后，要用镇定的语气呼喊，劝说人们消除恐惧心理、稳定情绪，使大家能够积极配合，按指定路线有条不紊地进行疏散；如果事故现场，直接威胁人员安全，工作人员采取必要的手段强制疏导，防止出现伤亡事故；对疏散出的人员，要加强脱险后的管理，防止脱险人员对财产和未撤离危险区的亲人生命担心而重新返回事故现场，必要时，在进入危险区域的关键部位配备警戒人员。</w:t>
      </w:r>
    </w:p>
    <w:p w14:paraId="2060B6C2">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right="0" w:firstLine="480"/>
        <w:textAlignment w:val="auto"/>
        <w:rPr>
          <w:color w:val="auto"/>
          <w:highlight w:val="none"/>
        </w:rPr>
      </w:pPr>
      <w:r>
        <w:rPr>
          <w:color w:val="auto"/>
          <w:highlight w:val="none"/>
        </w:rPr>
        <w:t>机场应急小组应及时向受到危害的区域派出救护人员和救护车等，对已经遭受侵袭而不能撤离的人员实施救护，并立刻运送到附近救护站（或临时救护站）救护；必要</w:t>
      </w:r>
      <w:r>
        <w:rPr>
          <w:rFonts w:hint="eastAsia"/>
          <w:color w:val="auto"/>
          <w:highlight w:val="none"/>
          <w:lang w:eastAsia="zh-CN"/>
        </w:rPr>
        <w:t>时</w:t>
      </w:r>
      <w:r>
        <w:rPr>
          <w:color w:val="auto"/>
          <w:highlight w:val="none"/>
        </w:rPr>
        <w:t>可以向当地及外界力量求援。</w:t>
      </w:r>
    </w:p>
    <w:p w14:paraId="64ABC627">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right="0" w:firstLine="480"/>
        <w:textAlignment w:val="auto"/>
        <w:rPr>
          <w:color w:val="auto"/>
          <w:highlight w:val="none"/>
        </w:rPr>
      </w:pPr>
      <w:r>
        <w:rPr>
          <w:color w:val="auto"/>
          <w:highlight w:val="none"/>
        </w:rPr>
        <w:t>事故后，将事故现场所损坏物件、伤亡人员全部清理完毕，现场拍照调查结束后，经相关部门对事故周围影响评估后，由应急指挥小组</w:t>
      </w:r>
      <w:r>
        <w:rPr>
          <w:rFonts w:hint="eastAsia"/>
          <w:color w:val="auto"/>
          <w:highlight w:val="none"/>
          <w:lang w:eastAsia="zh-CN"/>
        </w:rPr>
        <w:t>作出决定</w:t>
      </w:r>
      <w:r>
        <w:rPr>
          <w:color w:val="auto"/>
          <w:highlight w:val="none"/>
        </w:rPr>
        <w:t>，撤出各种应急救援组织，终止救援行动。</w:t>
      </w:r>
    </w:p>
    <w:p w14:paraId="452456D0">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应急预案</w:t>
      </w:r>
    </w:p>
    <w:p w14:paraId="40CBDD3D">
      <w:pPr>
        <w:ind w:firstLine="480" w:firstLineChars="200"/>
        <w:rPr>
          <w:color w:val="auto"/>
          <w:highlight w:val="none"/>
        </w:rPr>
      </w:pPr>
      <w:r>
        <w:rPr>
          <w:color w:val="auto"/>
          <w:highlight w:val="none"/>
        </w:rPr>
        <w:t>风险应急预案主要是为了针对重大风险事故发生时所设定的紧急补救措施，避免更大的人员伤亡和财产损失，在突发的风险事故中，能够迅速准确地处理事故和控制事态发展，把损失降到最低限度。</w:t>
      </w:r>
    </w:p>
    <w:p w14:paraId="76E1184D">
      <w:pPr>
        <w:ind w:firstLine="480" w:firstLineChars="200"/>
        <w:rPr>
          <w:color w:val="auto"/>
          <w:highlight w:val="none"/>
        </w:rPr>
      </w:pPr>
      <w:r>
        <w:rPr>
          <w:color w:val="auto"/>
          <w:highlight w:val="none"/>
        </w:rPr>
        <w:t>根据有关法律法规，坚持“预防为主”的指导思想兼有“统一指挥、行之有理、行之有效、行之为速、将损失降到最低”的原则，编制本项目风险事故应急预案。</w:t>
      </w:r>
    </w:p>
    <w:p w14:paraId="5B94969C">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预案组成</w:t>
      </w:r>
    </w:p>
    <w:p w14:paraId="443D07A0">
      <w:pPr>
        <w:ind w:right="8"/>
        <w:rPr>
          <w:color w:val="auto"/>
          <w:highlight w:val="none"/>
        </w:rPr>
      </w:pPr>
      <w:r>
        <w:rPr>
          <w:color w:val="auto"/>
          <w:highlight w:val="none"/>
        </w:rPr>
        <w:t>（1）执行机构设置及职责</w:t>
      </w:r>
    </w:p>
    <w:p w14:paraId="1FAD8078">
      <w:pPr>
        <w:ind w:firstLine="480" w:firstLineChars="200"/>
        <w:rPr>
          <w:color w:val="auto"/>
          <w:highlight w:val="none"/>
        </w:rPr>
      </w:pPr>
      <w:r>
        <w:rPr>
          <w:color w:val="auto"/>
          <w:highlight w:val="none"/>
        </w:rPr>
        <w:t>本项目拟设应急预案指挥小组，其机构设置及职责见表</w:t>
      </w:r>
      <w:r>
        <w:rPr>
          <w:rFonts w:eastAsia="Times New Roman"/>
          <w:color w:val="auto"/>
          <w:highlight w:val="none"/>
        </w:rPr>
        <w:t>5-8-13</w:t>
      </w:r>
      <w:r>
        <w:rPr>
          <w:color w:val="auto"/>
          <w:highlight w:val="none"/>
        </w:rPr>
        <w:t>。</w:t>
      </w:r>
    </w:p>
    <w:p w14:paraId="09DD5289">
      <w:pPr>
        <w:pStyle w:val="683"/>
        <w:spacing w:before="0" w:after="0" w:line="240" w:lineRule="auto"/>
        <w:rPr>
          <w:color w:val="auto"/>
          <w:sz w:val="21"/>
          <w:szCs w:val="21"/>
          <w:highlight w:val="none"/>
        </w:rPr>
      </w:pPr>
      <w:r>
        <w:rPr>
          <w:rFonts w:ascii="黑体" w:hAnsi="黑体" w:eastAsia="黑体"/>
          <w:b w:val="0"/>
          <w:bCs/>
          <w:color w:val="auto"/>
          <w:sz w:val="21"/>
          <w:szCs w:val="16"/>
          <w:highlight w:val="none"/>
        </w:rPr>
        <w:t>表5-8-13 组员的分工职责</w:t>
      </w:r>
    </w:p>
    <w:tbl>
      <w:tblPr>
        <w:tblStyle w:val="40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7099"/>
      </w:tblGrid>
      <w:tr w14:paraId="0745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9" w:type="pct"/>
            <w:vAlign w:val="center"/>
          </w:tcPr>
          <w:p w14:paraId="71464A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default"/>
                <w:color w:val="auto"/>
                <w:sz w:val="21"/>
                <w:szCs w:val="21"/>
                <w:highlight w:val="none"/>
                <w:lang w:val="en-US" w:eastAsia="zh-CN"/>
              </w:rPr>
              <w:t>机构设置</w:t>
            </w:r>
          </w:p>
        </w:tc>
        <w:tc>
          <w:tcPr>
            <w:tcW w:w="4071" w:type="pct"/>
            <w:vAlign w:val="center"/>
          </w:tcPr>
          <w:p w14:paraId="2A8995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default"/>
                <w:color w:val="auto"/>
                <w:sz w:val="21"/>
                <w:szCs w:val="21"/>
                <w:highlight w:val="none"/>
                <w:lang w:val="en-US" w:eastAsia="zh-CN"/>
              </w:rPr>
              <w:t>职责</w:t>
            </w:r>
          </w:p>
        </w:tc>
      </w:tr>
      <w:tr w14:paraId="512F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9" w:type="pct"/>
            <w:vAlign w:val="center"/>
          </w:tcPr>
          <w:p w14:paraId="3A0DE2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default"/>
                <w:color w:val="auto"/>
                <w:sz w:val="21"/>
                <w:szCs w:val="21"/>
                <w:highlight w:val="none"/>
                <w:lang w:val="en-US" w:eastAsia="zh-CN"/>
              </w:rPr>
              <w:t>指挥小组组长</w:t>
            </w:r>
          </w:p>
        </w:tc>
        <w:tc>
          <w:tcPr>
            <w:tcW w:w="4071" w:type="pct"/>
            <w:vAlign w:val="center"/>
          </w:tcPr>
          <w:p w14:paraId="614159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default"/>
                <w:color w:val="auto"/>
                <w:sz w:val="21"/>
                <w:szCs w:val="21"/>
                <w:highlight w:val="none"/>
                <w:lang w:val="en-US" w:eastAsia="zh-CN"/>
              </w:rPr>
              <w:t>宣布应急预案的启动和终止，授权临时应急指挥部开展救援工作。</w:t>
            </w:r>
          </w:p>
        </w:tc>
      </w:tr>
      <w:tr w14:paraId="5528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9" w:type="pct"/>
            <w:vAlign w:val="center"/>
          </w:tcPr>
          <w:p w14:paraId="1819BF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default"/>
                <w:color w:val="auto"/>
                <w:sz w:val="21"/>
                <w:szCs w:val="21"/>
                <w:highlight w:val="none"/>
                <w:lang w:val="en-US" w:eastAsia="zh-CN"/>
              </w:rPr>
              <w:t>副组长</w:t>
            </w:r>
          </w:p>
        </w:tc>
        <w:tc>
          <w:tcPr>
            <w:tcW w:w="4071" w:type="pct"/>
            <w:vAlign w:val="center"/>
          </w:tcPr>
          <w:p w14:paraId="2C9237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default"/>
                <w:color w:val="auto"/>
                <w:sz w:val="21"/>
                <w:szCs w:val="21"/>
                <w:highlight w:val="none"/>
                <w:lang w:val="en-US" w:eastAsia="zh-CN"/>
              </w:rPr>
              <w:t>制定、修订应急预案，并组织开展定期学习，处于决策层领导组织，协调救援组长开展各项应急预案工作。</w:t>
            </w:r>
          </w:p>
        </w:tc>
      </w:tr>
      <w:tr w14:paraId="6910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9" w:type="pct"/>
            <w:vMerge w:val="restart"/>
            <w:vAlign w:val="center"/>
          </w:tcPr>
          <w:p w14:paraId="5F5215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default"/>
                <w:color w:val="auto"/>
                <w:sz w:val="21"/>
                <w:szCs w:val="21"/>
                <w:highlight w:val="none"/>
                <w:lang w:val="en-US" w:eastAsia="zh-CN"/>
              </w:rPr>
              <w:t>组员</w:t>
            </w:r>
          </w:p>
        </w:tc>
        <w:tc>
          <w:tcPr>
            <w:tcW w:w="4071" w:type="pct"/>
            <w:vAlign w:val="center"/>
          </w:tcPr>
          <w:p w14:paraId="01652D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default"/>
                <w:color w:val="auto"/>
                <w:sz w:val="21"/>
                <w:szCs w:val="21"/>
                <w:highlight w:val="none"/>
                <w:lang w:val="en-US" w:eastAsia="zh-CN"/>
              </w:rPr>
              <w:t>负责生产技术部门的事故报警，并及时查找事故原因，做出正确的处理判断，上报领导层，并做好事故处理工作。</w:t>
            </w:r>
          </w:p>
        </w:tc>
      </w:tr>
      <w:tr w14:paraId="18DD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9" w:type="pct"/>
            <w:vMerge w:val="continue"/>
            <w:vAlign w:val="center"/>
          </w:tcPr>
          <w:p w14:paraId="0E2542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p>
        </w:tc>
        <w:tc>
          <w:tcPr>
            <w:tcW w:w="4071" w:type="pct"/>
            <w:vAlign w:val="center"/>
          </w:tcPr>
          <w:p w14:paraId="54CE6B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default"/>
                <w:color w:val="auto"/>
                <w:sz w:val="21"/>
                <w:szCs w:val="21"/>
                <w:highlight w:val="none"/>
                <w:lang w:val="en-US" w:eastAsia="zh-CN"/>
              </w:rPr>
              <w:t>控制事故现场，向上级部门汇报事故情况，积极投入应急救援行动。</w:t>
            </w:r>
          </w:p>
        </w:tc>
      </w:tr>
      <w:tr w14:paraId="558B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9" w:type="pct"/>
            <w:vMerge w:val="continue"/>
            <w:vAlign w:val="center"/>
          </w:tcPr>
          <w:p w14:paraId="70514C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p>
        </w:tc>
        <w:tc>
          <w:tcPr>
            <w:tcW w:w="4071" w:type="pct"/>
            <w:vAlign w:val="center"/>
          </w:tcPr>
          <w:p w14:paraId="2A6344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default"/>
                <w:color w:val="auto"/>
                <w:sz w:val="21"/>
                <w:szCs w:val="21"/>
                <w:highlight w:val="none"/>
                <w:lang w:val="en-US" w:eastAsia="zh-CN"/>
              </w:rPr>
              <w:t>严格控制人员出入，对事故现场加以控制，快速疏散人群，并将其安全安置以及现场的保卫工作。</w:t>
            </w:r>
          </w:p>
        </w:tc>
      </w:tr>
      <w:tr w14:paraId="5A57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9" w:type="pct"/>
            <w:vMerge w:val="continue"/>
            <w:vAlign w:val="center"/>
          </w:tcPr>
          <w:p w14:paraId="31F8C5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p>
        </w:tc>
        <w:tc>
          <w:tcPr>
            <w:tcW w:w="4071" w:type="pct"/>
            <w:vAlign w:val="center"/>
          </w:tcPr>
          <w:p w14:paraId="59C8A6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default"/>
                <w:color w:val="auto"/>
                <w:sz w:val="21"/>
                <w:szCs w:val="21"/>
                <w:highlight w:val="none"/>
                <w:lang w:val="en-US" w:eastAsia="zh-CN"/>
              </w:rPr>
              <w:t>快速投入现场的救援工作，并指导特殊现场的救援人员的保护工作。</w:t>
            </w:r>
          </w:p>
        </w:tc>
      </w:tr>
      <w:tr w14:paraId="29A7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9" w:type="pct"/>
            <w:vMerge w:val="continue"/>
            <w:vAlign w:val="center"/>
          </w:tcPr>
          <w:p w14:paraId="5DF327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p>
        </w:tc>
        <w:tc>
          <w:tcPr>
            <w:tcW w:w="4071" w:type="pct"/>
            <w:vAlign w:val="center"/>
          </w:tcPr>
          <w:p w14:paraId="18A489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default"/>
                <w:color w:val="auto"/>
                <w:sz w:val="21"/>
                <w:szCs w:val="21"/>
                <w:highlight w:val="none"/>
                <w:lang w:val="en-US" w:eastAsia="zh-CN"/>
              </w:rPr>
              <w:t>对物资的补救，并给予应急救援工作物力、财力的支持，保障生产必需品的供给和救援行动的需要。</w:t>
            </w:r>
          </w:p>
        </w:tc>
      </w:tr>
      <w:tr w14:paraId="4798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9" w:type="pct"/>
            <w:vMerge w:val="continue"/>
            <w:vAlign w:val="center"/>
          </w:tcPr>
          <w:p w14:paraId="0F2828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p>
        </w:tc>
        <w:tc>
          <w:tcPr>
            <w:tcW w:w="4071" w:type="pct"/>
            <w:vAlign w:val="center"/>
          </w:tcPr>
          <w:p w14:paraId="240B2C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default"/>
                <w:color w:val="auto"/>
                <w:sz w:val="21"/>
                <w:szCs w:val="21"/>
                <w:highlight w:val="none"/>
                <w:lang w:val="en-US" w:eastAsia="zh-CN"/>
              </w:rPr>
              <w:t>依据指挥投入救援，快速</w:t>
            </w:r>
            <w:r>
              <w:rPr>
                <w:rFonts w:hint="eastAsia"/>
                <w:color w:val="auto"/>
                <w:sz w:val="21"/>
                <w:szCs w:val="21"/>
                <w:highlight w:val="none"/>
                <w:lang w:val="en-US" w:eastAsia="zh-CN"/>
              </w:rPr>
              <w:t>灭火</w:t>
            </w:r>
            <w:r>
              <w:rPr>
                <w:rFonts w:hint="default"/>
                <w:color w:val="auto"/>
                <w:sz w:val="21"/>
                <w:szCs w:val="21"/>
                <w:highlight w:val="none"/>
                <w:lang w:val="en-US" w:eastAsia="zh-CN"/>
              </w:rPr>
              <w:t>并对危险设施加以保护和控制；事故区的紧急救援；针对不同事故提出应对的防范措施。</w:t>
            </w:r>
          </w:p>
        </w:tc>
      </w:tr>
    </w:tbl>
    <w:p w14:paraId="122CE6F2">
      <w:pPr>
        <w:pStyle w:val="133"/>
        <w:rPr>
          <w:color w:val="auto"/>
          <w:highlight w:val="none"/>
        </w:rPr>
      </w:pPr>
      <w:r>
        <w:rPr>
          <w:color w:val="auto"/>
          <w:highlight w:val="none"/>
        </w:rPr>
        <w:t>（2）预案内容组成</w:t>
      </w:r>
    </w:p>
    <w:p w14:paraId="0E2BAE7C">
      <w:pPr>
        <w:pStyle w:val="133"/>
        <w:ind w:firstLine="480" w:firstLineChars="200"/>
        <w:rPr>
          <w:color w:val="auto"/>
          <w:highlight w:val="none"/>
        </w:rPr>
      </w:pPr>
      <w:r>
        <w:rPr>
          <w:color w:val="auto"/>
          <w:highlight w:val="none"/>
        </w:rPr>
        <w:t>预案内容组成见表</w:t>
      </w:r>
      <w:r>
        <w:rPr>
          <w:rFonts w:eastAsia="Times New Roman"/>
          <w:color w:val="auto"/>
          <w:highlight w:val="none"/>
        </w:rPr>
        <w:t>5-8-14</w:t>
      </w:r>
      <w:r>
        <w:rPr>
          <w:color w:val="auto"/>
          <w:highlight w:val="none"/>
        </w:rPr>
        <w:t>。</w:t>
      </w:r>
    </w:p>
    <w:p w14:paraId="390D3102">
      <w:pPr>
        <w:pStyle w:val="683"/>
        <w:spacing w:before="0" w:after="0" w:line="240" w:lineRule="auto"/>
        <w:rPr>
          <w:rFonts w:ascii="黑体" w:hAnsi="黑体" w:eastAsia="黑体"/>
          <w:b w:val="0"/>
          <w:bCs/>
          <w:color w:val="auto"/>
          <w:highlight w:val="none"/>
        </w:rPr>
      </w:pPr>
      <w:r>
        <w:rPr>
          <w:rFonts w:ascii="黑体" w:hAnsi="黑体" w:eastAsia="黑体"/>
          <w:b w:val="0"/>
          <w:bCs/>
          <w:color w:val="auto"/>
          <w:sz w:val="21"/>
          <w:szCs w:val="16"/>
          <w:highlight w:val="none"/>
        </w:rPr>
        <w:t>表5-8-14 预案内容组成</w:t>
      </w:r>
    </w:p>
    <w:tbl>
      <w:tblPr>
        <w:tblStyle w:val="40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7223"/>
      </w:tblGrid>
      <w:tr w14:paraId="1902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8" w:type="pct"/>
            <w:vAlign w:val="center"/>
          </w:tcPr>
          <w:p w14:paraId="1E2CF6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eastAsia"/>
                <w:color w:val="auto"/>
                <w:sz w:val="21"/>
                <w:szCs w:val="21"/>
                <w:highlight w:val="none"/>
                <w:lang w:val="en-US" w:eastAsia="zh-CN"/>
              </w:rPr>
              <w:t>油类物质</w:t>
            </w:r>
            <w:r>
              <w:rPr>
                <w:rFonts w:hint="default"/>
                <w:color w:val="auto"/>
                <w:sz w:val="21"/>
                <w:szCs w:val="21"/>
                <w:highlight w:val="none"/>
                <w:lang w:val="en-US" w:eastAsia="zh-CN"/>
              </w:rPr>
              <w:t>泄漏事故</w:t>
            </w:r>
          </w:p>
        </w:tc>
        <w:tc>
          <w:tcPr>
            <w:tcW w:w="4142" w:type="pct"/>
            <w:vAlign w:val="center"/>
          </w:tcPr>
          <w:p w14:paraId="46BFCB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eastAsia"/>
                <w:color w:val="auto"/>
                <w:sz w:val="21"/>
                <w:szCs w:val="21"/>
                <w:highlight w:val="none"/>
                <w:lang w:val="en-US" w:eastAsia="zh-CN"/>
              </w:rPr>
              <w:t>①</w:t>
            </w:r>
            <w:r>
              <w:rPr>
                <w:rFonts w:hint="default"/>
                <w:color w:val="auto"/>
                <w:sz w:val="21"/>
                <w:szCs w:val="21"/>
                <w:highlight w:val="none"/>
                <w:lang w:val="en-US" w:eastAsia="zh-CN"/>
              </w:rPr>
              <w:t>事故类型主要是罐体泄漏，对事故可能带来的直接影响进行估算；</w:t>
            </w:r>
          </w:p>
          <w:p w14:paraId="6FC814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eastAsia"/>
                <w:color w:val="auto"/>
                <w:sz w:val="21"/>
                <w:szCs w:val="21"/>
                <w:highlight w:val="none"/>
                <w:lang w:val="en-US" w:eastAsia="zh-CN"/>
              </w:rPr>
              <w:t>②</w:t>
            </w:r>
            <w:r>
              <w:rPr>
                <w:rFonts w:hint="default"/>
                <w:color w:val="auto"/>
                <w:sz w:val="21"/>
                <w:szCs w:val="21"/>
                <w:highlight w:val="none"/>
                <w:lang w:val="en-US" w:eastAsia="zh-CN"/>
              </w:rPr>
              <w:t>预案应对各职能部门的分工进行细化，明确事故发生时各部门的配合工作；</w:t>
            </w:r>
          </w:p>
          <w:p w14:paraId="41F33F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eastAsia"/>
                <w:color w:val="auto"/>
                <w:sz w:val="21"/>
                <w:szCs w:val="21"/>
                <w:highlight w:val="none"/>
                <w:lang w:val="en-US" w:eastAsia="zh-CN"/>
              </w:rPr>
              <w:t>③</w:t>
            </w:r>
            <w:r>
              <w:rPr>
                <w:rFonts w:hint="default"/>
                <w:color w:val="auto"/>
                <w:sz w:val="21"/>
                <w:szCs w:val="21"/>
                <w:highlight w:val="none"/>
                <w:lang w:val="en-US" w:eastAsia="zh-CN"/>
              </w:rPr>
              <w:t>预案应对事故进行等级明确；</w:t>
            </w:r>
          </w:p>
          <w:p w14:paraId="58D48D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eastAsia"/>
                <w:color w:val="auto"/>
                <w:sz w:val="21"/>
                <w:szCs w:val="21"/>
                <w:highlight w:val="none"/>
                <w:lang w:val="en-US" w:eastAsia="zh-CN"/>
              </w:rPr>
              <w:t>④</w:t>
            </w:r>
            <w:r>
              <w:rPr>
                <w:rFonts w:hint="default"/>
                <w:color w:val="auto"/>
                <w:sz w:val="21"/>
                <w:szCs w:val="21"/>
                <w:highlight w:val="none"/>
                <w:lang w:val="en-US" w:eastAsia="zh-CN"/>
              </w:rPr>
              <w:t>明确泄漏物料的处理方式；</w:t>
            </w:r>
          </w:p>
          <w:p w14:paraId="23628B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eastAsia"/>
                <w:color w:val="auto"/>
                <w:sz w:val="21"/>
                <w:szCs w:val="21"/>
                <w:highlight w:val="none"/>
                <w:lang w:val="en-US" w:eastAsia="zh-CN"/>
              </w:rPr>
              <w:t>⑤</w:t>
            </w:r>
            <w:r>
              <w:rPr>
                <w:rFonts w:hint="default"/>
                <w:color w:val="auto"/>
                <w:sz w:val="21"/>
                <w:szCs w:val="21"/>
                <w:highlight w:val="none"/>
                <w:lang w:val="en-US" w:eastAsia="zh-CN"/>
              </w:rPr>
              <w:t>明确事故后处理的清洗污水收集、处理方式及回用方式；</w:t>
            </w:r>
          </w:p>
          <w:p w14:paraId="0B9DCE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eastAsia"/>
                <w:color w:val="auto"/>
                <w:sz w:val="21"/>
                <w:szCs w:val="21"/>
                <w:highlight w:val="none"/>
                <w:lang w:val="en-US" w:eastAsia="zh-CN"/>
              </w:rPr>
              <w:t>⑥</w:t>
            </w:r>
            <w:r>
              <w:rPr>
                <w:rFonts w:hint="default"/>
                <w:color w:val="auto"/>
                <w:sz w:val="21"/>
                <w:szCs w:val="21"/>
                <w:highlight w:val="none"/>
                <w:lang w:val="en-US" w:eastAsia="zh-CN"/>
              </w:rPr>
              <w:t>明确事故报告总结编写。</w:t>
            </w:r>
          </w:p>
        </w:tc>
      </w:tr>
      <w:tr w14:paraId="2AFE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8" w:type="pct"/>
            <w:vAlign w:val="center"/>
          </w:tcPr>
          <w:p w14:paraId="07887F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default"/>
                <w:color w:val="auto"/>
                <w:sz w:val="21"/>
                <w:szCs w:val="21"/>
                <w:highlight w:val="none"/>
                <w:lang w:val="en-US" w:eastAsia="zh-CN"/>
              </w:rPr>
              <w:t>火灾爆炸事故</w:t>
            </w:r>
          </w:p>
        </w:tc>
        <w:tc>
          <w:tcPr>
            <w:tcW w:w="4142" w:type="pct"/>
            <w:vAlign w:val="center"/>
          </w:tcPr>
          <w:p w14:paraId="5CE57B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eastAsia"/>
                <w:color w:val="auto"/>
                <w:sz w:val="21"/>
                <w:szCs w:val="21"/>
                <w:highlight w:val="none"/>
                <w:lang w:val="en-US" w:eastAsia="zh-CN"/>
              </w:rPr>
              <w:t>①</w:t>
            </w:r>
            <w:r>
              <w:rPr>
                <w:rFonts w:hint="default"/>
                <w:color w:val="auto"/>
                <w:sz w:val="21"/>
                <w:szCs w:val="21"/>
                <w:highlight w:val="none"/>
                <w:lang w:val="en-US" w:eastAsia="zh-CN"/>
              </w:rPr>
              <w:t>明确信号报警方式；</w:t>
            </w:r>
          </w:p>
          <w:p w14:paraId="2BF58B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eastAsia"/>
                <w:color w:val="auto"/>
                <w:sz w:val="21"/>
                <w:szCs w:val="21"/>
                <w:highlight w:val="none"/>
                <w:lang w:val="en-US" w:eastAsia="zh-CN"/>
              </w:rPr>
              <w:t>②</w:t>
            </w:r>
            <w:r>
              <w:rPr>
                <w:rFonts w:hint="default"/>
                <w:color w:val="auto"/>
                <w:sz w:val="21"/>
                <w:szCs w:val="21"/>
                <w:highlight w:val="none"/>
                <w:lang w:val="en-US" w:eastAsia="zh-CN"/>
              </w:rPr>
              <w:t>明确救援队伍组成，明确列出相关部门及其任务；</w:t>
            </w:r>
          </w:p>
          <w:p w14:paraId="0F9E6F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eastAsia"/>
                <w:color w:val="auto"/>
                <w:sz w:val="21"/>
                <w:szCs w:val="21"/>
                <w:highlight w:val="none"/>
                <w:lang w:val="en-US" w:eastAsia="zh-CN"/>
              </w:rPr>
              <w:t>③</w:t>
            </w:r>
            <w:r>
              <w:rPr>
                <w:rFonts w:hint="default"/>
                <w:color w:val="auto"/>
                <w:sz w:val="21"/>
                <w:szCs w:val="21"/>
                <w:highlight w:val="none"/>
                <w:lang w:val="en-US" w:eastAsia="zh-CN"/>
              </w:rPr>
              <w:t>预案应根据本次风险评价的预测结果，对下风向部分敏感区域进行人员撤离，并同时进行信息通告，减小事故影响；</w:t>
            </w:r>
          </w:p>
          <w:p w14:paraId="3E69B7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eastAsia"/>
                <w:color w:val="auto"/>
                <w:sz w:val="21"/>
                <w:szCs w:val="21"/>
                <w:highlight w:val="none"/>
                <w:lang w:val="en-US" w:eastAsia="zh-CN"/>
              </w:rPr>
              <w:t>④</w:t>
            </w:r>
            <w:r>
              <w:rPr>
                <w:rFonts w:hint="default"/>
                <w:color w:val="auto"/>
                <w:sz w:val="21"/>
                <w:szCs w:val="21"/>
                <w:highlight w:val="none"/>
                <w:lang w:val="en-US" w:eastAsia="zh-CN"/>
              </w:rPr>
              <w:t>明确事故后处理的清洗污水收集、处理方式及回用方式；</w:t>
            </w:r>
          </w:p>
          <w:p w14:paraId="70369A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eastAsia"/>
                <w:color w:val="auto"/>
                <w:sz w:val="21"/>
                <w:szCs w:val="21"/>
                <w:highlight w:val="none"/>
                <w:lang w:val="en-US" w:eastAsia="zh-CN"/>
              </w:rPr>
              <w:t>⑤</w:t>
            </w:r>
            <w:r>
              <w:rPr>
                <w:rFonts w:hint="default"/>
                <w:color w:val="auto"/>
                <w:sz w:val="21"/>
                <w:szCs w:val="21"/>
                <w:highlight w:val="none"/>
                <w:lang w:val="en-US" w:eastAsia="zh-CN"/>
              </w:rPr>
              <w:t>明确事故报告总结编写；</w:t>
            </w:r>
          </w:p>
          <w:p w14:paraId="57E7F2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color w:val="auto"/>
                <w:sz w:val="21"/>
                <w:szCs w:val="21"/>
                <w:highlight w:val="none"/>
                <w:lang w:val="en-US" w:eastAsia="zh-CN"/>
              </w:rPr>
            </w:pPr>
            <w:r>
              <w:rPr>
                <w:rFonts w:hint="eastAsia"/>
                <w:color w:val="auto"/>
                <w:sz w:val="21"/>
                <w:szCs w:val="21"/>
                <w:highlight w:val="none"/>
                <w:lang w:val="en-US" w:eastAsia="zh-CN"/>
              </w:rPr>
              <w:t>⑥</w:t>
            </w:r>
            <w:r>
              <w:rPr>
                <w:rFonts w:hint="default"/>
                <w:color w:val="auto"/>
                <w:sz w:val="21"/>
                <w:szCs w:val="21"/>
                <w:highlight w:val="none"/>
                <w:lang w:val="en-US" w:eastAsia="zh-CN"/>
              </w:rPr>
              <w:t>预案应对本次事故进行事故总结，并对风险预案进行必要的修改。</w:t>
            </w:r>
          </w:p>
        </w:tc>
      </w:tr>
    </w:tbl>
    <w:p w14:paraId="0925B0F3">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预案执行</w:t>
      </w:r>
    </w:p>
    <w:p w14:paraId="7D5174F7">
      <w:pPr>
        <w:numPr>
          <w:ilvl w:val="0"/>
          <w:numId w:val="19"/>
        </w:numPr>
        <w:ind w:firstLine="480" w:firstLineChars="200"/>
        <w:rPr>
          <w:color w:val="auto"/>
          <w:highlight w:val="none"/>
        </w:rPr>
      </w:pPr>
      <w:r>
        <w:rPr>
          <w:color w:val="auto"/>
          <w:highlight w:val="none"/>
        </w:rPr>
        <w:t>预案开始、终止：本预案由预案总指挥进行宣布预案的开始和终止；</w:t>
      </w:r>
    </w:p>
    <w:p w14:paraId="1833F9B1">
      <w:pPr>
        <w:numPr>
          <w:ilvl w:val="0"/>
          <w:numId w:val="19"/>
        </w:numPr>
        <w:ind w:firstLine="480" w:firstLineChars="200"/>
        <w:rPr>
          <w:color w:val="auto"/>
          <w:highlight w:val="none"/>
        </w:rPr>
      </w:pPr>
      <w:r>
        <w:rPr>
          <w:color w:val="auto"/>
          <w:highlight w:val="none"/>
        </w:rPr>
        <w:t>预案执行：各职能部门进行明确分工，严格按照预案要求，</w:t>
      </w:r>
      <w:r>
        <w:rPr>
          <w:rFonts w:hint="eastAsia"/>
          <w:color w:val="auto"/>
          <w:highlight w:val="none"/>
          <w:lang w:eastAsia="zh-CN"/>
        </w:rPr>
        <w:t>各司其职</w:t>
      </w:r>
      <w:r>
        <w:rPr>
          <w:color w:val="auto"/>
          <w:highlight w:val="none"/>
        </w:rPr>
        <w:t>并相互配合</w:t>
      </w:r>
      <w:r>
        <w:rPr>
          <w:rFonts w:hint="eastAsia"/>
          <w:color w:val="auto"/>
          <w:highlight w:val="none"/>
          <w:lang w:eastAsia="zh-CN"/>
        </w:rPr>
        <w:t>，对</w:t>
      </w:r>
      <w:r>
        <w:rPr>
          <w:color w:val="auto"/>
          <w:highlight w:val="none"/>
        </w:rPr>
        <w:t>人员进行适当调整，以保证事故能够得到最有效控制。各部门人员执行预案应服从本组指挥，并听从总指挥调遣；</w:t>
      </w:r>
    </w:p>
    <w:p w14:paraId="5C78DB07">
      <w:pPr>
        <w:numPr>
          <w:ilvl w:val="0"/>
          <w:numId w:val="19"/>
        </w:numPr>
        <w:ind w:firstLine="480" w:firstLineChars="200"/>
        <w:rPr>
          <w:color w:val="auto"/>
          <w:highlight w:val="none"/>
        </w:rPr>
      </w:pPr>
      <w:r>
        <w:rPr>
          <w:color w:val="auto"/>
          <w:highlight w:val="none"/>
        </w:rPr>
        <w:t>预案执行过程，应以控制事故影响为主，应将环境影响和区域敏感目标的保护作为重点；</w:t>
      </w:r>
    </w:p>
    <w:p w14:paraId="6B937750">
      <w:pPr>
        <w:numPr>
          <w:ilvl w:val="0"/>
          <w:numId w:val="19"/>
        </w:numPr>
        <w:ind w:firstLine="480" w:firstLineChars="200"/>
        <w:rPr>
          <w:color w:val="auto"/>
          <w:highlight w:val="none"/>
        </w:rPr>
      </w:pPr>
      <w:r>
        <w:rPr>
          <w:color w:val="auto"/>
          <w:highlight w:val="none"/>
        </w:rPr>
        <w:t>在事故得到整体控制后，宣布预案中止，各部门应继续严守自己的岗位，直到事故救援完成。</w:t>
      </w:r>
    </w:p>
    <w:p w14:paraId="3A40D898">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培训与应急演练</w:t>
      </w:r>
    </w:p>
    <w:p w14:paraId="293A208A">
      <w:pPr>
        <w:numPr>
          <w:ilvl w:val="0"/>
          <w:numId w:val="20"/>
        </w:numPr>
        <w:ind w:firstLine="480" w:firstLineChars="200"/>
        <w:rPr>
          <w:color w:val="auto"/>
          <w:highlight w:val="none"/>
        </w:rPr>
      </w:pPr>
      <w:r>
        <w:rPr>
          <w:color w:val="auto"/>
          <w:highlight w:val="none"/>
        </w:rPr>
        <w:t>定期对员工进行应急能力培训，</w:t>
      </w:r>
      <w:r>
        <w:rPr>
          <w:rFonts w:hint="eastAsia"/>
          <w:color w:val="auto"/>
          <w:highlight w:val="none"/>
          <w:lang w:eastAsia="zh-CN"/>
        </w:rPr>
        <w:t>使</w:t>
      </w:r>
      <w:r>
        <w:rPr>
          <w:color w:val="auto"/>
          <w:highlight w:val="none"/>
        </w:rPr>
        <w:t>员工清楚实施应急救援时的岗位工作内容与责任，掌握实现救援任务的方法和资源，报警、信息传递、避险、避灾、自救、互救的常识等。</w:t>
      </w:r>
    </w:p>
    <w:p w14:paraId="3D8F69A6">
      <w:pPr>
        <w:numPr>
          <w:ilvl w:val="0"/>
          <w:numId w:val="20"/>
        </w:numPr>
        <w:ind w:firstLine="480" w:firstLineChars="200"/>
        <w:rPr>
          <w:color w:val="auto"/>
          <w:highlight w:val="none"/>
        </w:rPr>
      </w:pPr>
      <w:r>
        <w:rPr>
          <w:color w:val="auto"/>
          <w:highlight w:val="none"/>
        </w:rPr>
        <w:t>合理确定应急响应时间，同时在后续应急演练工作中优化响应程序，最大程度缩短应急响应时间。</w:t>
      </w:r>
    </w:p>
    <w:p w14:paraId="6E61BD72">
      <w:pPr>
        <w:numPr>
          <w:ilvl w:val="0"/>
          <w:numId w:val="20"/>
        </w:numPr>
        <w:ind w:firstLine="480" w:firstLineChars="200"/>
        <w:rPr>
          <w:color w:val="auto"/>
          <w:highlight w:val="none"/>
        </w:rPr>
      </w:pPr>
      <w:r>
        <w:rPr>
          <w:color w:val="auto"/>
          <w:highlight w:val="none"/>
        </w:rPr>
        <w:t>针对应急救援预案，小组提出演练计划、演练方案、演练记录，主管领导分工指挥，预案相关部门参与配合，定期组织演练。使员工熟练预案应急具体工作分工、如何防护逃生等，并结合演练情况，对预案中薄弱环节进行修订补充。</w:t>
      </w:r>
    </w:p>
    <w:p w14:paraId="7D907595">
      <w:pPr>
        <w:numPr>
          <w:ilvl w:val="0"/>
          <w:numId w:val="20"/>
        </w:numPr>
        <w:ind w:firstLine="480" w:firstLineChars="200"/>
        <w:rPr>
          <w:color w:val="auto"/>
          <w:highlight w:val="none"/>
        </w:rPr>
      </w:pPr>
      <w:r>
        <w:rPr>
          <w:color w:val="auto"/>
          <w:highlight w:val="none"/>
        </w:rPr>
        <w:t>定期组织应急演习，并连同消防组织进行联合应急演习。</w:t>
      </w:r>
    </w:p>
    <w:p w14:paraId="393A5C52">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区域应急预案联动</w:t>
      </w:r>
    </w:p>
    <w:p w14:paraId="282D773F">
      <w:pPr>
        <w:numPr>
          <w:ilvl w:val="0"/>
          <w:numId w:val="21"/>
        </w:numPr>
        <w:ind w:firstLine="480" w:firstLineChars="200"/>
        <w:rPr>
          <w:color w:val="auto"/>
          <w:highlight w:val="none"/>
        </w:rPr>
      </w:pPr>
      <w:r>
        <w:rPr>
          <w:color w:val="auto"/>
          <w:highlight w:val="none"/>
        </w:rPr>
        <w:t>建设单位应落实地方政府应急预案的执行部门，并予以及时联系，确保发生事故时能够第一时间将事故信息进行反馈；</w:t>
      </w:r>
    </w:p>
    <w:p w14:paraId="10628AC5">
      <w:pPr>
        <w:numPr>
          <w:ilvl w:val="0"/>
          <w:numId w:val="21"/>
        </w:numPr>
        <w:ind w:firstLine="480" w:firstLineChars="200"/>
        <w:rPr>
          <w:color w:val="auto"/>
          <w:highlight w:val="none"/>
        </w:rPr>
      </w:pPr>
      <w:r>
        <w:rPr>
          <w:color w:val="auto"/>
          <w:highlight w:val="none"/>
        </w:rPr>
        <w:t>进行定期演练，配合地方政府应急预案，确定和完成自己在预案中的任务，避免在本项目发生事故</w:t>
      </w:r>
      <w:r>
        <w:rPr>
          <w:rFonts w:hint="eastAsia"/>
          <w:color w:val="auto"/>
          <w:highlight w:val="none"/>
          <w:lang w:eastAsia="zh-CN"/>
        </w:rPr>
        <w:t>时</w:t>
      </w:r>
      <w:r>
        <w:rPr>
          <w:color w:val="auto"/>
          <w:highlight w:val="none"/>
        </w:rPr>
        <w:t>出现救援冲突和无救援现象；</w:t>
      </w:r>
    </w:p>
    <w:p w14:paraId="6D8320CD">
      <w:pPr>
        <w:numPr>
          <w:ilvl w:val="0"/>
          <w:numId w:val="21"/>
        </w:numPr>
        <w:ind w:firstLine="480" w:firstLineChars="200"/>
        <w:rPr>
          <w:color w:val="auto"/>
          <w:highlight w:val="none"/>
        </w:rPr>
      </w:pPr>
      <w:r>
        <w:rPr>
          <w:color w:val="auto"/>
          <w:highlight w:val="none"/>
        </w:rPr>
        <w:t>确定地方政府应急预案各部门到达事故现场最近路线；</w:t>
      </w:r>
    </w:p>
    <w:p w14:paraId="0B7EE616">
      <w:pPr>
        <w:numPr>
          <w:ilvl w:val="0"/>
          <w:numId w:val="21"/>
        </w:numPr>
        <w:ind w:firstLine="480" w:firstLineChars="200"/>
        <w:rPr>
          <w:color w:val="auto"/>
          <w:highlight w:val="none"/>
        </w:rPr>
      </w:pPr>
      <w:r>
        <w:rPr>
          <w:color w:val="auto"/>
          <w:highlight w:val="none"/>
        </w:rPr>
        <w:t>确定己方配合地区政府应急预案执行部门的人员及其责任、任务；</w:t>
      </w:r>
    </w:p>
    <w:p w14:paraId="34448A40">
      <w:pPr>
        <w:numPr>
          <w:ilvl w:val="0"/>
          <w:numId w:val="21"/>
        </w:numPr>
        <w:ind w:firstLine="480" w:firstLineChars="200"/>
        <w:rPr>
          <w:color w:val="auto"/>
          <w:highlight w:val="none"/>
        </w:rPr>
      </w:pPr>
      <w:r>
        <w:rPr>
          <w:color w:val="auto"/>
          <w:highlight w:val="none"/>
        </w:rPr>
        <w:t>将本单位与地区政府应急预案各执行部门的联系方式、人员名单明确列入应急预案；</w:t>
      </w:r>
    </w:p>
    <w:p w14:paraId="6BCFFECB">
      <w:pPr>
        <w:numPr>
          <w:ilvl w:val="0"/>
          <w:numId w:val="21"/>
        </w:numPr>
        <w:ind w:firstLine="480" w:firstLineChars="200"/>
        <w:rPr>
          <w:color w:val="auto"/>
          <w:highlight w:val="none"/>
        </w:rPr>
      </w:pPr>
      <w:r>
        <w:rPr>
          <w:color w:val="auto"/>
          <w:highlight w:val="none"/>
        </w:rPr>
        <w:t>将地方政府应急预案纳入内部员工</w:t>
      </w:r>
      <w:r>
        <w:rPr>
          <w:rFonts w:hint="eastAsia"/>
          <w:color w:val="auto"/>
          <w:highlight w:val="none"/>
          <w:lang w:eastAsia="zh-CN"/>
        </w:rPr>
        <w:t>学习</w:t>
      </w:r>
      <w:r>
        <w:rPr>
          <w:color w:val="auto"/>
          <w:highlight w:val="none"/>
        </w:rPr>
        <w:t>安排中，并将其列入风险事故演习执行过程。</w:t>
      </w:r>
    </w:p>
    <w:p w14:paraId="687DA172">
      <w:pPr>
        <w:ind w:firstLine="480" w:firstLineChars="200"/>
        <w:rPr>
          <w:color w:val="auto"/>
          <w:highlight w:val="none"/>
        </w:rPr>
      </w:pPr>
      <w:r>
        <w:rPr>
          <w:color w:val="auto"/>
          <w:highlight w:val="none"/>
        </w:rPr>
        <w:t>环境风险应急预案应在项目施工前完成编制，并报当地生态环境主管部门审批、备案。</w:t>
      </w:r>
    </w:p>
    <w:p w14:paraId="301AF5AA">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小结</w:t>
      </w:r>
    </w:p>
    <w:p w14:paraId="26E894AD">
      <w:pPr>
        <w:pStyle w:val="133"/>
        <w:rPr>
          <w:color w:val="auto"/>
          <w:highlight w:val="none"/>
        </w:rPr>
      </w:pPr>
      <w:r>
        <w:rPr>
          <w:color w:val="auto"/>
          <w:highlight w:val="none"/>
        </w:rPr>
        <w:t>本项目运营过程中可能产生环境风险的设施为</w:t>
      </w:r>
      <w:r>
        <w:rPr>
          <w:rFonts w:hint="eastAsia"/>
          <w:color w:val="auto"/>
          <w:highlight w:val="none"/>
          <w:lang w:val="en-US" w:eastAsia="zh-CN"/>
        </w:rPr>
        <w:t>油车棚内的2辆罐式加油车</w:t>
      </w:r>
      <w:r>
        <w:rPr>
          <w:color w:val="auto"/>
          <w:highlight w:val="none"/>
        </w:rPr>
        <w:t>，</w:t>
      </w:r>
      <w:r>
        <w:rPr>
          <w:rFonts w:hint="eastAsia"/>
          <w:color w:val="auto"/>
          <w:highlight w:val="none"/>
          <w:lang w:eastAsia="zh-CN"/>
        </w:rPr>
        <w:t>涉及</w:t>
      </w:r>
      <w:r>
        <w:rPr>
          <w:color w:val="auto"/>
          <w:highlight w:val="none"/>
        </w:rPr>
        <w:t>的危险物质是航空煤油</w:t>
      </w:r>
      <w:r>
        <w:rPr>
          <w:rFonts w:hint="eastAsia"/>
          <w:color w:val="auto"/>
          <w:highlight w:val="none"/>
        </w:rPr>
        <w:t>等</w:t>
      </w:r>
      <w:r>
        <w:rPr>
          <w:color w:val="auto"/>
          <w:highlight w:val="none"/>
        </w:rPr>
        <w:t>，均属易燃、易爆物质，但不构成重大危险源。根据本项目特征及事故树分析，确定最大风险事故为</w:t>
      </w:r>
      <w:r>
        <w:rPr>
          <w:rFonts w:hint="eastAsia"/>
          <w:color w:val="auto"/>
          <w:highlight w:val="none"/>
        </w:rPr>
        <w:t>油类物质</w:t>
      </w:r>
      <w:r>
        <w:rPr>
          <w:color w:val="auto"/>
          <w:highlight w:val="none"/>
        </w:rPr>
        <w:t>泄漏发生火灾爆炸事故。</w:t>
      </w:r>
    </w:p>
    <w:p w14:paraId="32C83210">
      <w:pPr>
        <w:pStyle w:val="133"/>
        <w:rPr>
          <w:color w:val="auto"/>
          <w:highlight w:val="none"/>
        </w:rPr>
      </w:pPr>
      <w:r>
        <w:rPr>
          <w:color w:val="auto"/>
          <w:highlight w:val="none"/>
        </w:rPr>
        <w:t>建设单位在落实环境风险防范措施和应急预案的基础上，应严格按照相关的规章制度进行管理和操作，本项目的环境风险水平可以接受。</w:t>
      </w:r>
    </w:p>
    <w:p w14:paraId="6822A8D8">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87" w:name="_Toc19635"/>
      <w:r>
        <w:rPr>
          <w:rFonts w:hint="eastAsia" w:ascii="Times New Roman" w:hAnsi="Times New Roman" w:eastAsia="黑体" w:cs="Times New Roman"/>
          <w:bCs/>
          <w:color w:val="auto"/>
          <w:spacing w:val="0"/>
          <w:w w:val="100"/>
          <w:kern w:val="28"/>
          <w:sz w:val="30"/>
          <w:szCs w:val="30"/>
          <w:highlight w:val="none"/>
          <w:lang w:val="en-US" w:eastAsia="zh-CN" w:bidi="ar-SA"/>
        </w:rPr>
        <w:t>电磁辐射环境影响预测与评价</w:t>
      </w:r>
      <w:bookmarkEnd w:id="287"/>
    </w:p>
    <w:p w14:paraId="23BF8FDE">
      <w:pPr>
        <w:pageBreakBefore w:val="0"/>
        <w:widowControl/>
        <w:kinsoku/>
        <w:wordWrap/>
        <w:overflowPunct/>
        <w:bidi w:val="0"/>
        <w:ind w:firstLine="480" w:firstLineChars="200"/>
        <w:jc w:val="both"/>
        <w:rPr>
          <w:rFonts w:hint="eastAsia" w:ascii="Times New Roman" w:hAnsi="Times New Roman" w:eastAsia="宋体" w:cs="Times New Roman"/>
          <w:color w:val="auto"/>
          <w:spacing w:val="4"/>
          <w:kern w:val="24"/>
          <w:szCs w:val="20"/>
          <w:highlight w:val="none"/>
          <w:lang w:eastAsia="zh-CN"/>
        </w:rPr>
      </w:pPr>
      <w:r>
        <w:rPr>
          <w:rFonts w:hint="eastAsia" w:cs="Times New Roman"/>
          <w:color w:val="auto"/>
          <w:szCs w:val="21"/>
          <w:highlight w:val="none"/>
          <w:lang w:val="en-US" w:eastAsia="zh-CN"/>
        </w:rPr>
        <w:t>根据资料，拟建精河通用机场本期为非仪表跑道，不设导航设备。航管工程中电磁辐射源主要为甚高频通信系统，配置3个信道，塔台主频、备频及应急频率，其中主频主备设置，配置4台单机及VHF遥控盒4个，发射功率在300W以下。根据《辐射环境保护管理导则 电磁辐射环境影响评价方法与标准》（HJ/T10.3-1996），发射功率在300W以下的设备为豁免设备。项目建设对电磁环境影响较小</w:t>
      </w:r>
      <w:r>
        <w:rPr>
          <w:rFonts w:hint="default" w:ascii="Times New Roman" w:hAnsi="Times New Roman" w:eastAsia="宋体" w:cs="Times New Roman"/>
          <w:color w:val="auto"/>
          <w:szCs w:val="21"/>
          <w:highlight w:val="none"/>
          <w:lang w:eastAsia="zh-CN"/>
        </w:rPr>
        <w:t>。</w:t>
      </w:r>
    </w:p>
    <w:p w14:paraId="0C00FE87">
      <w:pPr>
        <w:pageBreakBefore w:val="0"/>
        <w:tabs>
          <w:tab w:val="left" w:pos="2432"/>
        </w:tabs>
        <w:kinsoku/>
        <w:wordWrap/>
        <w:overflowPunct/>
        <w:bidi w:val="0"/>
        <w:ind w:firstLine="482"/>
        <w:rPr>
          <w:rFonts w:hint="eastAsia" w:ascii="Times New Roman" w:hAnsi="Times New Roman" w:eastAsia="宋体" w:cs="Times New Roman"/>
          <w:color w:val="auto"/>
          <w:spacing w:val="4"/>
          <w:kern w:val="24"/>
          <w:szCs w:val="20"/>
          <w:highlight w:val="none"/>
          <w:lang w:eastAsia="zh-CN"/>
        </w:rPr>
        <w:sectPr>
          <w:pgSz w:w="11904" w:h="16838"/>
          <w:pgMar w:top="1474" w:right="1474" w:bottom="1474" w:left="1814" w:header="850" w:footer="850" w:gutter="113"/>
          <w:pgNumType w:fmt="decimal"/>
          <w:cols w:space="0" w:num="1"/>
          <w:docGrid w:linePitch="326" w:charSpace="0"/>
        </w:sectPr>
      </w:pPr>
    </w:p>
    <w:p w14:paraId="45884859">
      <w:pPr>
        <w:keepNext/>
        <w:keepLines/>
        <w:pageBreakBefore w:val="0"/>
        <w:widowControl w:val="0"/>
        <w:numPr>
          <w:ilvl w:val="0"/>
          <w:numId w:val="10"/>
        </w:numPr>
        <w:kinsoku/>
        <w:overflowPunct/>
        <w:bidi w:val="0"/>
        <w:spacing w:before="0" w:after="0" w:line="360" w:lineRule="auto"/>
        <w:ind w:left="425" w:leftChars="0" w:hanging="425" w:firstLineChars="0"/>
        <w:jc w:val="both"/>
        <w:outlineLvl w:val="0"/>
        <w:rPr>
          <w:rFonts w:ascii="Times New Roman" w:hAnsi="Times New Roman" w:eastAsia="黑体" w:cs="Times New Roman"/>
          <w:b w:val="0"/>
          <w:bCs w:val="0"/>
          <w:color w:val="auto"/>
          <w:kern w:val="44"/>
          <w:sz w:val="44"/>
          <w:szCs w:val="44"/>
          <w:highlight w:val="none"/>
          <w:lang w:val="en-US" w:eastAsia="zh-CN" w:bidi="ar-SA"/>
        </w:rPr>
      </w:pPr>
      <w:bookmarkStart w:id="288" w:name="_Toc12375"/>
      <w:bookmarkStart w:id="289" w:name="_Toc135735458"/>
      <w:r>
        <w:rPr>
          <w:rFonts w:hint="eastAsia" w:ascii="Times New Roman" w:hAnsi="Times New Roman" w:eastAsia="黑体" w:cs="Times New Roman"/>
          <w:b w:val="0"/>
          <w:bCs w:val="0"/>
          <w:color w:val="auto"/>
          <w:kern w:val="44"/>
          <w:sz w:val="44"/>
          <w:szCs w:val="44"/>
          <w:highlight w:val="none"/>
          <w:lang w:val="en-US" w:eastAsia="zh-CN" w:bidi="ar-SA"/>
        </w:rPr>
        <w:t>环境保护措施及其可行性论证</w:t>
      </w:r>
      <w:bookmarkEnd w:id="288"/>
    </w:p>
    <w:bookmarkEnd w:id="289"/>
    <w:p w14:paraId="125DF0FF">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290" w:name="_Toc10673"/>
      <w:bookmarkStart w:id="291" w:name="_Toc135735459"/>
      <w:r>
        <w:rPr>
          <w:rFonts w:hint="eastAsia" w:ascii="Times New Roman" w:hAnsi="Times New Roman" w:eastAsia="黑体" w:cs="Times New Roman"/>
          <w:bCs/>
          <w:color w:val="auto"/>
          <w:spacing w:val="0"/>
          <w:w w:val="100"/>
          <w:kern w:val="28"/>
          <w:sz w:val="30"/>
          <w:szCs w:val="30"/>
          <w:highlight w:val="none"/>
          <w:lang w:val="en-US" w:eastAsia="zh-CN" w:bidi="ar-SA"/>
        </w:rPr>
        <w:t>噪声影响减缓措施及其可行性论证</w:t>
      </w:r>
      <w:bookmarkEnd w:id="290"/>
    </w:p>
    <w:bookmarkEnd w:id="291"/>
    <w:p w14:paraId="45B14358">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bookmarkStart w:id="292" w:name="_Toc374032778"/>
      <w:bookmarkStart w:id="293" w:name="_Toc417997158"/>
      <w:bookmarkStart w:id="294" w:name="_Toc418086259"/>
      <w:bookmarkStart w:id="295" w:name="_Toc418694419"/>
      <w:bookmarkStart w:id="296" w:name="_Toc424219833"/>
      <w:r>
        <w:rPr>
          <w:rFonts w:hint="eastAsia" w:eastAsia="黑体" w:cs="Times New Roman"/>
          <w:color w:val="auto"/>
          <w:spacing w:val="0"/>
          <w:kern w:val="2"/>
          <w:sz w:val="28"/>
          <w:szCs w:val="28"/>
          <w:highlight w:val="none"/>
          <w:lang w:val="en-US" w:eastAsia="zh-CN" w:bidi="ar-SA"/>
        </w:rPr>
        <w:t>施工期噪声防治措施及其可行性论证</w:t>
      </w:r>
    </w:p>
    <w:bookmarkEnd w:id="292"/>
    <w:bookmarkEnd w:id="293"/>
    <w:bookmarkEnd w:id="294"/>
    <w:bookmarkEnd w:id="295"/>
    <w:bookmarkEnd w:id="296"/>
    <w:p w14:paraId="0162B364">
      <w:pPr>
        <w:ind w:firstLine="480" w:firstLineChars="200"/>
        <w:rPr>
          <w:rStyle w:val="642"/>
          <w:rFonts w:hint="default" w:ascii="Times New Roman" w:hAnsi="Times New Roman"/>
          <w:color w:val="auto"/>
          <w:highlight w:val="none"/>
        </w:rPr>
      </w:pPr>
      <w:bookmarkStart w:id="297" w:name="_Toc418086260"/>
      <w:bookmarkStart w:id="298" w:name="_Toc418694420"/>
      <w:bookmarkStart w:id="299" w:name="_Toc374032779"/>
      <w:bookmarkStart w:id="300" w:name="_Toc424219834"/>
      <w:bookmarkStart w:id="301" w:name="_Toc417997159"/>
      <w:r>
        <w:rPr>
          <w:rStyle w:val="642"/>
          <w:rFonts w:hint="default" w:ascii="Times New Roman" w:hAnsi="Times New Roman"/>
          <w:color w:val="auto"/>
          <w:highlight w:val="none"/>
        </w:rPr>
        <w:t>精河通用机场建设工程包括飞行区工程、航站区工程以及其它相关配套工程，施工期噪声的防治措施主要从以下要求考虑：</w:t>
      </w:r>
    </w:p>
    <w:p w14:paraId="164F9D2E">
      <w:pPr>
        <w:ind w:firstLine="480" w:firstLineChars="200"/>
        <w:rPr>
          <w:rStyle w:val="642"/>
          <w:rFonts w:hint="default" w:ascii="Times New Roman" w:hAnsi="Times New Roman"/>
          <w:color w:val="auto"/>
          <w:highlight w:val="none"/>
        </w:rPr>
      </w:pPr>
      <w:r>
        <w:rPr>
          <w:rStyle w:val="642"/>
          <w:rFonts w:hint="default" w:ascii="Times New Roman" w:hAnsi="Times New Roman"/>
          <w:color w:val="auto"/>
          <w:highlight w:val="none"/>
        </w:rPr>
        <w:t>合理安排施工机械的使用，减少高噪声设备的使用时间，加强各种施工机械的维修保养，尽可能降低施工机械噪声的排放，严格限制高噪声机械在夜间使用；</w:t>
      </w:r>
    </w:p>
    <w:p w14:paraId="7BD94BDB">
      <w:pPr>
        <w:ind w:firstLine="480" w:firstLineChars="200"/>
        <w:rPr>
          <w:rStyle w:val="642"/>
          <w:rFonts w:hint="eastAsia"/>
          <w:color w:val="auto"/>
          <w:highlight w:val="none"/>
          <w:lang w:eastAsia="zh-CN"/>
        </w:rPr>
      </w:pPr>
      <w:r>
        <w:rPr>
          <w:rStyle w:val="642"/>
          <w:rFonts w:hint="default" w:ascii="Times New Roman" w:hAnsi="Times New Roman"/>
          <w:color w:val="auto"/>
          <w:highlight w:val="none"/>
        </w:rPr>
        <w:t>施工过程中应对主要高噪声设备放置在适当位置或采取隔声降噪措施。在结构施工阶段，对混凝土泵、混凝土罐车可搭简易棚围护降噪，并加强对混凝土泵的维修保养，加强对施工人员的培训及责任心教育，保证车辆平稳运行</w:t>
      </w:r>
      <w:r>
        <w:rPr>
          <w:rStyle w:val="642"/>
          <w:rFonts w:hint="eastAsia"/>
          <w:color w:val="auto"/>
          <w:highlight w:val="none"/>
          <w:lang w:eastAsia="zh-CN"/>
        </w:rPr>
        <w:t>。</w:t>
      </w:r>
    </w:p>
    <w:p w14:paraId="30D6F8EB">
      <w:pPr>
        <w:ind w:firstLine="480" w:firstLineChars="200"/>
        <w:rPr>
          <w:rStyle w:val="642"/>
          <w:rFonts w:hint="default" w:ascii="Times New Roman" w:hAnsi="Times New Roman"/>
          <w:color w:val="auto"/>
          <w:highlight w:val="none"/>
        </w:rPr>
      </w:pPr>
      <w:r>
        <w:rPr>
          <w:rStyle w:val="642"/>
          <w:rFonts w:hint="eastAsia"/>
          <w:color w:val="auto"/>
          <w:highlight w:val="none"/>
          <w:lang w:val="en-US" w:eastAsia="zh-CN"/>
        </w:rPr>
        <w:t>项目</w:t>
      </w:r>
      <w:r>
        <w:rPr>
          <w:rStyle w:val="642"/>
          <w:rFonts w:hint="default" w:ascii="Times New Roman" w:hAnsi="Times New Roman"/>
          <w:color w:val="auto"/>
          <w:highlight w:val="none"/>
        </w:rPr>
        <w:t>施工期噪声影响减缓措施可行。</w:t>
      </w:r>
    </w:p>
    <w:p w14:paraId="37438113">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运营期噪声防治措施及其可行性论证</w:t>
      </w:r>
    </w:p>
    <w:bookmarkEnd w:id="297"/>
    <w:bookmarkEnd w:id="298"/>
    <w:bookmarkEnd w:id="299"/>
    <w:bookmarkEnd w:id="300"/>
    <w:bookmarkEnd w:id="301"/>
    <w:p w14:paraId="114A9BA2">
      <w:pPr>
        <w:ind w:firstLine="480" w:firstLineChars="200"/>
        <w:rPr>
          <w:color w:val="auto"/>
          <w:szCs w:val="22"/>
          <w:highlight w:val="none"/>
        </w:rPr>
      </w:pPr>
      <w:r>
        <w:rPr>
          <w:color w:val="auto"/>
          <w:szCs w:val="22"/>
          <w:highlight w:val="none"/>
        </w:rPr>
        <w:t>（1）机场周边用地规划控制措施</w:t>
      </w:r>
    </w:p>
    <w:p w14:paraId="34553A84">
      <w:pPr>
        <w:ind w:firstLine="480" w:firstLineChars="200"/>
        <w:rPr>
          <w:color w:val="auto"/>
          <w:szCs w:val="22"/>
          <w:highlight w:val="none"/>
        </w:rPr>
      </w:pPr>
      <w:r>
        <w:rPr>
          <w:rFonts w:hint="eastAsia"/>
          <w:color w:val="auto"/>
          <w:szCs w:val="22"/>
          <w:highlight w:val="none"/>
        </w:rPr>
        <w:t>合理安排机场周围土地开发，是避免飞机噪声干扰的重要措施，机场运营管理单位和当地规划部门，应结合机场未来发展，合理规划机场周围土地利用形式。评价建议，应根据噪声预测结果，在机场远期2050年飞机噪声70dB影响范围内严格控制新建居民集中点、学校和医院，必须建设时，应根据《中华人民共和国噪声污染防治法》中第五十二条有关规定及原国家环保总局环函〔20</w:t>
      </w:r>
      <w:r>
        <w:rPr>
          <w:rFonts w:hint="eastAsia"/>
          <w:color w:val="auto"/>
          <w:szCs w:val="22"/>
          <w:highlight w:val="none"/>
          <w:lang w:val="en-US" w:eastAsia="zh-CN"/>
        </w:rPr>
        <w:t>04</w:t>
      </w:r>
      <w:r>
        <w:rPr>
          <w:rFonts w:hint="eastAsia"/>
          <w:color w:val="auto"/>
          <w:szCs w:val="22"/>
          <w:highlight w:val="none"/>
        </w:rPr>
        <w:t>〕463号文件相关要求，应采取相应的建筑物隔声措施。具体要求见下表</w:t>
      </w:r>
      <w:r>
        <w:rPr>
          <w:color w:val="auto"/>
          <w:szCs w:val="22"/>
          <w:highlight w:val="none"/>
        </w:rPr>
        <w:t>。</w:t>
      </w:r>
    </w:p>
    <w:p w14:paraId="5D4D6955">
      <w:pPr>
        <w:adjustRightInd w:val="0"/>
        <w:snapToGrid w:val="0"/>
        <w:spacing w:line="500" w:lineRule="exact"/>
        <w:ind w:firstLine="0"/>
        <w:jc w:val="center"/>
        <w:rPr>
          <w:rFonts w:eastAsia="黑体"/>
          <w:bCs/>
          <w:color w:val="auto"/>
          <w:sz w:val="21"/>
          <w:highlight w:val="none"/>
        </w:rPr>
      </w:pPr>
      <w:r>
        <w:rPr>
          <w:rFonts w:eastAsia="黑体"/>
          <w:bCs/>
          <w:color w:val="auto"/>
          <w:sz w:val="21"/>
          <w:highlight w:val="none"/>
        </w:rPr>
        <w:t>表7-1-1 机场周边用地规划控制相关规定</w:t>
      </w:r>
    </w:p>
    <w:tbl>
      <w:tblPr>
        <w:tblStyle w:val="40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0"/>
        <w:gridCol w:w="6489"/>
      </w:tblGrid>
      <w:tr w14:paraId="5630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9" w:type="pct"/>
            <w:vAlign w:val="center"/>
          </w:tcPr>
          <w:p w14:paraId="09E96D3B">
            <w:pPr>
              <w:keepNext w:val="0"/>
              <w:keepLines w:val="0"/>
              <w:suppressLineNumbers w:val="0"/>
              <w:spacing w:before="0" w:beforeAutospacing="0" w:after="0" w:afterAutospacing="0" w:line="280" w:lineRule="exact"/>
              <w:ind w:left="0" w:right="0" w:firstLine="0"/>
              <w:jc w:val="center"/>
              <w:rPr>
                <w:rFonts w:hint="default" w:eastAsiaTheme="minorEastAsia"/>
                <w:color w:val="auto"/>
                <w:kern w:val="0"/>
                <w:sz w:val="21"/>
                <w:szCs w:val="21"/>
                <w:highlight w:val="none"/>
              </w:rPr>
            </w:pPr>
            <w:r>
              <w:rPr>
                <w:rFonts w:hint="default" w:eastAsiaTheme="minorEastAsia"/>
                <w:color w:val="auto"/>
                <w:kern w:val="0"/>
                <w:sz w:val="21"/>
                <w:szCs w:val="21"/>
                <w:highlight w:val="none"/>
              </w:rPr>
              <w:t>相关法律及规定</w:t>
            </w:r>
          </w:p>
        </w:tc>
        <w:tc>
          <w:tcPr>
            <w:tcW w:w="3721" w:type="pct"/>
            <w:vAlign w:val="center"/>
          </w:tcPr>
          <w:p w14:paraId="1441244D">
            <w:pPr>
              <w:keepNext w:val="0"/>
              <w:keepLines w:val="0"/>
              <w:suppressLineNumbers w:val="0"/>
              <w:spacing w:before="0" w:beforeAutospacing="0" w:after="0" w:afterAutospacing="0" w:line="280" w:lineRule="exact"/>
              <w:ind w:left="0" w:right="0" w:firstLine="0"/>
              <w:jc w:val="center"/>
              <w:rPr>
                <w:rFonts w:hint="default" w:eastAsiaTheme="minorEastAsia"/>
                <w:color w:val="auto"/>
                <w:kern w:val="0"/>
                <w:sz w:val="21"/>
                <w:szCs w:val="21"/>
                <w:highlight w:val="none"/>
              </w:rPr>
            </w:pPr>
            <w:r>
              <w:rPr>
                <w:rFonts w:hint="default" w:eastAsiaTheme="minorEastAsia"/>
                <w:color w:val="auto"/>
                <w:kern w:val="0"/>
                <w:sz w:val="21"/>
                <w:szCs w:val="21"/>
                <w:highlight w:val="none"/>
              </w:rPr>
              <w:t>具体要求</w:t>
            </w:r>
          </w:p>
        </w:tc>
      </w:tr>
      <w:tr w14:paraId="5B29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9" w:type="pct"/>
            <w:vAlign w:val="center"/>
          </w:tcPr>
          <w:p w14:paraId="48186E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eastAsiaTheme="minorEastAsia"/>
                <w:color w:val="auto"/>
                <w:kern w:val="0"/>
                <w:sz w:val="21"/>
                <w:szCs w:val="21"/>
                <w:highlight w:val="none"/>
              </w:rPr>
            </w:pPr>
            <w:r>
              <w:rPr>
                <w:rFonts w:hint="default" w:eastAsiaTheme="minorEastAsia"/>
                <w:color w:val="auto"/>
                <w:kern w:val="0"/>
                <w:sz w:val="21"/>
                <w:szCs w:val="21"/>
                <w:highlight w:val="none"/>
              </w:rPr>
              <w:t>《中华人民共和国噪声污染防治法》2021年6月5日起实施</w:t>
            </w:r>
          </w:p>
        </w:tc>
        <w:tc>
          <w:tcPr>
            <w:tcW w:w="3721" w:type="pct"/>
            <w:vAlign w:val="center"/>
          </w:tcPr>
          <w:p w14:paraId="78E31F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eastAsiaTheme="minorEastAsia"/>
                <w:color w:val="auto"/>
                <w:kern w:val="0"/>
                <w:sz w:val="21"/>
                <w:szCs w:val="21"/>
                <w:highlight w:val="none"/>
              </w:rPr>
            </w:pPr>
            <w:r>
              <w:rPr>
                <w:rFonts w:hint="default" w:eastAsiaTheme="minorEastAsia"/>
                <w:color w:val="auto"/>
                <w:kern w:val="0"/>
                <w:sz w:val="21"/>
                <w:szCs w:val="21"/>
                <w:highlight w:val="none"/>
              </w:rPr>
              <w:t>第五十二条：民用机场所在地人民政府，应当根据环境影响评价以及监测结果确定的民用航空器噪声对机场周围生活环境产生影响的范围和程度，划定噪声敏感建筑物禁止建设区域和限制建设区域，并实施控制。</w:t>
            </w:r>
          </w:p>
          <w:p w14:paraId="2BAC08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eastAsiaTheme="minorEastAsia"/>
                <w:color w:val="auto"/>
                <w:kern w:val="0"/>
                <w:sz w:val="21"/>
                <w:szCs w:val="21"/>
                <w:highlight w:val="none"/>
              </w:rPr>
            </w:pPr>
            <w:r>
              <w:rPr>
                <w:rFonts w:hint="default" w:eastAsiaTheme="minorEastAsia"/>
                <w:color w:val="auto"/>
                <w:kern w:val="0"/>
                <w:sz w:val="21"/>
                <w:szCs w:val="21"/>
                <w:highlight w:val="none"/>
              </w:rPr>
              <w:t>在禁止建设区域禁止新建与航空无关的噪声敏感建筑物。</w:t>
            </w:r>
          </w:p>
          <w:p w14:paraId="515A80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eastAsiaTheme="minorEastAsia"/>
                <w:color w:val="auto"/>
                <w:kern w:val="0"/>
                <w:sz w:val="21"/>
                <w:szCs w:val="21"/>
                <w:highlight w:val="none"/>
              </w:rPr>
            </w:pPr>
            <w:r>
              <w:rPr>
                <w:rFonts w:hint="default" w:eastAsiaTheme="minorEastAsia"/>
                <w:color w:val="auto"/>
                <w:kern w:val="0"/>
                <w:sz w:val="21"/>
                <w:szCs w:val="21"/>
                <w:highlight w:val="none"/>
              </w:rPr>
              <w:t>在限制建设区域确需建设噪声敏感建筑物的，建设单位应当对噪声敏感建筑物进行建筑隔声设计，符合民用建筑隔声设计相关标准要求。</w:t>
            </w:r>
          </w:p>
        </w:tc>
      </w:tr>
      <w:tr w14:paraId="2626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9" w:type="pct"/>
            <w:vAlign w:val="center"/>
          </w:tcPr>
          <w:p w14:paraId="626B16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eastAsiaTheme="minorEastAsia"/>
                <w:color w:val="auto"/>
                <w:kern w:val="0"/>
                <w:sz w:val="21"/>
                <w:szCs w:val="21"/>
                <w:highlight w:val="none"/>
              </w:rPr>
            </w:pPr>
            <w:r>
              <w:rPr>
                <w:rFonts w:hint="default" w:eastAsiaTheme="minorEastAsia"/>
                <w:color w:val="auto"/>
                <w:kern w:val="0"/>
                <w:sz w:val="21"/>
                <w:szCs w:val="21"/>
                <w:highlight w:val="none"/>
              </w:rPr>
              <w:t>《关于机场周围区域噪声环境标准有关条目解释的复函》</w:t>
            </w:r>
            <w:r>
              <w:rPr>
                <w:rFonts w:hint="eastAsia" w:eastAsiaTheme="minorEastAsia"/>
                <w:color w:val="auto"/>
                <w:kern w:val="0"/>
                <w:sz w:val="21"/>
                <w:szCs w:val="21"/>
                <w:highlight w:val="none"/>
              </w:rPr>
              <w:t>（环函〔20</w:t>
            </w:r>
            <w:r>
              <w:rPr>
                <w:rFonts w:hint="default" w:eastAsiaTheme="minorEastAsia"/>
                <w:color w:val="auto"/>
                <w:kern w:val="0"/>
                <w:sz w:val="21"/>
                <w:szCs w:val="21"/>
                <w:highlight w:val="none"/>
              </w:rPr>
              <w:t>04</w:t>
            </w:r>
            <w:r>
              <w:rPr>
                <w:rFonts w:hint="eastAsia" w:eastAsiaTheme="minorEastAsia"/>
                <w:color w:val="auto"/>
                <w:kern w:val="0"/>
                <w:sz w:val="21"/>
                <w:szCs w:val="21"/>
                <w:highlight w:val="none"/>
              </w:rPr>
              <w:t>〕463号）</w:t>
            </w:r>
          </w:p>
        </w:tc>
        <w:tc>
          <w:tcPr>
            <w:tcW w:w="3721" w:type="pct"/>
            <w:vAlign w:val="center"/>
          </w:tcPr>
          <w:p w14:paraId="09C378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eastAsiaTheme="minorEastAsia"/>
                <w:color w:val="auto"/>
                <w:kern w:val="0"/>
                <w:sz w:val="21"/>
                <w:szCs w:val="21"/>
                <w:highlight w:val="none"/>
              </w:rPr>
            </w:pPr>
            <w:r>
              <w:rPr>
                <w:rFonts w:hint="default" w:eastAsiaTheme="minorEastAsia"/>
                <w:color w:val="auto"/>
                <w:kern w:val="0"/>
                <w:sz w:val="21"/>
                <w:szCs w:val="21"/>
                <w:highlight w:val="none"/>
              </w:rPr>
              <w:t>应按照当地政府对该二类区域内城市规划的要求确定可否新建住宅、学校等建筑。如允许新建住宅、学校等建筑，除满足WECPNL小于75dB的声环境质量要求外，还需使室内声环境质量达到《住宅设计规范》的质量要求，室内环境噪声昼间≤50dB（A），夜间≤40dB</w:t>
            </w:r>
            <w:r>
              <w:rPr>
                <w:rFonts w:hint="default" w:eastAsiaTheme="minorEastAsia"/>
                <w:b w:val="0"/>
                <w:bCs w:val="0"/>
                <w:color w:val="auto"/>
                <w:kern w:val="0"/>
                <w:sz w:val="21"/>
                <w:szCs w:val="21"/>
                <w:highlight w:val="none"/>
              </w:rPr>
              <w:t>（A）。（现行《住宅设计规范》已被《建筑环境通用规范》GB55016-2021替代，标准限值调整为昼间40dB，夜间30dB）。</w:t>
            </w:r>
          </w:p>
        </w:tc>
      </w:tr>
    </w:tbl>
    <w:p w14:paraId="3E672E98">
      <w:pPr>
        <w:ind w:firstLine="480" w:firstLineChars="200"/>
        <w:rPr>
          <w:color w:val="auto"/>
          <w:szCs w:val="22"/>
          <w:highlight w:val="none"/>
        </w:rPr>
      </w:pPr>
      <w:r>
        <w:rPr>
          <w:color w:val="auto"/>
          <w:szCs w:val="22"/>
          <w:highlight w:val="none"/>
        </w:rPr>
        <w:t>（2）</w:t>
      </w:r>
      <w:r>
        <w:rPr>
          <w:rFonts w:hint="eastAsia"/>
          <w:color w:val="auto"/>
          <w:szCs w:val="22"/>
          <w:highlight w:val="none"/>
        </w:rPr>
        <w:t>其他建议</w:t>
      </w:r>
    </w:p>
    <w:p w14:paraId="53EF2576">
      <w:pPr>
        <w:ind w:firstLine="480" w:firstLineChars="200"/>
        <w:rPr>
          <w:rFonts w:hint="eastAsia"/>
          <w:color w:val="auto"/>
          <w:szCs w:val="22"/>
          <w:highlight w:val="none"/>
        </w:rPr>
      </w:pPr>
      <w:r>
        <w:rPr>
          <w:rFonts w:hint="eastAsia"/>
          <w:color w:val="auto"/>
          <w:szCs w:val="22"/>
          <w:highlight w:val="none"/>
        </w:rPr>
        <w:t>由于机场</w:t>
      </w:r>
      <w:r>
        <w:rPr>
          <w:rFonts w:hint="eastAsia"/>
          <w:color w:val="auto"/>
          <w:szCs w:val="22"/>
          <w:highlight w:val="none"/>
          <w:lang w:val="en-US" w:eastAsia="zh-CN"/>
        </w:rPr>
        <w:t>所涉及</w:t>
      </w:r>
      <w:r>
        <w:rPr>
          <w:rFonts w:hint="eastAsia"/>
          <w:color w:val="auto"/>
          <w:szCs w:val="22"/>
          <w:highlight w:val="none"/>
        </w:rPr>
        <w:t>的散户敏感点规模较小，且距离机场较近，因此评价建议，从机场运营管理、居民声环境保护的角度，建议</w:t>
      </w:r>
      <w:r>
        <w:rPr>
          <w:rFonts w:hint="eastAsia"/>
          <w:color w:val="auto"/>
          <w:szCs w:val="22"/>
          <w:highlight w:val="none"/>
          <w:lang w:val="en-US" w:eastAsia="zh-CN"/>
        </w:rPr>
        <w:t>将声环境保护目标处散户</w:t>
      </w:r>
      <w:r>
        <w:rPr>
          <w:rFonts w:hint="eastAsia"/>
          <w:color w:val="auto"/>
          <w:szCs w:val="22"/>
          <w:highlight w:val="none"/>
        </w:rPr>
        <w:t>居民进行搬迁或建筑物功能置换，消除机场运营的声环境影响的隐患</w:t>
      </w:r>
      <w:r>
        <w:rPr>
          <w:rFonts w:hint="eastAsia"/>
          <w:color w:val="auto"/>
          <w:szCs w:val="22"/>
          <w:highlight w:val="none"/>
          <w:lang w:eastAsia="zh-CN"/>
        </w:rPr>
        <w:t>。</w:t>
      </w:r>
    </w:p>
    <w:p w14:paraId="1FB73351">
      <w:pPr>
        <w:ind w:firstLine="480" w:firstLineChars="200"/>
        <w:rPr>
          <w:rFonts w:hint="eastAsia"/>
          <w:color w:val="auto"/>
          <w:szCs w:val="22"/>
          <w:highlight w:val="none"/>
        </w:rPr>
      </w:pPr>
      <w:r>
        <w:rPr>
          <w:rFonts w:hint="eastAsia"/>
          <w:color w:val="auto"/>
          <w:szCs w:val="22"/>
          <w:highlight w:val="none"/>
        </w:rPr>
        <w:t>（</w:t>
      </w:r>
      <w:r>
        <w:rPr>
          <w:rFonts w:hint="eastAsia"/>
          <w:color w:val="auto"/>
          <w:szCs w:val="22"/>
          <w:highlight w:val="none"/>
          <w:lang w:val="en-US" w:eastAsia="zh-CN"/>
        </w:rPr>
        <w:t>3</w:t>
      </w:r>
      <w:r>
        <w:rPr>
          <w:rFonts w:hint="eastAsia"/>
          <w:color w:val="auto"/>
          <w:szCs w:val="22"/>
          <w:highlight w:val="none"/>
        </w:rPr>
        <w:t>）跟踪监测措施</w:t>
      </w:r>
    </w:p>
    <w:p w14:paraId="393D6213">
      <w:pPr>
        <w:ind w:firstLine="480" w:firstLineChars="200"/>
        <w:rPr>
          <w:color w:val="auto"/>
          <w:szCs w:val="22"/>
          <w:highlight w:val="none"/>
        </w:rPr>
      </w:pPr>
      <w:r>
        <w:rPr>
          <w:rFonts w:hint="eastAsia"/>
          <w:color w:val="auto"/>
          <w:szCs w:val="22"/>
          <w:highlight w:val="none"/>
        </w:rPr>
        <w:t>由于本项目评价范围内</w:t>
      </w:r>
      <w:r>
        <w:rPr>
          <w:rFonts w:hint="eastAsia"/>
          <w:color w:val="auto"/>
          <w:szCs w:val="22"/>
          <w:highlight w:val="none"/>
          <w:lang w:val="en-US" w:eastAsia="zh-CN"/>
        </w:rPr>
        <w:t>声环境</w:t>
      </w:r>
      <w:r>
        <w:rPr>
          <w:rFonts w:hint="eastAsia"/>
          <w:color w:val="auto"/>
          <w:szCs w:val="22"/>
          <w:highlight w:val="none"/>
        </w:rPr>
        <w:t>敏感点均不超标，且根据航迹与规划用地区域分析，存在本场起落航线飞越规划用地区的情况。</w:t>
      </w:r>
    </w:p>
    <w:p w14:paraId="499B3F09">
      <w:pPr>
        <w:ind w:firstLine="480" w:firstLineChars="200"/>
        <w:rPr>
          <w:color w:val="auto"/>
          <w:szCs w:val="22"/>
          <w:highlight w:val="none"/>
        </w:rPr>
      </w:pPr>
      <w:r>
        <w:rPr>
          <w:rFonts w:hint="eastAsia"/>
          <w:color w:val="auto"/>
          <w:szCs w:val="22"/>
          <w:highlight w:val="none"/>
        </w:rPr>
        <w:t>因此本次评价建议，未来根据机场实际飞行情况，应对声环境敏感点开展跟踪监测，另外若存在飞越规划居住区的固定飞行路线，应在航线下方敏感建筑处布设跟踪监测点位，采取跟踪监测措施，发生超标应采取噪声补偿或拆迁等补救措施</w:t>
      </w:r>
      <w:r>
        <w:rPr>
          <w:color w:val="auto"/>
          <w:szCs w:val="22"/>
          <w:highlight w:val="none"/>
        </w:rPr>
        <w:t>。</w:t>
      </w:r>
    </w:p>
    <w:p w14:paraId="17C92486">
      <w:pPr>
        <w:ind w:firstLine="480" w:firstLineChars="200"/>
        <w:rPr>
          <w:color w:val="auto"/>
          <w:szCs w:val="22"/>
          <w:highlight w:val="none"/>
        </w:rPr>
      </w:pPr>
      <w:r>
        <w:rPr>
          <w:color w:val="auto"/>
          <w:szCs w:val="22"/>
          <w:highlight w:val="none"/>
        </w:rPr>
        <w:t>（</w:t>
      </w:r>
      <w:r>
        <w:rPr>
          <w:rFonts w:hint="eastAsia"/>
          <w:color w:val="auto"/>
          <w:szCs w:val="22"/>
          <w:highlight w:val="none"/>
          <w:lang w:val="en-US" w:eastAsia="zh-CN"/>
        </w:rPr>
        <w:t>4</w:t>
      </w:r>
      <w:r>
        <w:rPr>
          <w:color w:val="auto"/>
          <w:szCs w:val="22"/>
          <w:highlight w:val="none"/>
        </w:rPr>
        <w:t>）噪声影响减缓措施可行性论证</w:t>
      </w:r>
    </w:p>
    <w:p w14:paraId="7BD6E9E1">
      <w:pPr>
        <w:pageBreakBefore w:val="0"/>
        <w:widowControl/>
        <w:kinsoku/>
        <w:wordWrap/>
        <w:overflowPunct/>
        <w:bidi w:val="0"/>
        <w:ind w:firstLine="480" w:firstLineChars="200"/>
        <w:jc w:val="both"/>
        <w:rPr>
          <w:rFonts w:hint="eastAsia"/>
          <w:color w:val="auto"/>
          <w:szCs w:val="22"/>
          <w:highlight w:val="none"/>
          <w:lang w:eastAsia="zh-CN"/>
        </w:rPr>
      </w:pPr>
      <w:r>
        <w:rPr>
          <w:rFonts w:hint="eastAsia"/>
          <w:color w:val="auto"/>
          <w:szCs w:val="22"/>
          <w:highlight w:val="none"/>
        </w:rPr>
        <w:t>结合城市规划，优化机场周边土地利用规划布局，可有效避免机场飞机噪声与城市发展的矛盾，从源头上控制了飞机噪声影响，从根本上促进了机场与城市的协调发展，是一种有效的飞机噪声控制的管理措施。在机场运营后，对飞机噪声进行跟踪监测，对噪声影响进行周期性的反复评估，是针对环评阶段预测存在的不确定性和局限性的一种有效补充措施，可以及时发现噪声影响的变化情况，为进一步采取措施提供依据</w:t>
      </w:r>
      <w:r>
        <w:rPr>
          <w:rFonts w:hint="eastAsia"/>
          <w:color w:val="auto"/>
          <w:szCs w:val="22"/>
          <w:highlight w:val="none"/>
          <w:lang w:eastAsia="zh-CN"/>
        </w:rPr>
        <w:t>。</w:t>
      </w:r>
    </w:p>
    <w:p w14:paraId="1C6858F3">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color w:val="auto"/>
          <w:szCs w:val="22"/>
          <w:highlight w:val="none"/>
        </w:rPr>
        <w:t>项目</w:t>
      </w:r>
      <w:r>
        <w:rPr>
          <w:rFonts w:hint="eastAsia"/>
          <w:color w:val="auto"/>
          <w:szCs w:val="22"/>
          <w:highlight w:val="none"/>
          <w:lang w:val="en-US" w:eastAsia="zh-CN"/>
        </w:rPr>
        <w:t>运营期</w:t>
      </w:r>
      <w:r>
        <w:rPr>
          <w:rFonts w:hint="eastAsia"/>
          <w:color w:val="auto"/>
          <w:szCs w:val="22"/>
          <w:highlight w:val="none"/>
        </w:rPr>
        <w:t>噪声影响减缓措施可行</w:t>
      </w:r>
      <w:r>
        <w:rPr>
          <w:color w:val="auto"/>
          <w:szCs w:val="22"/>
          <w:highlight w:val="none"/>
        </w:rPr>
        <w:t>。</w:t>
      </w:r>
    </w:p>
    <w:p w14:paraId="3C21EB03">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02" w:name="_Toc16129"/>
      <w:bookmarkStart w:id="303" w:name="_Toc135735460"/>
      <w:r>
        <w:rPr>
          <w:rFonts w:hint="eastAsia" w:ascii="Times New Roman" w:hAnsi="Times New Roman" w:eastAsia="黑体" w:cs="Times New Roman"/>
          <w:bCs/>
          <w:color w:val="auto"/>
          <w:spacing w:val="0"/>
          <w:w w:val="100"/>
          <w:kern w:val="28"/>
          <w:sz w:val="30"/>
          <w:szCs w:val="30"/>
          <w:highlight w:val="none"/>
          <w:lang w:val="en-US" w:eastAsia="zh-CN" w:bidi="ar-SA"/>
        </w:rPr>
        <w:t>生态影响减缓措施及其可行性论证</w:t>
      </w:r>
      <w:bookmarkEnd w:id="302"/>
    </w:p>
    <w:bookmarkEnd w:id="303"/>
    <w:p w14:paraId="1FDF6C9E">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施工期生态影响减缓措施</w:t>
      </w:r>
    </w:p>
    <w:p w14:paraId="16741612">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（1）施工管理</w:t>
      </w:r>
    </w:p>
    <w:p w14:paraId="53DE2C5F">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①严格控制用地范围。机场项目区临时堆土场、施工营地等临时用地布置在占地范围内，尽量不占或少占地。</w:t>
      </w:r>
    </w:p>
    <w:p w14:paraId="5D51FB3B">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②项目建设规模大、周期长，因此须合理组织施工，安排好施工时序。在施工过程中，结合各施工标段的地形地貌情况，对临时堆土场采取临时防护措施。</w:t>
      </w:r>
    </w:p>
    <w:p w14:paraId="3AD126B6">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③各施工建设单位制定相应的制度，划定施工区域范围，规范施工人员行为，严禁在规定范围以外的地方行驶和作业，避免乱压乱挖，破坏周围生态。规范施工车辆的运输路线，严禁随意开道，破坏植被。对拟建工程外围的原有农田、林地要加以保护，不得</w:t>
      </w:r>
      <w:r>
        <w:rPr>
          <w:rFonts w:hint="eastAsia" w:cs="Times New Roman"/>
          <w:bCs/>
          <w:color w:val="auto"/>
          <w:szCs w:val="22"/>
          <w:highlight w:val="none"/>
          <w:lang w:val="en-US" w:eastAsia="zh-CN"/>
        </w:rPr>
        <w:t>随意</w:t>
      </w:r>
      <w:r>
        <w:rPr>
          <w:rFonts w:hint="eastAsia" w:cs="Times New Roman"/>
          <w:bCs/>
          <w:color w:val="auto"/>
          <w:szCs w:val="22"/>
          <w:highlight w:val="none"/>
          <w:lang w:val="zh-CN"/>
        </w:rPr>
        <w:t>破坏</w:t>
      </w:r>
      <w:r>
        <w:rPr>
          <w:rFonts w:hint="eastAsia" w:cs="Times New Roman"/>
          <w:bCs/>
          <w:color w:val="auto"/>
          <w:szCs w:val="22"/>
          <w:highlight w:val="none"/>
          <w:lang w:val="en-US" w:eastAsia="zh-CN"/>
        </w:rPr>
        <w:t>防护林、</w:t>
      </w:r>
      <w:r>
        <w:rPr>
          <w:rFonts w:hint="eastAsia" w:cs="Times New Roman"/>
          <w:bCs/>
          <w:color w:val="auto"/>
          <w:szCs w:val="22"/>
          <w:highlight w:val="none"/>
          <w:lang w:val="zh-CN"/>
        </w:rPr>
        <w:t>压占农田。施工结束后应及时对临时占地区域进行平整、恢复原貌。机场与农田交界处施工回填时须夯实，防止后期灌溉引起农田下陷，影响农作物种植。</w:t>
      </w:r>
    </w:p>
    <w:p w14:paraId="56EF1155">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④土地的征占及补偿应按照地方有关工程征地及补偿要求进行，由相关部门许可后方可开工建设。经批准占用的耕地，按照“占多少、垦多少”的原则，在当地政府指定的区域，执行耕地复垦补偿。</w:t>
      </w:r>
    </w:p>
    <w:p w14:paraId="516560F2">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（2）植被保护措施</w:t>
      </w:r>
    </w:p>
    <w:p w14:paraId="25AB602F">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①对于项目区内有肥力的表土层，应在项目施工前预先对其进行剥离，剥离厚度30~50cm，剥离后单独堆存保护，用作绿化或附近其他农田培肥地。</w:t>
      </w:r>
    </w:p>
    <w:p w14:paraId="0BFDA550">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②在施工过程中，施工场地严格按照设计范围设置，划定施工范围和人员、车辆行走路线，将施工活动范围局限在机场项目区内一定范围内，防止对施工范围以外区域的植被造成碾压和破坏。评价区农用地主要植被为棉花、玉米、小麦等经济作物。</w:t>
      </w:r>
      <w:r>
        <w:rPr>
          <w:rFonts w:hint="eastAsia" w:cs="Times New Roman"/>
          <w:bCs/>
          <w:color w:val="auto"/>
          <w:szCs w:val="22"/>
          <w:highlight w:val="none"/>
          <w:lang w:val="en-US" w:eastAsia="zh-CN"/>
        </w:rPr>
        <w:t>项目</w:t>
      </w:r>
      <w:r>
        <w:rPr>
          <w:rFonts w:hint="eastAsia" w:cs="Times New Roman"/>
          <w:bCs/>
          <w:color w:val="auto"/>
          <w:szCs w:val="22"/>
          <w:highlight w:val="none"/>
          <w:lang w:val="zh-CN"/>
        </w:rPr>
        <w:t>对基本农田采取避让措施，不得在永久基本农田内新增占地。</w:t>
      </w:r>
    </w:p>
    <w:p w14:paraId="3B3F3778">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③根据项目区自然条件及各绿化部位的具体立地条件，按“适地适树，适地适草”的原则，选择优良的乡土树种和经过多年种植已适应环境的树种和草种，同时，所选树种有较强的抗污染性能，防风固沙功能，适生品种。水土保持植物措施设计在选择树种时，不仅考虑树种的生物、生态学特征，同时考虑树、草种的防飞鸟及绿化美化效果。确保绿化面积和绿化率达到相应标准要求。</w:t>
      </w:r>
    </w:p>
    <w:p w14:paraId="03F0A999">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④施工过程中注意保护周围植被。</w:t>
      </w:r>
    </w:p>
    <w:p w14:paraId="6CCA87BA">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（3）动物保护措施</w:t>
      </w:r>
    </w:p>
    <w:p w14:paraId="31A891C7">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①施工前，对施工人员进行动物保护相关法律法规宣传，严禁捕捉野生动物，提高施工人员的动物保护意识。</w:t>
      </w:r>
    </w:p>
    <w:p w14:paraId="50B96071">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②严格控制施工作业带的范围，施工结束后尽快进行植被恢复，以减少施工过程对野生动物栖息觅食场所的影响和破坏。</w:t>
      </w:r>
    </w:p>
    <w:p w14:paraId="51BB8F4B">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③减少夜间作业，避免灯光、噪声对夜间动物活动的惊扰。</w:t>
      </w:r>
    </w:p>
    <w:p w14:paraId="5CD63DEB">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④在施工中尽量减少对鸟类等生境的破坏，尽可能多地保留林草地。在鸟类繁殖期，尤其注意对鸟巢、鸟蛋的保护。</w:t>
      </w:r>
    </w:p>
    <w:p w14:paraId="175636F3">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⑤施工期间需要进行机场鸟类的实时现场监测，获得真实可靠科学的第一手资料，以奠定机场鸟类科学分析的基础，探讨机场施工过程对鸟类和生态的影响和解决措施。</w:t>
      </w:r>
    </w:p>
    <w:p w14:paraId="7E059821">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早晨、黄昏和晚上是野生动物活动、繁殖和觅食的高峰时段，应避免在上述时段进行打桩等高噪声作业。</w:t>
      </w:r>
    </w:p>
    <w:p w14:paraId="10513DE5">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开工前，在项目区及周边设立爱护野生动物和自然植被的宣传牌，并对施工单位进行环境保护和生物多样性保护宣传教育工作；施工人员进场后，立即进行生态保护教育。在对施工人员进行生态保护教育的同时，采取适当的奖惩措施。奖励保护生态环境的积极分子；严禁施工人员采获野生植物或捕杀野生动物，处罚破坏生态环境的人员。</w:t>
      </w:r>
    </w:p>
    <w:p w14:paraId="4818BB76">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对本项目涉及的敏感区域内动物进行全面监测和研究，提出针对性保护措施。通过生态监测了解受施工影响的野生哺乳动物生存状况和生境变化情况，开展针对性保护工作。</w:t>
      </w:r>
    </w:p>
    <w:p w14:paraId="09A6C305">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（4）飞行区施工期生态保护措施</w:t>
      </w:r>
    </w:p>
    <w:p w14:paraId="06BB063B">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施工期间，对跑道两侧空地裸露地表采取密目网临时苫盖、装土编织袋压边；对场区内洒水降尘；在飞行区东侧修建排水沟，其中航站楼和站坪区衔接段为钢筋混凝土盖板排水沟，其余为浆砌石排水沟；对飞行区周边的挖填方边坡采用浆砌石片石拱形骨架护坡。施工后期，对飞行区裸露地表采用砾石压盖防护。</w:t>
      </w:r>
    </w:p>
    <w:p w14:paraId="637B4C92">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（5）航站区施工期生态保护措施</w:t>
      </w:r>
    </w:p>
    <w:p w14:paraId="6032C09F">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施工期间，对场区内洒水降尘；对航站区周边回填边坡采用浆砌石片石拱形骨架护坡。施工后期，对航站区中心广场、道路两侧及各建筑物周边空地进行覆土、景观绿化并设置配套灌溉措施。</w:t>
      </w:r>
    </w:p>
    <w:p w14:paraId="76B9B689">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航站区站前广场绿化以及新建建筑周边空地进行绿化，绿化前需先覆耕植土，厚50cm，耕植土采用外购。</w:t>
      </w:r>
    </w:p>
    <w:p w14:paraId="3469AD5D">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（6）场外台站区施工期生态保护措施</w:t>
      </w:r>
    </w:p>
    <w:p w14:paraId="0BBBDE17">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施工期间，对场区内洒水降尘；采取编织袋装土拦挡、密目网苫盖等防护措施。施工结束后，台站内非硬化区域进行土地整治，对非硬化地进行压实。</w:t>
      </w:r>
    </w:p>
    <w:p w14:paraId="13DEE696">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（7）施工生产生活区施工期生态保护措施</w:t>
      </w:r>
    </w:p>
    <w:p w14:paraId="54D77ADD">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施工期间，对容易流失的施工材料进行密目网苫盖、装土编织袋压边，定期洒水降尘。施工后期，对场地土地整治，交还给地方政府。</w:t>
      </w:r>
    </w:p>
    <w:p w14:paraId="5C557F3A">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（8）施工便道区施工期生态保护措施</w:t>
      </w:r>
    </w:p>
    <w:p w14:paraId="30C4129F">
      <w:pPr>
        <w:pageBreakBefore w:val="0"/>
        <w:widowControl/>
        <w:kinsoku/>
        <w:wordWrap/>
        <w:overflowPunct/>
        <w:bidi w:val="0"/>
        <w:ind w:firstLine="480" w:firstLineChars="200"/>
        <w:jc w:val="both"/>
        <w:rPr>
          <w:rFonts w:hint="eastAsia" w:cs="Times New Roman"/>
          <w:bCs/>
          <w:color w:val="auto"/>
          <w:szCs w:val="22"/>
          <w:highlight w:val="none"/>
          <w:lang w:val="zh-CN"/>
        </w:rPr>
      </w:pPr>
      <w:r>
        <w:rPr>
          <w:rFonts w:hint="eastAsia" w:cs="Times New Roman"/>
          <w:bCs/>
          <w:color w:val="auto"/>
          <w:szCs w:val="22"/>
          <w:highlight w:val="none"/>
          <w:lang w:val="zh-CN"/>
        </w:rPr>
        <w:t>施工期间，施工道路定期洒水降尘。</w:t>
      </w:r>
    </w:p>
    <w:p w14:paraId="1B289E44">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left"/>
        <w:textAlignment w:val="auto"/>
        <w:rPr>
          <w:rFonts w:ascii="Times New Roman" w:hAnsi="Times New Roman" w:eastAsia="宋体" w:cs="Times New Roman"/>
          <w:b w:val="0"/>
          <w:bCs w:val="0"/>
          <w:color w:val="auto"/>
          <w:szCs w:val="21"/>
          <w:highlight w:val="none"/>
        </w:rPr>
      </w:pPr>
      <w:r>
        <w:rPr>
          <w:rFonts w:hint="eastAsia" w:ascii="Times New Roman" w:hAnsi="Times New Roman" w:eastAsia="宋体" w:cs="Times New Roman"/>
          <w:b w:val="0"/>
          <w:bCs w:val="0"/>
          <w:color w:val="auto"/>
          <w:szCs w:val="21"/>
          <w:highlight w:val="none"/>
          <w:lang w:bidi="ar"/>
        </w:rPr>
        <w:t>（</w:t>
      </w:r>
      <w:r>
        <w:rPr>
          <w:rFonts w:hint="eastAsia" w:cs="Times New Roman"/>
          <w:b w:val="0"/>
          <w:bCs w:val="0"/>
          <w:color w:val="auto"/>
          <w:szCs w:val="21"/>
          <w:highlight w:val="none"/>
          <w:lang w:val="en-US" w:eastAsia="zh-CN" w:bidi="ar"/>
        </w:rPr>
        <w:t>9</w:t>
      </w:r>
      <w:r>
        <w:rPr>
          <w:rFonts w:hint="eastAsia" w:ascii="Times New Roman" w:hAnsi="Times New Roman" w:eastAsia="宋体" w:cs="Times New Roman"/>
          <w:b w:val="0"/>
          <w:bCs w:val="0"/>
          <w:color w:val="auto"/>
          <w:szCs w:val="21"/>
          <w:highlight w:val="none"/>
          <w:lang w:bidi="ar"/>
        </w:rPr>
        <w:t>）</w:t>
      </w:r>
      <w:r>
        <w:rPr>
          <w:rFonts w:ascii="Times New Roman" w:hAnsi="Times New Roman" w:eastAsia="宋体" w:cs="Times New Roman"/>
          <w:b w:val="0"/>
          <w:bCs w:val="0"/>
          <w:color w:val="auto"/>
          <w:szCs w:val="21"/>
          <w:highlight w:val="none"/>
          <w:lang w:bidi="ar"/>
        </w:rPr>
        <w:t>工程和施工人员环境教育</w:t>
      </w:r>
    </w:p>
    <w:p w14:paraId="63600897">
      <w:pPr>
        <w:keepNext w:val="0"/>
        <w:keepLines w:val="0"/>
        <w:pageBreakBefore w:val="0"/>
        <w:widowControl/>
        <w:kinsoku/>
        <w:wordWrap/>
        <w:overflowPunct/>
        <w:topLinePunct w:val="0"/>
        <w:autoSpaceDE/>
        <w:bidi w:val="0"/>
        <w:adjustRightInd/>
        <w:snapToGrid/>
        <w:spacing w:line="360" w:lineRule="auto"/>
        <w:ind w:left="0" w:leftChars="0" w:firstLine="480" w:firstLineChars="200"/>
        <w:jc w:val="left"/>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lang w:bidi="ar"/>
        </w:rPr>
        <w:t>在工程管理和施工人员进场前进行环境教育。环境教育的主要内容包括：</w:t>
      </w:r>
    </w:p>
    <w:p w14:paraId="05B1A47C">
      <w:pPr>
        <w:keepNext w:val="0"/>
        <w:keepLines w:val="0"/>
        <w:pageBreakBefore w:val="0"/>
        <w:widowControl/>
        <w:kinsoku/>
        <w:wordWrap/>
        <w:overflowPunct/>
        <w:topLinePunct w:val="0"/>
        <w:autoSpaceDE/>
        <w:bidi w:val="0"/>
        <w:adjustRightInd/>
        <w:snapToGrid/>
        <w:spacing w:line="360" w:lineRule="auto"/>
        <w:ind w:left="0" w:leftChars="0" w:firstLine="480" w:firstLineChars="200"/>
        <w:jc w:val="both"/>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lang w:bidi="ar"/>
        </w:rPr>
        <w:t>——开展《中华人民共和国环境保护法</w:t>
      </w:r>
      <w:r>
        <w:rPr>
          <w:rFonts w:hint="eastAsia" w:ascii="Times New Roman" w:hAnsi="Times New Roman" w:eastAsia="宋体" w:cs="Times New Roman"/>
          <w:color w:val="auto"/>
          <w:szCs w:val="21"/>
          <w:highlight w:val="none"/>
          <w:lang w:bidi="ar"/>
        </w:rPr>
        <w:t>（</w:t>
      </w:r>
      <w:r>
        <w:rPr>
          <w:rFonts w:ascii="Times New Roman" w:hAnsi="Times New Roman" w:eastAsia="宋体" w:cs="Times New Roman"/>
          <w:color w:val="auto"/>
          <w:szCs w:val="21"/>
          <w:highlight w:val="none"/>
          <w:lang w:bidi="ar"/>
        </w:rPr>
        <w:t>2014 年修订</w:t>
      </w:r>
      <w:r>
        <w:rPr>
          <w:rFonts w:hint="eastAsia" w:ascii="Times New Roman" w:hAnsi="Times New Roman" w:eastAsia="宋体" w:cs="Times New Roman"/>
          <w:color w:val="auto"/>
          <w:szCs w:val="21"/>
          <w:highlight w:val="none"/>
          <w:lang w:bidi="ar"/>
        </w:rPr>
        <w:t>）</w:t>
      </w:r>
      <w:r>
        <w:rPr>
          <w:rFonts w:ascii="Times New Roman" w:hAnsi="Times New Roman" w:eastAsia="宋体" w:cs="Times New Roman"/>
          <w:color w:val="auto"/>
          <w:szCs w:val="21"/>
          <w:highlight w:val="none"/>
          <w:lang w:bidi="ar"/>
        </w:rPr>
        <w:t>》《中华人民共和国大气污染防治法</w:t>
      </w:r>
      <w:r>
        <w:rPr>
          <w:rFonts w:hint="eastAsia" w:ascii="Times New Roman" w:hAnsi="Times New Roman" w:eastAsia="宋体" w:cs="Times New Roman"/>
          <w:color w:val="auto"/>
          <w:szCs w:val="21"/>
          <w:highlight w:val="none"/>
          <w:lang w:bidi="ar"/>
        </w:rPr>
        <w:t>（</w:t>
      </w:r>
      <w:r>
        <w:rPr>
          <w:rFonts w:ascii="Times New Roman" w:hAnsi="Times New Roman" w:eastAsia="宋体" w:cs="Times New Roman"/>
          <w:color w:val="auto"/>
          <w:szCs w:val="21"/>
          <w:highlight w:val="none"/>
          <w:lang w:bidi="ar"/>
        </w:rPr>
        <w:t>2018 年修正</w:t>
      </w:r>
      <w:r>
        <w:rPr>
          <w:rFonts w:hint="eastAsia" w:ascii="Times New Roman" w:hAnsi="Times New Roman" w:eastAsia="宋体" w:cs="Times New Roman"/>
          <w:color w:val="auto"/>
          <w:szCs w:val="21"/>
          <w:highlight w:val="none"/>
          <w:lang w:bidi="ar"/>
        </w:rPr>
        <w:t>）</w:t>
      </w:r>
      <w:r>
        <w:rPr>
          <w:rFonts w:ascii="Times New Roman" w:hAnsi="Times New Roman" w:eastAsia="宋体" w:cs="Times New Roman"/>
          <w:color w:val="auto"/>
          <w:szCs w:val="21"/>
          <w:highlight w:val="none"/>
          <w:lang w:bidi="ar"/>
        </w:rPr>
        <w:t>》《中华人民共和国水污染防治法</w:t>
      </w:r>
      <w:r>
        <w:rPr>
          <w:rFonts w:hint="eastAsia" w:ascii="Times New Roman" w:hAnsi="Times New Roman" w:eastAsia="宋体" w:cs="Times New Roman"/>
          <w:color w:val="auto"/>
          <w:szCs w:val="21"/>
          <w:highlight w:val="none"/>
          <w:lang w:bidi="ar"/>
        </w:rPr>
        <w:t>（</w:t>
      </w:r>
      <w:r>
        <w:rPr>
          <w:rFonts w:ascii="Times New Roman" w:hAnsi="Times New Roman" w:eastAsia="宋体" w:cs="Times New Roman"/>
          <w:color w:val="auto"/>
          <w:szCs w:val="21"/>
          <w:highlight w:val="none"/>
          <w:lang w:bidi="ar"/>
        </w:rPr>
        <w:t>2017年修订</w:t>
      </w:r>
      <w:r>
        <w:rPr>
          <w:rFonts w:hint="eastAsia" w:ascii="Times New Roman" w:hAnsi="Times New Roman" w:eastAsia="宋体" w:cs="Times New Roman"/>
          <w:color w:val="auto"/>
          <w:szCs w:val="21"/>
          <w:highlight w:val="none"/>
          <w:lang w:bidi="ar"/>
        </w:rPr>
        <w:t>）</w:t>
      </w:r>
      <w:r>
        <w:rPr>
          <w:rFonts w:ascii="Times New Roman" w:hAnsi="Times New Roman" w:eastAsia="宋体" w:cs="Times New Roman"/>
          <w:color w:val="auto"/>
          <w:szCs w:val="21"/>
          <w:highlight w:val="none"/>
          <w:lang w:bidi="ar"/>
        </w:rPr>
        <w:t>》《</w:t>
      </w:r>
      <w:r>
        <w:rPr>
          <w:rFonts w:hint="eastAsia" w:ascii="Times New Roman" w:hAnsi="Times New Roman" w:eastAsia="宋体" w:cs="Times New Roman"/>
          <w:color w:val="auto"/>
          <w:szCs w:val="21"/>
          <w:highlight w:val="none"/>
        </w:rPr>
        <w:t>中华人民共和国噪声污染防治法</w:t>
      </w:r>
      <w:r>
        <w:rPr>
          <w:rFonts w:ascii="Times New Roman" w:hAnsi="Times New Roman" w:eastAsia="宋体" w:cs="Times New Roman"/>
          <w:color w:val="auto"/>
          <w:szCs w:val="21"/>
          <w:highlight w:val="none"/>
          <w:lang w:bidi="ar"/>
        </w:rPr>
        <w:t>》《中华人民共和国固体废物污染环境防治法</w:t>
      </w:r>
      <w:r>
        <w:rPr>
          <w:rFonts w:hint="eastAsia" w:ascii="Times New Roman" w:hAnsi="Times New Roman" w:eastAsia="宋体" w:cs="Times New Roman"/>
          <w:color w:val="auto"/>
          <w:szCs w:val="21"/>
          <w:highlight w:val="none"/>
          <w:lang w:bidi="ar"/>
        </w:rPr>
        <w:t>（</w:t>
      </w:r>
      <w:r>
        <w:rPr>
          <w:rFonts w:ascii="Times New Roman" w:hAnsi="Times New Roman" w:eastAsia="宋体" w:cs="Times New Roman"/>
          <w:color w:val="auto"/>
          <w:szCs w:val="21"/>
          <w:highlight w:val="none"/>
          <w:lang w:bidi="ar"/>
        </w:rPr>
        <w:t>2020 年修订</w:t>
      </w:r>
      <w:r>
        <w:rPr>
          <w:rFonts w:hint="eastAsia" w:ascii="Times New Roman" w:hAnsi="Times New Roman" w:eastAsia="宋体" w:cs="Times New Roman"/>
          <w:color w:val="auto"/>
          <w:szCs w:val="21"/>
          <w:highlight w:val="none"/>
          <w:lang w:bidi="ar"/>
        </w:rPr>
        <w:t>）</w:t>
      </w:r>
      <w:r>
        <w:rPr>
          <w:rFonts w:ascii="Times New Roman" w:hAnsi="Times New Roman" w:eastAsia="宋体" w:cs="Times New Roman"/>
          <w:color w:val="auto"/>
          <w:szCs w:val="21"/>
          <w:highlight w:val="none"/>
          <w:lang w:bidi="ar"/>
        </w:rPr>
        <w:t>》《建设项目环境保护管理条例》</w:t>
      </w:r>
      <w:r>
        <w:rPr>
          <w:rFonts w:hint="eastAsia" w:ascii="Times New Roman" w:hAnsi="Times New Roman" w:eastAsia="宋体" w:cs="Times New Roman"/>
          <w:color w:val="auto"/>
          <w:szCs w:val="21"/>
          <w:highlight w:val="none"/>
          <w:lang w:bidi="ar"/>
        </w:rPr>
        <w:t>（</w:t>
      </w:r>
      <w:r>
        <w:rPr>
          <w:rFonts w:ascii="Times New Roman" w:hAnsi="Times New Roman" w:eastAsia="宋体" w:cs="Times New Roman"/>
          <w:color w:val="auto"/>
          <w:szCs w:val="21"/>
          <w:highlight w:val="none"/>
          <w:lang w:bidi="ar"/>
        </w:rPr>
        <w:t>国务院令第 682 号</w:t>
      </w:r>
      <w:r>
        <w:rPr>
          <w:rFonts w:hint="eastAsia" w:ascii="Times New Roman" w:hAnsi="Times New Roman" w:eastAsia="宋体" w:cs="Times New Roman"/>
          <w:color w:val="auto"/>
          <w:szCs w:val="21"/>
          <w:highlight w:val="none"/>
          <w:lang w:bidi="ar"/>
        </w:rPr>
        <w:t>）</w:t>
      </w:r>
      <w:r>
        <w:rPr>
          <w:rFonts w:ascii="Times New Roman" w:hAnsi="Times New Roman" w:eastAsia="宋体" w:cs="Times New Roman"/>
          <w:color w:val="auto"/>
          <w:szCs w:val="21"/>
          <w:highlight w:val="none"/>
          <w:lang w:bidi="ar"/>
        </w:rPr>
        <w:t>《中华人民共和国野生植物保护条例</w:t>
      </w:r>
      <w:r>
        <w:rPr>
          <w:rFonts w:hint="eastAsia" w:ascii="Times New Roman" w:hAnsi="Times New Roman" w:eastAsia="宋体" w:cs="Times New Roman"/>
          <w:color w:val="auto"/>
          <w:szCs w:val="21"/>
          <w:highlight w:val="none"/>
          <w:lang w:bidi="ar"/>
        </w:rPr>
        <w:t>（</w:t>
      </w:r>
      <w:r>
        <w:rPr>
          <w:rFonts w:ascii="Times New Roman" w:hAnsi="Times New Roman" w:eastAsia="宋体" w:cs="Times New Roman"/>
          <w:color w:val="auto"/>
          <w:szCs w:val="21"/>
          <w:highlight w:val="none"/>
          <w:lang w:bidi="ar"/>
        </w:rPr>
        <w:t>2017年修订</w:t>
      </w:r>
      <w:r>
        <w:rPr>
          <w:rFonts w:hint="eastAsia" w:ascii="Times New Roman" w:hAnsi="Times New Roman" w:eastAsia="宋体" w:cs="Times New Roman"/>
          <w:color w:val="auto"/>
          <w:szCs w:val="21"/>
          <w:highlight w:val="none"/>
          <w:lang w:bidi="ar"/>
        </w:rPr>
        <w:t>）</w:t>
      </w:r>
      <w:r>
        <w:rPr>
          <w:rFonts w:ascii="Times New Roman" w:hAnsi="Times New Roman" w:eastAsia="宋体" w:cs="Times New Roman"/>
          <w:color w:val="auto"/>
          <w:szCs w:val="21"/>
          <w:highlight w:val="none"/>
          <w:lang w:bidi="ar"/>
        </w:rPr>
        <w:t>》等相关法律法规的宣传和教育。</w:t>
      </w:r>
    </w:p>
    <w:p w14:paraId="6B204D83">
      <w:pPr>
        <w:keepNext w:val="0"/>
        <w:keepLines w:val="0"/>
        <w:pageBreakBefore w:val="0"/>
        <w:widowControl/>
        <w:kinsoku/>
        <w:wordWrap/>
        <w:overflowPunct/>
        <w:topLinePunct w:val="0"/>
        <w:autoSpaceDE/>
        <w:bidi w:val="0"/>
        <w:adjustRightInd/>
        <w:snapToGrid/>
        <w:spacing w:line="360" w:lineRule="auto"/>
        <w:ind w:left="0" w:leftChars="0" w:firstLine="480" w:firstLineChars="200"/>
        <w:jc w:val="left"/>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lang w:bidi="ar"/>
        </w:rPr>
        <w:t>——印制</w:t>
      </w:r>
      <w:r>
        <w:rPr>
          <w:rFonts w:hint="eastAsia" w:ascii="Times New Roman" w:hAnsi="Times New Roman" w:eastAsia="宋体" w:cs="Times New Roman"/>
          <w:color w:val="auto"/>
          <w:szCs w:val="21"/>
          <w:highlight w:val="none"/>
          <w:lang w:bidi="ar"/>
        </w:rPr>
        <w:t>机场</w:t>
      </w:r>
      <w:r>
        <w:rPr>
          <w:rFonts w:ascii="Times New Roman" w:hAnsi="Times New Roman" w:eastAsia="宋体" w:cs="Times New Roman"/>
          <w:color w:val="auto"/>
          <w:szCs w:val="21"/>
          <w:highlight w:val="none"/>
          <w:lang w:bidi="ar"/>
        </w:rPr>
        <w:t>周边分布的国家重点保护野生动物以及具有重要生态功能的本土植物的野外鉴定手册，并分发到工作人员手中。手册中配以彩色图片和简洁的文字说明，突出对于这些物种的保护方法和保护的重要性。</w:t>
      </w:r>
    </w:p>
    <w:p w14:paraId="7370F445">
      <w:pPr>
        <w:keepNext w:val="0"/>
        <w:keepLines w:val="0"/>
        <w:pageBreakBefore w:val="0"/>
        <w:widowControl/>
        <w:kinsoku/>
        <w:wordWrap/>
        <w:overflowPunct/>
        <w:topLinePunct w:val="0"/>
        <w:autoSpaceDE/>
        <w:bidi w:val="0"/>
        <w:adjustRightInd/>
        <w:snapToGrid/>
        <w:spacing w:line="360" w:lineRule="auto"/>
        <w:ind w:left="0" w:leftChars="0" w:firstLine="480" w:firstLineChars="200"/>
        <w:jc w:val="left"/>
        <w:textAlignment w:val="auto"/>
        <w:rPr>
          <w:rFonts w:ascii="Times New Roman" w:hAnsi="Times New Roman" w:eastAsia="宋体" w:cs="Times New Roman"/>
          <w:color w:val="auto"/>
          <w:szCs w:val="21"/>
          <w:highlight w:val="none"/>
          <w:lang w:bidi="ar"/>
        </w:rPr>
      </w:pPr>
      <w:r>
        <w:rPr>
          <w:rFonts w:ascii="Times New Roman" w:hAnsi="Times New Roman" w:eastAsia="宋体" w:cs="Times New Roman"/>
          <w:color w:val="auto"/>
          <w:szCs w:val="21"/>
          <w:highlight w:val="none"/>
          <w:lang w:bidi="ar"/>
        </w:rPr>
        <w:t>——对项目工作人员和施工人员开展相关动植物辨认和生态保护措施方面的短期培训工作，通过培训详细介绍如何最大限度减少自然植被的丧失；以及施工作业中对于环境保护的一些注意事项等。</w:t>
      </w:r>
    </w:p>
    <w:p w14:paraId="7EC71D40">
      <w:pPr>
        <w:keepNext w:val="0"/>
        <w:keepLines w:val="0"/>
        <w:pageBreakBefore w:val="0"/>
        <w:widowControl/>
        <w:kinsoku/>
        <w:wordWrap/>
        <w:overflowPunct/>
        <w:topLinePunct w:val="0"/>
        <w:autoSpaceDE/>
        <w:bidi w:val="0"/>
        <w:adjustRightInd/>
        <w:snapToGrid/>
        <w:spacing w:line="360" w:lineRule="auto"/>
        <w:ind w:left="0" w:leftChars="0" w:firstLine="480" w:firstLineChars="200"/>
        <w:jc w:val="both"/>
        <w:textAlignment w:val="auto"/>
        <w:rPr>
          <w:rFonts w:hint="eastAsia" w:cs="Times New Roman"/>
          <w:bCs/>
          <w:color w:val="auto"/>
          <w:szCs w:val="22"/>
          <w:highlight w:val="none"/>
          <w:lang w:val="zh-CN"/>
        </w:rPr>
      </w:pPr>
      <w:r>
        <w:rPr>
          <w:rFonts w:hint="eastAsia" w:cs="Times New Roman"/>
          <w:bCs/>
          <w:color w:val="auto"/>
          <w:szCs w:val="22"/>
          <w:highlight w:val="none"/>
          <w:lang w:val="zh-CN"/>
        </w:rPr>
        <w:t>（</w:t>
      </w:r>
      <w:r>
        <w:rPr>
          <w:rFonts w:hint="eastAsia" w:cs="Times New Roman"/>
          <w:bCs/>
          <w:color w:val="auto"/>
          <w:szCs w:val="22"/>
          <w:highlight w:val="none"/>
          <w:lang w:val="en-US" w:eastAsia="zh-CN"/>
        </w:rPr>
        <w:t>10</w:t>
      </w:r>
      <w:r>
        <w:rPr>
          <w:rFonts w:hint="eastAsia" w:cs="Times New Roman"/>
          <w:bCs/>
          <w:color w:val="auto"/>
          <w:szCs w:val="22"/>
          <w:highlight w:val="none"/>
          <w:lang w:val="zh-CN"/>
        </w:rPr>
        <w:t>）水土流失</w:t>
      </w:r>
      <w:r>
        <w:rPr>
          <w:rFonts w:hint="eastAsia" w:cs="Times New Roman"/>
          <w:bCs/>
          <w:color w:val="auto"/>
          <w:szCs w:val="22"/>
          <w:highlight w:val="none"/>
          <w:lang w:val="en-US" w:eastAsia="zh-CN"/>
        </w:rPr>
        <w:t>防治</w:t>
      </w:r>
      <w:r>
        <w:rPr>
          <w:rFonts w:hint="eastAsia" w:cs="Times New Roman"/>
          <w:bCs/>
          <w:color w:val="auto"/>
          <w:szCs w:val="22"/>
          <w:highlight w:val="none"/>
          <w:lang w:val="zh-CN"/>
        </w:rPr>
        <w:t>措施</w:t>
      </w:r>
    </w:p>
    <w:p w14:paraId="5025AB16">
      <w:pPr>
        <w:keepNext w:val="0"/>
        <w:keepLines w:val="0"/>
        <w:pageBreakBefore w:val="0"/>
        <w:widowControl/>
        <w:kinsoku/>
        <w:wordWrap/>
        <w:overflowPunct/>
        <w:topLinePunct w:val="0"/>
        <w:autoSpaceDE/>
        <w:bidi w:val="0"/>
        <w:adjustRightInd/>
        <w:snapToGrid/>
        <w:spacing w:line="360" w:lineRule="auto"/>
        <w:ind w:left="0" w:leftChars="0" w:firstLine="480" w:firstLineChars="200"/>
        <w:jc w:val="both"/>
        <w:textAlignment w:val="auto"/>
        <w:rPr>
          <w:rFonts w:ascii="Times New Roman" w:hAnsi="Times New Roman" w:eastAsia="宋体" w:cs="Times New Roman"/>
          <w:bCs/>
          <w:color w:val="auto"/>
          <w:szCs w:val="22"/>
          <w:highlight w:val="none"/>
          <w:lang w:val="zh-CN"/>
        </w:rPr>
      </w:pPr>
      <w:r>
        <w:rPr>
          <w:rFonts w:hint="eastAsia" w:cs="Times New Roman"/>
          <w:bCs/>
          <w:color w:val="auto"/>
          <w:szCs w:val="22"/>
          <w:highlight w:val="none"/>
          <w:lang w:val="zh-CN"/>
        </w:rPr>
        <w:t>本项目</w:t>
      </w:r>
      <w:r>
        <w:rPr>
          <w:rFonts w:ascii="Times New Roman" w:hAnsi="Times New Roman" w:eastAsia="宋体" w:cs="Times New Roman"/>
          <w:bCs/>
          <w:color w:val="auto"/>
          <w:szCs w:val="22"/>
          <w:highlight w:val="none"/>
          <w:lang w:val="zh-CN"/>
        </w:rPr>
        <w:t>水土流失防治措施布局以工程措施为先导，发挥其速效性和控制性，在重点地段布设工程措施的同时，加强</w:t>
      </w:r>
      <w:r>
        <w:rPr>
          <w:rFonts w:ascii="宋体" w:hAnsi="宋体" w:eastAsia="宋体" w:cs="Times New Roman"/>
          <w:bCs/>
          <w:color w:val="auto"/>
          <w:szCs w:val="22"/>
          <w:highlight w:val="none"/>
          <w:lang w:val="zh-CN"/>
        </w:rPr>
        <w:t>“</w:t>
      </w:r>
      <w:r>
        <w:rPr>
          <w:rFonts w:hint="eastAsia" w:ascii="宋体" w:hAnsi="宋体" w:eastAsia="宋体" w:cs="Times New Roman"/>
          <w:bCs/>
          <w:color w:val="auto"/>
          <w:szCs w:val="22"/>
          <w:highlight w:val="none"/>
          <w:lang w:val="zh-CN"/>
        </w:rPr>
        <w:t>线</w:t>
      </w:r>
      <w:r>
        <w:rPr>
          <w:rFonts w:ascii="宋体" w:hAnsi="宋体" w:eastAsia="宋体" w:cs="Times New Roman"/>
          <w:bCs/>
          <w:color w:val="auto"/>
          <w:szCs w:val="22"/>
          <w:highlight w:val="none"/>
          <w:lang w:val="zh-CN"/>
        </w:rPr>
        <w:t>”</w:t>
      </w:r>
      <w:r>
        <w:rPr>
          <w:rFonts w:hint="eastAsia" w:ascii="宋体" w:hAnsi="宋体" w:eastAsia="宋体" w:cs="Times New Roman"/>
          <w:bCs/>
          <w:color w:val="auto"/>
          <w:szCs w:val="22"/>
          <w:highlight w:val="none"/>
          <w:lang w:val="zh-CN"/>
        </w:rPr>
        <w:t>和</w:t>
      </w:r>
      <w:r>
        <w:rPr>
          <w:rFonts w:ascii="宋体" w:hAnsi="宋体" w:eastAsia="宋体" w:cs="Times New Roman"/>
          <w:bCs/>
          <w:color w:val="auto"/>
          <w:szCs w:val="22"/>
          <w:highlight w:val="none"/>
          <w:lang w:val="zh-CN"/>
        </w:rPr>
        <w:t>“</w:t>
      </w:r>
      <w:r>
        <w:rPr>
          <w:rFonts w:hint="eastAsia" w:ascii="宋体" w:hAnsi="宋体" w:eastAsia="宋体" w:cs="Times New Roman"/>
          <w:bCs/>
          <w:color w:val="auto"/>
          <w:szCs w:val="22"/>
          <w:highlight w:val="none"/>
          <w:lang w:val="zh-CN"/>
        </w:rPr>
        <w:t>面</w:t>
      </w:r>
      <w:r>
        <w:rPr>
          <w:rFonts w:ascii="宋体" w:hAnsi="宋体" w:eastAsia="宋体" w:cs="Times New Roman"/>
          <w:bCs/>
          <w:color w:val="auto"/>
          <w:szCs w:val="22"/>
          <w:highlight w:val="none"/>
          <w:lang w:val="zh-CN"/>
        </w:rPr>
        <w:t>”</w:t>
      </w:r>
      <w:r>
        <w:rPr>
          <w:rFonts w:ascii="Times New Roman" w:hAnsi="Times New Roman" w:eastAsia="宋体" w:cs="Times New Roman"/>
          <w:bCs/>
          <w:color w:val="auto"/>
          <w:szCs w:val="22"/>
          <w:highlight w:val="none"/>
          <w:lang w:val="zh-CN"/>
        </w:rPr>
        <w:t>上的林草建设，改善和恢复责任范围内的生态环境，充分发挥植物措施的</w:t>
      </w:r>
      <w:r>
        <w:rPr>
          <w:rFonts w:hint="eastAsia" w:cs="Times New Roman"/>
          <w:bCs/>
          <w:color w:val="auto"/>
          <w:szCs w:val="22"/>
          <w:highlight w:val="none"/>
          <w:lang w:val="zh-CN"/>
        </w:rPr>
        <w:t>有效性</w:t>
      </w:r>
      <w:r>
        <w:rPr>
          <w:rFonts w:ascii="Times New Roman" w:hAnsi="Times New Roman" w:eastAsia="宋体" w:cs="Times New Roman"/>
          <w:bCs/>
          <w:color w:val="auto"/>
          <w:szCs w:val="22"/>
          <w:highlight w:val="none"/>
          <w:lang w:val="zh-CN"/>
        </w:rPr>
        <w:t>和生态效应，努力实现水土流失的根本治理，使</w:t>
      </w:r>
      <w:r>
        <w:rPr>
          <w:rFonts w:hint="eastAsia" w:cs="Times New Roman"/>
          <w:bCs/>
          <w:color w:val="auto"/>
          <w:szCs w:val="22"/>
          <w:highlight w:val="none"/>
          <w:lang w:val="zh-CN"/>
        </w:rPr>
        <w:t>本项目</w:t>
      </w:r>
      <w:r>
        <w:rPr>
          <w:rFonts w:ascii="Times New Roman" w:hAnsi="Times New Roman" w:eastAsia="宋体" w:cs="Times New Roman"/>
          <w:bCs/>
          <w:color w:val="auto"/>
          <w:szCs w:val="22"/>
          <w:highlight w:val="none"/>
          <w:lang w:val="zh-CN"/>
        </w:rPr>
        <w:t>周边区域生态环境朝良性方向发展。</w:t>
      </w:r>
    </w:p>
    <w:p w14:paraId="49045635">
      <w:pPr>
        <w:keepNext w:val="0"/>
        <w:keepLines w:val="0"/>
        <w:pageBreakBefore w:val="0"/>
        <w:widowControl/>
        <w:kinsoku/>
        <w:wordWrap/>
        <w:overflowPunct/>
        <w:topLinePunct w:val="0"/>
        <w:autoSpaceDE/>
        <w:bidi w:val="0"/>
        <w:adjustRightInd/>
        <w:snapToGrid/>
        <w:spacing w:line="360" w:lineRule="auto"/>
        <w:ind w:left="0" w:leftChars="0" w:firstLine="496" w:firstLineChars="200"/>
        <w:jc w:val="left"/>
        <w:textAlignment w:val="auto"/>
        <w:rPr>
          <w:rFonts w:ascii="Times New Roman" w:hAnsi="Times New Roman" w:eastAsia="宋体" w:cs="Times New Roman"/>
          <w:b w:val="0"/>
          <w:bCs w:val="0"/>
          <w:color w:val="auto"/>
          <w:spacing w:val="4"/>
          <w:kern w:val="24"/>
          <w:szCs w:val="21"/>
          <w:highlight w:val="none"/>
        </w:rPr>
      </w:pPr>
      <w:r>
        <w:rPr>
          <w:rFonts w:hint="eastAsia" w:ascii="Times New Roman" w:hAnsi="Times New Roman" w:eastAsia="宋体" w:cs="Times New Roman"/>
          <w:b w:val="0"/>
          <w:bCs w:val="0"/>
          <w:color w:val="auto"/>
          <w:spacing w:val="4"/>
          <w:kern w:val="24"/>
          <w:szCs w:val="21"/>
          <w:highlight w:val="none"/>
        </w:rPr>
        <w:t>1）防护措施</w:t>
      </w:r>
    </w:p>
    <w:p w14:paraId="2F0F007B">
      <w:pPr>
        <w:keepNext w:val="0"/>
        <w:keepLines w:val="0"/>
        <w:pageBreakBefore w:val="0"/>
        <w:widowControl/>
        <w:kinsoku/>
        <w:wordWrap/>
        <w:overflowPunct/>
        <w:topLinePunct w:val="0"/>
        <w:autoSpaceDE/>
        <w:bidi w:val="0"/>
        <w:adjustRightInd/>
        <w:snapToGrid/>
        <w:spacing w:line="360" w:lineRule="auto"/>
        <w:ind w:left="0" w:leftChars="0" w:firstLine="496" w:firstLineChars="200"/>
        <w:jc w:val="left"/>
        <w:textAlignment w:val="auto"/>
        <w:rPr>
          <w:rFonts w:ascii="Times New Roman" w:hAnsi="Times New Roman" w:eastAsia="宋体" w:cs="Times New Roman"/>
          <w:color w:val="auto"/>
          <w:spacing w:val="4"/>
          <w:kern w:val="24"/>
          <w:szCs w:val="21"/>
          <w:highlight w:val="none"/>
        </w:rPr>
      </w:pPr>
      <w:r>
        <w:rPr>
          <w:rFonts w:hint="eastAsia" w:ascii="Times New Roman" w:hAnsi="Times New Roman" w:eastAsia="宋体" w:cs="Times New Roman"/>
          <w:color w:val="auto"/>
          <w:spacing w:val="4"/>
          <w:kern w:val="24"/>
          <w:szCs w:val="21"/>
          <w:highlight w:val="none"/>
        </w:rPr>
        <w:t>①对于工程建设，必须做好水土流失的预防工作，认真贯彻“谁造成水土流失，谁投资治理，谁造成新的危害，谁负责赔偿”和“治理与生产建设相结合”的原则。</w:t>
      </w:r>
    </w:p>
    <w:p w14:paraId="67FE10D8">
      <w:pPr>
        <w:keepNext w:val="0"/>
        <w:keepLines w:val="0"/>
        <w:pageBreakBefore w:val="0"/>
        <w:widowControl/>
        <w:kinsoku/>
        <w:wordWrap/>
        <w:overflowPunct/>
        <w:topLinePunct w:val="0"/>
        <w:autoSpaceDE/>
        <w:bidi w:val="0"/>
        <w:adjustRightInd/>
        <w:snapToGrid/>
        <w:spacing w:line="360" w:lineRule="auto"/>
        <w:ind w:left="0" w:leftChars="0" w:firstLine="496" w:firstLineChars="200"/>
        <w:jc w:val="left"/>
        <w:textAlignment w:val="auto"/>
        <w:rPr>
          <w:rFonts w:ascii="Times New Roman" w:hAnsi="Times New Roman" w:eastAsia="宋体" w:cs="Times New Roman"/>
          <w:color w:val="auto"/>
          <w:spacing w:val="4"/>
          <w:kern w:val="24"/>
          <w:szCs w:val="21"/>
          <w:highlight w:val="none"/>
        </w:rPr>
      </w:pPr>
      <w:r>
        <w:rPr>
          <w:rFonts w:hint="eastAsia" w:ascii="Times New Roman" w:hAnsi="Times New Roman" w:eastAsia="宋体" w:cs="Times New Roman"/>
          <w:color w:val="auto"/>
          <w:spacing w:val="4"/>
          <w:kern w:val="24"/>
          <w:szCs w:val="21"/>
          <w:highlight w:val="none"/>
        </w:rPr>
        <w:t>②加强水土保护法制宣传和水土保持执法管理，将其纳入依法办事的轨道上来，并对施工人员进行培训和教育，自觉保持水土，保护植被，宣传保护生态环境和防治荒漠化的重要性。</w:t>
      </w:r>
    </w:p>
    <w:p w14:paraId="2407EC49">
      <w:pPr>
        <w:keepNext w:val="0"/>
        <w:keepLines w:val="0"/>
        <w:pageBreakBefore w:val="0"/>
        <w:widowControl/>
        <w:kinsoku/>
        <w:wordWrap/>
        <w:overflowPunct/>
        <w:topLinePunct w:val="0"/>
        <w:autoSpaceDE/>
        <w:bidi w:val="0"/>
        <w:adjustRightInd/>
        <w:snapToGrid/>
        <w:spacing w:line="360" w:lineRule="auto"/>
        <w:ind w:left="0" w:leftChars="0" w:firstLine="496" w:firstLineChars="200"/>
        <w:jc w:val="left"/>
        <w:textAlignment w:val="auto"/>
        <w:rPr>
          <w:rFonts w:ascii="Times New Roman" w:hAnsi="Times New Roman" w:eastAsia="宋体" w:cs="Times New Roman"/>
          <w:color w:val="auto"/>
          <w:spacing w:val="4"/>
          <w:kern w:val="24"/>
          <w:szCs w:val="21"/>
          <w:highlight w:val="none"/>
        </w:rPr>
      </w:pPr>
      <w:r>
        <w:rPr>
          <w:rFonts w:hint="eastAsia" w:ascii="Times New Roman" w:hAnsi="Times New Roman" w:eastAsia="宋体" w:cs="Times New Roman"/>
          <w:color w:val="auto"/>
          <w:spacing w:val="4"/>
          <w:kern w:val="24"/>
          <w:szCs w:val="21"/>
          <w:highlight w:val="none"/>
        </w:rPr>
        <w:t>③工程建设主管部门，应严格要求施工单位，对技术文件中的有关环境保护条款认真执行，全面落实，确保各类环保措施在工程施工中得到体现，保证同时设计，同时施工，同时验收的“三同时”落到实处。</w:t>
      </w:r>
    </w:p>
    <w:p w14:paraId="4263D7E8">
      <w:pPr>
        <w:keepNext w:val="0"/>
        <w:keepLines w:val="0"/>
        <w:pageBreakBefore w:val="0"/>
        <w:widowControl/>
        <w:kinsoku/>
        <w:wordWrap/>
        <w:overflowPunct/>
        <w:topLinePunct w:val="0"/>
        <w:autoSpaceDE/>
        <w:bidi w:val="0"/>
        <w:adjustRightInd/>
        <w:snapToGrid/>
        <w:spacing w:line="360" w:lineRule="auto"/>
        <w:ind w:left="0" w:leftChars="0" w:firstLine="480" w:firstLineChars="200"/>
        <w:jc w:val="both"/>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拟建工程采取的永久占地生态环境保护措施可行。</w:t>
      </w:r>
    </w:p>
    <w:p w14:paraId="5A194536">
      <w:pPr>
        <w:keepNext w:val="0"/>
        <w:keepLines w:val="0"/>
        <w:pageBreakBefore w:val="0"/>
        <w:widowControl/>
        <w:kinsoku/>
        <w:wordWrap/>
        <w:overflowPunct/>
        <w:topLinePunct w:val="0"/>
        <w:autoSpaceDE/>
        <w:autoSpaceDN/>
        <w:bidi w:val="0"/>
        <w:adjustRightInd/>
        <w:snapToGrid/>
        <w:spacing w:line="360" w:lineRule="auto"/>
        <w:ind w:left="0" w:leftChars="0" w:firstLine="496" w:firstLineChars="200"/>
        <w:jc w:val="left"/>
        <w:textAlignment w:val="auto"/>
        <w:rPr>
          <w:rFonts w:ascii="Times New Roman" w:hAnsi="Times New Roman" w:eastAsia="宋体" w:cs="Times New Roman"/>
          <w:b w:val="0"/>
          <w:bCs w:val="0"/>
          <w:color w:val="auto"/>
          <w:spacing w:val="4"/>
          <w:kern w:val="24"/>
          <w:szCs w:val="21"/>
          <w:highlight w:val="none"/>
        </w:rPr>
      </w:pPr>
      <w:r>
        <w:rPr>
          <w:rFonts w:hint="eastAsia" w:ascii="Times New Roman" w:hAnsi="Times New Roman" w:eastAsia="宋体" w:cs="Times New Roman"/>
          <w:b w:val="0"/>
          <w:bCs w:val="0"/>
          <w:color w:val="auto"/>
          <w:spacing w:val="4"/>
          <w:kern w:val="24"/>
          <w:szCs w:val="21"/>
          <w:highlight w:val="none"/>
        </w:rPr>
        <w:t>2）管理措施</w:t>
      </w:r>
    </w:p>
    <w:p w14:paraId="44324B72">
      <w:pPr>
        <w:keepNext w:val="0"/>
        <w:keepLines w:val="0"/>
        <w:pageBreakBefore w:val="0"/>
        <w:widowControl/>
        <w:kinsoku/>
        <w:wordWrap/>
        <w:overflowPunct/>
        <w:topLinePunct w:val="0"/>
        <w:autoSpaceDE/>
        <w:autoSpaceDN/>
        <w:bidi w:val="0"/>
        <w:adjustRightInd/>
        <w:snapToGrid/>
        <w:spacing w:line="360" w:lineRule="auto"/>
        <w:ind w:left="0" w:leftChars="0" w:firstLine="496" w:firstLineChars="200"/>
        <w:jc w:val="left"/>
        <w:textAlignment w:val="auto"/>
        <w:rPr>
          <w:rFonts w:ascii="Times New Roman" w:hAnsi="Times New Roman" w:eastAsia="宋体" w:cs="Times New Roman"/>
          <w:color w:val="auto"/>
          <w:spacing w:val="4"/>
          <w:kern w:val="24"/>
          <w:szCs w:val="21"/>
          <w:highlight w:val="none"/>
        </w:rPr>
      </w:pPr>
      <w:r>
        <w:rPr>
          <w:rFonts w:hint="eastAsia" w:ascii="Times New Roman" w:hAnsi="Times New Roman" w:eastAsia="宋体" w:cs="Times New Roman"/>
          <w:color w:val="auto"/>
          <w:spacing w:val="4"/>
          <w:kern w:val="24"/>
          <w:szCs w:val="21"/>
          <w:highlight w:val="none"/>
        </w:rPr>
        <w:t>①施工期间应划定施工活动范围，严格控制和管理运输车辆及重型机械的运行范围和线路，不得离开运输道路随意行驶。在施工作业区两侧拉彩条旗以示明施工边界，以避免增加对地表的扰动和破坏。</w:t>
      </w:r>
    </w:p>
    <w:p w14:paraId="4C60CF70">
      <w:pPr>
        <w:keepNext w:val="0"/>
        <w:keepLines w:val="0"/>
        <w:pageBreakBefore w:val="0"/>
        <w:widowControl/>
        <w:kinsoku/>
        <w:wordWrap/>
        <w:overflowPunct/>
        <w:topLinePunct w:val="0"/>
        <w:autoSpaceDE/>
        <w:autoSpaceDN/>
        <w:bidi w:val="0"/>
        <w:adjustRightInd/>
        <w:snapToGrid/>
        <w:spacing w:line="360" w:lineRule="auto"/>
        <w:ind w:left="0" w:leftChars="0" w:firstLine="496" w:firstLineChars="200"/>
        <w:jc w:val="left"/>
        <w:textAlignment w:val="auto"/>
        <w:rPr>
          <w:rFonts w:ascii="Times New Roman" w:hAnsi="Times New Roman" w:eastAsia="宋体" w:cs="Times New Roman"/>
          <w:color w:val="auto"/>
          <w:spacing w:val="4"/>
          <w:kern w:val="24"/>
          <w:szCs w:val="21"/>
          <w:highlight w:val="none"/>
        </w:rPr>
      </w:pPr>
      <w:r>
        <w:rPr>
          <w:rFonts w:hint="eastAsia" w:ascii="Times New Roman" w:hAnsi="Times New Roman" w:eastAsia="宋体" w:cs="Times New Roman"/>
          <w:color w:val="auto"/>
          <w:spacing w:val="4"/>
          <w:kern w:val="24"/>
          <w:szCs w:val="21"/>
          <w:highlight w:val="none"/>
        </w:rPr>
        <w:t>②根据工程需要严格限定占地面积。</w:t>
      </w:r>
    </w:p>
    <w:p w14:paraId="522E2475">
      <w:pPr>
        <w:keepNext w:val="0"/>
        <w:keepLines w:val="0"/>
        <w:pageBreakBefore w:val="0"/>
        <w:widowControl/>
        <w:kinsoku/>
        <w:wordWrap/>
        <w:overflowPunct/>
        <w:topLinePunct w:val="0"/>
        <w:autoSpaceDE/>
        <w:autoSpaceDN/>
        <w:bidi w:val="0"/>
        <w:adjustRightInd/>
        <w:snapToGrid/>
        <w:spacing w:line="360" w:lineRule="auto"/>
        <w:ind w:left="0" w:leftChars="0" w:firstLine="496" w:firstLineChars="200"/>
        <w:jc w:val="left"/>
        <w:textAlignment w:val="auto"/>
        <w:rPr>
          <w:rFonts w:hint="eastAsia" w:cs="Times New Roman"/>
          <w:color w:val="auto"/>
          <w:spacing w:val="4"/>
          <w:kern w:val="24"/>
          <w:szCs w:val="21"/>
          <w:highlight w:val="none"/>
          <w:lang w:eastAsia="zh-CN"/>
        </w:rPr>
      </w:pPr>
      <w:r>
        <w:rPr>
          <w:rFonts w:hint="eastAsia" w:ascii="Times New Roman" w:hAnsi="Times New Roman" w:eastAsia="宋体" w:cs="Times New Roman"/>
          <w:color w:val="auto"/>
          <w:spacing w:val="4"/>
          <w:kern w:val="24"/>
          <w:szCs w:val="21"/>
          <w:highlight w:val="none"/>
        </w:rPr>
        <w:t>③严禁施工材料乱堆乱放，在施工占地范围内划定适宜的堆料场，以防对植物破坏范围的扩大</w:t>
      </w:r>
      <w:r>
        <w:rPr>
          <w:rFonts w:hint="eastAsia" w:cs="Times New Roman"/>
          <w:color w:val="auto"/>
          <w:spacing w:val="4"/>
          <w:kern w:val="24"/>
          <w:szCs w:val="21"/>
          <w:highlight w:val="none"/>
          <w:lang w:eastAsia="zh-CN"/>
        </w:rPr>
        <w:t>。</w:t>
      </w:r>
    </w:p>
    <w:p w14:paraId="23706B74">
      <w:pPr>
        <w:keepNext w:val="0"/>
        <w:keepLines w:val="0"/>
        <w:pageBreakBefore w:val="0"/>
        <w:widowControl/>
        <w:kinsoku/>
        <w:wordWrap/>
        <w:overflowPunct/>
        <w:topLinePunct w:val="0"/>
        <w:autoSpaceDE/>
        <w:autoSpaceDN/>
        <w:bidi w:val="0"/>
        <w:adjustRightInd/>
        <w:snapToGrid w:val="0"/>
        <w:spacing w:line="360" w:lineRule="auto"/>
        <w:ind w:firstLine="496" w:firstLineChars="200"/>
        <w:jc w:val="left"/>
        <w:textAlignment w:val="auto"/>
        <w:rPr>
          <w:rFonts w:ascii="Times New Roman" w:hAnsi="Times New Roman" w:eastAsia="宋体" w:cs="Times New Roman"/>
          <w:b w:val="0"/>
          <w:bCs w:val="0"/>
          <w:color w:val="auto"/>
          <w:spacing w:val="4"/>
          <w:kern w:val="24"/>
          <w:szCs w:val="21"/>
          <w:highlight w:val="none"/>
        </w:rPr>
      </w:pPr>
      <w:r>
        <w:rPr>
          <w:rFonts w:hint="eastAsia" w:ascii="Times New Roman" w:hAnsi="Times New Roman" w:eastAsia="宋体" w:cs="Times New Roman"/>
          <w:b w:val="0"/>
          <w:bCs w:val="0"/>
          <w:color w:val="auto"/>
          <w:spacing w:val="4"/>
          <w:kern w:val="24"/>
          <w:szCs w:val="21"/>
          <w:highlight w:val="none"/>
        </w:rPr>
        <w:t>3）</w:t>
      </w:r>
      <w:r>
        <w:rPr>
          <w:rFonts w:hint="eastAsia" w:cs="Times New Roman"/>
          <w:b w:val="0"/>
          <w:bCs w:val="0"/>
          <w:color w:val="auto"/>
          <w:spacing w:val="4"/>
          <w:kern w:val="24"/>
          <w:szCs w:val="21"/>
          <w:highlight w:val="none"/>
          <w:lang w:eastAsia="zh-CN"/>
        </w:rPr>
        <w:t>各项</w:t>
      </w:r>
      <w:r>
        <w:rPr>
          <w:rFonts w:hint="eastAsia" w:ascii="Times New Roman" w:hAnsi="Times New Roman" w:eastAsia="宋体" w:cs="Times New Roman"/>
          <w:b w:val="0"/>
          <w:bCs w:val="0"/>
          <w:color w:val="auto"/>
          <w:spacing w:val="4"/>
          <w:kern w:val="24"/>
          <w:szCs w:val="21"/>
          <w:highlight w:val="none"/>
        </w:rPr>
        <w:t>措施实施进度及管理</w:t>
      </w:r>
    </w:p>
    <w:p w14:paraId="0A8C2B4E">
      <w:pPr>
        <w:keepNext w:val="0"/>
        <w:keepLines w:val="0"/>
        <w:pageBreakBefore w:val="0"/>
        <w:widowControl/>
        <w:kinsoku/>
        <w:wordWrap/>
        <w:overflowPunct/>
        <w:topLinePunct w:val="0"/>
        <w:autoSpaceDE/>
        <w:autoSpaceDN/>
        <w:bidi w:val="0"/>
        <w:adjustRightInd/>
        <w:snapToGrid w:val="0"/>
        <w:spacing w:line="360" w:lineRule="auto"/>
        <w:ind w:firstLine="496" w:firstLineChars="200"/>
        <w:jc w:val="left"/>
        <w:textAlignment w:val="auto"/>
        <w:rPr>
          <w:rFonts w:ascii="Times New Roman" w:hAnsi="Times New Roman" w:eastAsia="宋体" w:cs="Times New Roman"/>
          <w:b w:val="0"/>
          <w:bCs w:val="0"/>
          <w:color w:val="auto"/>
          <w:spacing w:val="4"/>
          <w:kern w:val="24"/>
          <w:szCs w:val="21"/>
          <w:highlight w:val="none"/>
        </w:rPr>
      </w:pPr>
      <w:r>
        <w:rPr>
          <w:rFonts w:hint="eastAsia" w:cs="Times New Roman"/>
          <w:b w:val="0"/>
          <w:bCs w:val="0"/>
          <w:color w:val="auto"/>
          <w:spacing w:val="4"/>
          <w:kern w:val="24"/>
          <w:szCs w:val="21"/>
          <w:highlight w:val="none"/>
          <w:lang w:eastAsia="zh-CN"/>
        </w:rPr>
        <w:t>水土流失防治</w:t>
      </w:r>
      <w:r>
        <w:rPr>
          <w:rFonts w:hint="eastAsia" w:ascii="Times New Roman" w:hAnsi="Times New Roman" w:eastAsia="宋体" w:cs="Times New Roman"/>
          <w:b w:val="0"/>
          <w:bCs w:val="0"/>
          <w:color w:val="auto"/>
          <w:spacing w:val="4"/>
          <w:kern w:val="24"/>
          <w:szCs w:val="21"/>
          <w:highlight w:val="none"/>
        </w:rPr>
        <w:t>措施可按工程</w:t>
      </w:r>
      <w:r>
        <w:rPr>
          <w:rFonts w:hint="eastAsia" w:cs="Times New Roman"/>
          <w:b w:val="0"/>
          <w:bCs w:val="0"/>
          <w:color w:val="auto"/>
          <w:spacing w:val="4"/>
          <w:kern w:val="24"/>
          <w:szCs w:val="21"/>
          <w:highlight w:val="none"/>
          <w:lang w:eastAsia="zh-CN"/>
        </w:rPr>
        <w:t>预定</w:t>
      </w:r>
      <w:r>
        <w:rPr>
          <w:rFonts w:hint="eastAsia" w:ascii="Times New Roman" w:hAnsi="Times New Roman" w:eastAsia="宋体" w:cs="Times New Roman"/>
          <w:b w:val="0"/>
          <w:bCs w:val="0"/>
          <w:color w:val="auto"/>
          <w:spacing w:val="4"/>
          <w:kern w:val="24"/>
          <w:szCs w:val="21"/>
          <w:highlight w:val="none"/>
        </w:rPr>
        <w:t>进度进行。</w:t>
      </w:r>
    </w:p>
    <w:p w14:paraId="263DF934">
      <w:pPr>
        <w:keepNext w:val="0"/>
        <w:keepLines w:val="0"/>
        <w:pageBreakBefore w:val="0"/>
        <w:widowControl/>
        <w:kinsoku/>
        <w:wordWrap/>
        <w:overflowPunct/>
        <w:topLinePunct w:val="0"/>
        <w:autoSpaceDE/>
        <w:autoSpaceDN/>
        <w:bidi w:val="0"/>
        <w:adjustRightInd/>
        <w:snapToGrid w:val="0"/>
        <w:spacing w:line="360" w:lineRule="auto"/>
        <w:ind w:firstLine="496" w:firstLineChars="200"/>
        <w:jc w:val="left"/>
        <w:textAlignment w:val="auto"/>
        <w:rPr>
          <w:rFonts w:ascii="Arial" w:hAnsi="Arial" w:eastAsia="宋体" w:cs="Arial"/>
          <w:b w:val="0"/>
          <w:bCs w:val="0"/>
          <w:color w:val="auto"/>
          <w:kern w:val="2"/>
          <w:sz w:val="21"/>
          <w:szCs w:val="24"/>
          <w:highlight w:val="none"/>
          <w:lang w:val="zh-CN" w:eastAsia="zh-CN" w:bidi="ar-SA"/>
        </w:rPr>
      </w:pPr>
      <w:r>
        <w:rPr>
          <w:rFonts w:hint="eastAsia" w:ascii="Times New Roman" w:hAnsi="Times New Roman" w:eastAsia="宋体" w:cs="Times New Roman"/>
          <w:b w:val="0"/>
          <w:bCs w:val="0"/>
          <w:color w:val="auto"/>
          <w:spacing w:val="4"/>
          <w:kern w:val="24"/>
          <w:szCs w:val="21"/>
          <w:highlight w:val="none"/>
        </w:rPr>
        <w:t>实施情况在工程环境保护设施竣工验收时进行检查，在运营期环境监测时，对实施效果进行监测，并及时上报主管部门。</w:t>
      </w:r>
    </w:p>
    <w:p w14:paraId="3C95096B">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val="en-US" w:eastAsia="zh-CN"/>
        </w:rPr>
        <w:t>综上，</w:t>
      </w:r>
      <w:r>
        <w:rPr>
          <w:rFonts w:hint="eastAsia" w:cs="Times New Roman"/>
          <w:color w:val="auto"/>
          <w:szCs w:val="21"/>
          <w:highlight w:val="none"/>
          <w:lang w:eastAsia="zh-CN"/>
        </w:rPr>
        <w:t>项目</w:t>
      </w:r>
      <w:r>
        <w:rPr>
          <w:rFonts w:hint="eastAsia" w:cs="Times New Roman"/>
          <w:color w:val="auto"/>
          <w:szCs w:val="21"/>
          <w:highlight w:val="none"/>
          <w:lang w:val="en-US" w:eastAsia="zh-CN"/>
        </w:rPr>
        <w:t>施工期生态影响减缓措施</w:t>
      </w:r>
      <w:r>
        <w:rPr>
          <w:rFonts w:hint="eastAsia" w:cs="Times New Roman"/>
          <w:color w:val="auto"/>
          <w:szCs w:val="21"/>
          <w:highlight w:val="none"/>
          <w:lang w:eastAsia="zh-CN"/>
        </w:rPr>
        <w:t>可行。</w:t>
      </w:r>
    </w:p>
    <w:p w14:paraId="6C5E9061">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运营期生态影响减缓措施</w:t>
      </w:r>
    </w:p>
    <w:p w14:paraId="4334EF7C">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eastAsia="宋体"/>
          <w:color w:val="auto"/>
          <w:highlight w:val="none"/>
          <w:lang w:eastAsia="zh-CN"/>
        </w:rPr>
        <w:t>机场建成后，</w:t>
      </w:r>
      <w:r>
        <w:rPr>
          <w:rFonts w:ascii="Times New Roman" w:hAnsi="Times New Roman" w:eastAsia="宋体" w:cs="Times New Roman"/>
          <w:bCs/>
          <w:color w:val="auto"/>
          <w:szCs w:val="22"/>
          <w:highlight w:val="none"/>
          <w:lang w:val="zh-CN"/>
        </w:rPr>
        <w:t>结合当地自然特点，坚持</w:t>
      </w:r>
      <w:r>
        <w:rPr>
          <w:rFonts w:ascii="宋体" w:hAnsi="宋体" w:eastAsia="宋体" w:cs="Times New Roman"/>
          <w:bCs/>
          <w:color w:val="auto"/>
          <w:szCs w:val="22"/>
          <w:highlight w:val="none"/>
          <w:lang w:val="zh-CN"/>
        </w:rPr>
        <w:t>“</w:t>
      </w:r>
      <w:r>
        <w:rPr>
          <w:rFonts w:hint="eastAsia" w:ascii="宋体" w:hAnsi="宋体" w:eastAsia="宋体" w:cs="Times New Roman"/>
          <w:bCs/>
          <w:color w:val="auto"/>
          <w:szCs w:val="22"/>
          <w:highlight w:val="none"/>
          <w:lang w:val="zh-CN"/>
        </w:rPr>
        <w:t>适地适草</w:t>
      </w:r>
      <w:r>
        <w:rPr>
          <w:rFonts w:ascii="宋体" w:hAnsi="宋体" w:eastAsia="宋体" w:cs="Times New Roman"/>
          <w:bCs/>
          <w:color w:val="auto"/>
          <w:szCs w:val="22"/>
          <w:highlight w:val="none"/>
          <w:lang w:val="zh-CN"/>
        </w:rPr>
        <w:t>”</w:t>
      </w:r>
      <w:r>
        <w:rPr>
          <w:rFonts w:ascii="Times New Roman" w:hAnsi="Times New Roman" w:eastAsia="宋体" w:cs="Times New Roman"/>
          <w:bCs/>
          <w:color w:val="auto"/>
          <w:szCs w:val="22"/>
          <w:highlight w:val="none"/>
          <w:lang w:val="zh-CN"/>
        </w:rPr>
        <w:t>的原则，选择当地多年种植已适应环境的优良的草种，对机场场地进行绿化</w:t>
      </w:r>
      <w:r>
        <w:rPr>
          <w:rFonts w:ascii="Times New Roman" w:hAnsi="Times New Roman" w:eastAsia="宋体" w:cs="Times New Roman"/>
          <w:color w:val="auto"/>
          <w:szCs w:val="21"/>
          <w:highlight w:val="none"/>
        </w:rPr>
        <w:t>，可以美化环境、改善生态环境质量。结合机场区域的自然环境，选择适合当地气候、土壤条件的乡土植物，按照不同目的和机场不同区域的功能，做到点（各建筑单体附近的小块绿地）、线（各类交通道路两侧的林荫道、绿化带）、面（集中在航站区的大块绿地）相结合，精心配置，以达到良好的绿化效果。</w:t>
      </w:r>
    </w:p>
    <w:p w14:paraId="08DACE9F">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利用生态学的基本原理和方法，采用减少营巢、切断食物源、水源、干扰鸟类活动等方法，达到减少机场鸟类种类、数量和防范鸟撞的目的；加强机场飞行区草坪的管理，定期修剪，减少鸟类食源；要求机场制订全年鸟击防范工作计划，针对每个季节不同鸟种制定不同的驱鸟措施，禁止使用</w:t>
      </w:r>
      <w:r>
        <w:rPr>
          <w:rFonts w:hint="eastAsia" w:ascii="Times New Roman" w:hAnsi="Times New Roman" w:eastAsia="宋体" w:cs="Times New Roman"/>
          <w:color w:val="auto"/>
          <w:szCs w:val="21"/>
          <w:highlight w:val="none"/>
        </w:rPr>
        <w:t>诱鸟器、粘鸟网等捕杀鸟类的装置进行驱鸟，</w:t>
      </w:r>
      <w:r>
        <w:rPr>
          <w:rFonts w:ascii="Times New Roman" w:hAnsi="Times New Roman" w:eastAsia="宋体" w:cs="Times New Roman"/>
          <w:color w:val="auto"/>
          <w:szCs w:val="21"/>
          <w:highlight w:val="none"/>
        </w:rPr>
        <w:t>尤其要对春秋季节重点威胁类群做出明确的防范措施；加强驱鸟设备的及时更新维护；加强鸟种危害评估、鸟情预测预报等相关性研究。</w:t>
      </w:r>
    </w:p>
    <w:p w14:paraId="0FF3B6EB">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鸟类保护措施</w:t>
      </w:r>
    </w:p>
    <w:p w14:paraId="59250F8B">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施工期鸟类保护措施</w:t>
      </w:r>
    </w:p>
    <w:p w14:paraId="4172E9DB">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w:t>
      </w:r>
      <w:r>
        <w:rPr>
          <w:rFonts w:ascii="Times New Roman" w:hAnsi="Times New Roman" w:eastAsia="宋体" w:cs="Times New Roman"/>
          <w:color w:val="auto"/>
          <w:szCs w:val="21"/>
          <w:highlight w:val="none"/>
        </w:rPr>
        <w:t>施工单位应在施工前与当地的野生动物保护主管部门协商，协商最佳施工时间和施工方案，在可能的情况下聘请当地</w:t>
      </w:r>
      <w:r>
        <w:rPr>
          <w:rFonts w:hint="eastAsia" w:ascii="Times New Roman" w:hAnsi="Times New Roman" w:eastAsia="宋体" w:cs="Times New Roman"/>
          <w:color w:val="auto"/>
          <w:szCs w:val="21"/>
          <w:highlight w:val="none"/>
        </w:rPr>
        <w:t>生态环境</w:t>
      </w:r>
      <w:r>
        <w:rPr>
          <w:rFonts w:ascii="Times New Roman" w:hAnsi="Times New Roman" w:eastAsia="宋体" w:cs="Times New Roman"/>
          <w:color w:val="auto"/>
          <w:szCs w:val="21"/>
          <w:highlight w:val="none"/>
        </w:rPr>
        <w:t>部门和</w:t>
      </w:r>
      <w:r>
        <w:rPr>
          <w:rFonts w:hint="eastAsia" w:ascii="Times New Roman" w:hAnsi="Times New Roman" w:eastAsia="宋体" w:cs="Times New Roman"/>
          <w:color w:val="auto"/>
          <w:szCs w:val="21"/>
          <w:highlight w:val="none"/>
        </w:rPr>
        <w:t>林草</w:t>
      </w:r>
      <w:r>
        <w:rPr>
          <w:rFonts w:ascii="Times New Roman" w:hAnsi="Times New Roman" w:eastAsia="宋体" w:cs="Times New Roman"/>
          <w:color w:val="auto"/>
          <w:szCs w:val="21"/>
          <w:highlight w:val="none"/>
        </w:rPr>
        <w:t>部门的管理人员对施工进行监督，整个施工过程注意加强联系，汇报施工进度，主动接受主管部门的监督。</w:t>
      </w:r>
    </w:p>
    <w:p w14:paraId="4F4764EB">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（2）合理安排施工时间，尽量避免在繁殖季节施工，给在</w:t>
      </w:r>
      <w:r>
        <w:rPr>
          <w:rFonts w:hint="eastAsia" w:cs="Times New Roman"/>
          <w:color w:val="auto"/>
          <w:szCs w:val="21"/>
          <w:highlight w:val="none"/>
          <w:lang w:val="en-US" w:eastAsia="zh-CN"/>
        </w:rPr>
        <w:t>项目</w:t>
      </w:r>
      <w:r>
        <w:rPr>
          <w:rFonts w:hint="eastAsia" w:cs="Times New Roman"/>
          <w:color w:val="auto"/>
          <w:szCs w:val="21"/>
          <w:highlight w:val="none"/>
          <w:lang w:eastAsia="zh-CN"/>
        </w:rPr>
        <w:t>区</w:t>
      </w:r>
      <w:r>
        <w:rPr>
          <w:rFonts w:hint="eastAsia" w:ascii="Times New Roman" w:hAnsi="Times New Roman" w:eastAsia="宋体" w:cs="Times New Roman"/>
          <w:color w:val="auto"/>
          <w:szCs w:val="21"/>
          <w:highlight w:val="none"/>
        </w:rPr>
        <w:t>域附近繁殖的鸟类躲避、缓冲和适应的时间。</w:t>
      </w:r>
    </w:p>
    <w:p w14:paraId="0EE36CB1">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严格控制施工对植被的破坏，将对鸟类生境的破坏降到最低。根据项目占地情况严格按照明确规定的施工占用面积进行施工，严禁在施工区以外进行作业。对施工材料堆放、临时工棚等临时占地，随着施工结束</w:t>
      </w:r>
      <w:r>
        <w:rPr>
          <w:rFonts w:hint="eastAsia" w:cs="Times New Roman"/>
          <w:color w:val="auto"/>
          <w:szCs w:val="21"/>
          <w:highlight w:val="none"/>
          <w:lang w:eastAsia="zh-CN"/>
        </w:rPr>
        <w:t>进入</w:t>
      </w:r>
      <w:r>
        <w:rPr>
          <w:rFonts w:hint="eastAsia" w:ascii="Times New Roman" w:hAnsi="Times New Roman" w:eastAsia="宋体" w:cs="Times New Roman"/>
          <w:color w:val="auto"/>
          <w:szCs w:val="21"/>
          <w:highlight w:val="none"/>
        </w:rPr>
        <w:t>运营期要对临时占地区域进行植物植被的恢复。</w:t>
      </w:r>
    </w:p>
    <w:p w14:paraId="09A10D44">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（4）</w:t>
      </w:r>
      <w:r>
        <w:rPr>
          <w:rFonts w:ascii="Times New Roman" w:hAnsi="Times New Roman" w:eastAsia="宋体" w:cs="Times New Roman"/>
          <w:color w:val="auto"/>
          <w:szCs w:val="21"/>
          <w:highlight w:val="none"/>
        </w:rPr>
        <w:t>在评价范围内进行工程环境监理，确定重点监理对象，施工单位</w:t>
      </w:r>
      <w:r>
        <w:rPr>
          <w:rFonts w:hint="eastAsia" w:ascii="Times New Roman" w:hAnsi="Times New Roman" w:eastAsia="宋体" w:cs="Times New Roman"/>
          <w:color w:val="auto"/>
          <w:szCs w:val="21"/>
          <w:highlight w:val="none"/>
        </w:rPr>
        <w:t>可</w:t>
      </w:r>
      <w:r>
        <w:rPr>
          <w:rFonts w:ascii="Times New Roman" w:hAnsi="Times New Roman" w:eastAsia="宋体" w:cs="Times New Roman"/>
          <w:color w:val="auto"/>
          <w:szCs w:val="21"/>
          <w:highlight w:val="none"/>
        </w:rPr>
        <w:t>与当地野生动物管理部门签订保护鸟类的相关协议并主动接受当地林</w:t>
      </w:r>
      <w:r>
        <w:rPr>
          <w:rFonts w:hint="eastAsia" w:ascii="Times New Roman" w:hAnsi="Times New Roman" w:eastAsia="宋体" w:cs="Times New Roman"/>
          <w:color w:val="auto"/>
          <w:szCs w:val="21"/>
          <w:highlight w:val="none"/>
        </w:rPr>
        <w:t>草</w:t>
      </w:r>
      <w:r>
        <w:rPr>
          <w:rFonts w:ascii="Times New Roman" w:hAnsi="Times New Roman" w:eastAsia="宋体" w:cs="Times New Roman"/>
          <w:color w:val="auto"/>
          <w:szCs w:val="21"/>
          <w:highlight w:val="none"/>
        </w:rPr>
        <w:t>主管部门的监管。</w:t>
      </w:r>
    </w:p>
    <w:p w14:paraId="61EBDC69">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（5）加强对施工队伍的管理，加强施工人员的环保教育，禁止任何可能影响其活动、栖息及繁殖的任何行为。严禁出现猎捕动物、拾取鸟卵的行为；对在施工中遇到的幼鸟和鸟卵（蛋）</w:t>
      </w:r>
      <w:r>
        <w:rPr>
          <w:rFonts w:hint="eastAsia" w:cs="Times New Roman"/>
          <w:color w:val="auto"/>
          <w:szCs w:val="21"/>
          <w:highlight w:val="none"/>
          <w:lang w:eastAsia="zh-CN"/>
        </w:rPr>
        <w:t>需要</w:t>
      </w:r>
      <w:r>
        <w:rPr>
          <w:rFonts w:hint="eastAsia" w:ascii="Times New Roman" w:hAnsi="Times New Roman" w:eastAsia="宋体" w:cs="Times New Roman"/>
          <w:color w:val="auto"/>
          <w:szCs w:val="21"/>
          <w:highlight w:val="none"/>
        </w:rPr>
        <w:t>交</w:t>
      </w:r>
      <w:r>
        <w:rPr>
          <w:rFonts w:hint="eastAsia" w:cs="Times New Roman"/>
          <w:color w:val="auto"/>
          <w:szCs w:val="21"/>
          <w:highlight w:val="none"/>
          <w:lang w:val="en-US" w:eastAsia="zh-CN"/>
        </w:rPr>
        <w:t>林草</w:t>
      </w:r>
      <w:r>
        <w:rPr>
          <w:rFonts w:hint="eastAsia" w:ascii="Times New Roman" w:hAnsi="Times New Roman" w:eastAsia="宋体" w:cs="Times New Roman"/>
          <w:color w:val="auto"/>
          <w:szCs w:val="21"/>
          <w:highlight w:val="none"/>
        </w:rPr>
        <w:t>部门的专业人员妥善处置。</w:t>
      </w:r>
    </w:p>
    <w:p w14:paraId="14691660">
      <w:pPr>
        <w:pageBreakBefore w:val="0"/>
        <w:widowControl/>
        <w:kinsoku/>
        <w:wordWrap/>
        <w:overflowPunct/>
        <w:bidi w:val="0"/>
        <w:ind w:firstLine="480" w:firstLineChars="20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（6）加强施工期噪声监测，</w:t>
      </w:r>
      <w:r>
        <w:rPr>
          <w:rFonts w:ascii="Times New Roman" w:hAnsi="Times New Roman" w:eastAsia="宋体" w:cs="Times New Roman"/>
          <w:color w:val="auto"/>
          <w:szCs w:val="21"/>
          <w:highlight w:val="none"/>
        </w:rPr>
        <w:t>及时采取有效的噪声污染防治措施</w:t>
      </w:r>
      <w:r>
        <w:rPr>
          <w:rFonts w:hint="eastAsia" w:ascii="Times New Roman" w:hAnsi="Times New Roman" w:eastAsia="宋体" w:cs="Times New Roman"/>
          <w:color w:val="auto"/>
          <w:szCs w:val="21"/>
          <w:highlight w:val="none"/>
        </w:rPr>
        <w:t>。</w:t>
      </w:r>
    </w:p>
    <w:p w14:paraId="0E49D788">
      <w:pPr>
        <w:pageBreakBefore w:val="0"/>
        <w:widowControl/>
        <w:kinsoku/>
        <w:wordWrap/>
        <w:overflowPunct/>
        <w:bidi w:val="0"/>
        <w:ind w:firstLine="480" w:firstLineChars="20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（7）施工场地的选择与布置，应尽量减少对生态环境的破坏，另外施工开挖、填方，应严格按照批准的施工方案进行，避免任意取土和弃土。</w:t>
      </w:r>
    </w:p>
    <w:p w14:paraId="7DA1B545">
      <w:pPr>
        <w:pageBreakBefore w:val="0"/>
        <w:widowControl/>
        <w:kinsoku/>
        <w:wordWrap/>
        <w:overflowPunct/>
        <w:bidi w:val="0"/>
        <w:ind w:firstLine="480" w:firstLineChars="20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施工期鸟类保护措施主要为管理措施，只要加强施工期间的监管，上述措施都可以得到实施。</w:t>
      </w:r>
    </w:p>
    <w:p w14:paraId="2098AC1D">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运营期鸟类保护措施</w:t>
      </w:r>
    </w:p>
    <w:p w14:paraId="34B545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eastAsia="zh-CN"/>
        </w:rPr>
      </w:pPr>
      <w:r>
        <w:rPr>
          <w:rFonts w:hint="eastAsia"/>
          <w:color w:val="auto"/>
          <w:highlight w:val="none"/>
          <w:lang w:eastAsia="zh-CN"/>
        </w:rPr>
        <w:t>根据生态学原理开展鸟击防范工作，从生态环境整治和减少鸟类食物源两方面进行。对鸟类栖息地、营巢地、觅食地的清除或改造。采取生境控制的方法消除或尽量减少鸟类可以利用的食物、水源、停栖地和隐蔽地等环境，从而有效地控制鸟类的食源、减少鸟类的数量，降低鸟类对飞行安全的威胁</w:t>
      </w:r>
    </w:p>
    <w:p w14:paraId="6897D33F">
      <w:pPr>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4"/>
        <w:rPr>
          <w:rFonts w:hint="default" w:cs="Times New Roman"/>
          <w:b w:val="0"/>
          <w:bCs w:val="0"/>
          <w:color w:val="auto"/>
          <w:szCs w:val="21"/>
          <w:highlight w:val="none"/>
          <w:lang w:val="en-US" w:eastAsia="zh-CN"/>
        </w:rPr>
      </w:pPr>
      <w:r>
        <w:rPr>
          <w:rFonts w:hint="eastAsia" w:cs="Times New Roman"/>
          <w:b/>
          <w:bCs/>
          <w:color w:val="auto"/>
          <w:szCs w:val="21"/>
          <w:highlight w:val="none"/>
          <w:lang w:eastAsia="zh-CN"/>
        </w:rPr>
        <w:t>（</w:t>
      </w:r>
      <w:r>
        <w:rPr>
          <w:rFonts w:hint="eastAsia" w:cs="Times New Roman"/>
          <w:b/>
          <w:bCs/>
          <w:color w:val="auto"/>
          <w:szCs w:val="21"/>
          <w:highlight w:val="none"/>
          <w:lang w:val="en-US" w:eastAsia="zh-CN"/>
        </w:rPr>
        <w:t>1</w:t>
      </w:r>
      <w:r>
        <w:rPr>
          <w:rFonts w:hint="eastAsia" w:cs="Times New Roman"/>
          <w:b/>
          <w:bCs/>
          <w:color w:val="auto"/>
          <w:szCs w:val="21"/>
          <w:highlight w:val="none"/>
          <w:lang w:eastAsia="zh-CN"/>
        </w:rPr>
        <w:t>）</w:t>
      </w:r>
      <w:r>
        <w:rPr>
          <w:rFonts w:hint="eastAsia" w:cs="Times New Roman"/>
          <w:b/>
          <w:bCs/>
          <w:color w:val="auto"/>
          <w:szCs w:val="21"/>
          <w:highlight w:val="none"/>
          <w:lang w:val="en-US" w:eastAsia="zh-CN"/>
        </w:rPr>
        <w:t>生态环境管理措施</w:t>
      </w:r>
    </w:p>
    <w:p w14:paraId="51186C88">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val="en-US" w:eastAsia="zh-CN"/>
        </w:rPr>
        <w:t>1）</w:t>
      </w:r>
      <w:r>
        <w:rPr>
          <w:rFonts w:hint="eastAsia" w:cs="Times New Roman"/>
          <w:b w:val="0"/>
          <w:bCs w:val="0"/>
          <w:color w:val="auto"/>
          <w:szCs w:val="21"/>
          <w:highlight w:val="none"/>
          <w:lang w:eastAsia="zh-CN"/>
        </w:rPr>
        <w:t>草地管理</w:t>
      </w:r>
    </w:p>
    <w:p w14:paraId="5D1F884A">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草地是精河机场及周边地区最主要的生境类型，是鸟类栖息、活动和觅食的主要场所，草地管理的好坏直接关系到草地活动鸟类的动态。精河机场的割草作业应根据草坪植物生长情况进行修剪，4~8月割草频率应较高，草的高度应在10cm~15cm。经修剪的矮草应不利于鸟类栖息，同时也兼顾减少草的种子。一些难以利用人工或机械控制的杂草，如狗尾草、芦苇等可使用除草剂进行化学防治。常用的除草剂有草甘膦（</w:t>
      </w:r>
      <w:r>
        <w:rPr>
          <w:rFonts w:hint="eastAsia" w:cs="Times New Roman"/>
          <w:b w:val="0"/>
          <w:bCs w:val="0"/>
          <w:i/>
          <w:iCs/>
          <w:color w:val="auto"/>
          <w:szCs w:val="21"/>
          <w:highlight w:val="none"/>
          <w:lang w:eastAsia="zh-CN"/>
        </w:rPr>
        <w:t>Glyphosate</w:t>
      </w:r>
      <w:r>
        <w:rPr>
          <w:rFonts w:hint="eastAsia" w:cs="Times New Roman"/>
          <w:b w:val="0"/>
          <w:bCs w:val="0"/>
          <w:color w:val="auto"/>
          <w:szCs w:val="21"/>
          <w:highlight w:val="none"/>
          <w:lang w:eastAsia="zh-CN"/>
        </w:rPr>
        <w:t>）（防除莎草类）、盖草能（</w:t>
      </w:r>
      <w:r>
        <w:rPr>
          <w:rFonts w:hint="eastAsia" w:cs="Times New Roman"/>
          <w:b w:val="0"/>
          <w:bCs w:val="0"/>
          <w:i/>
          <w:iCs/>
          <w:color w:val="auto"/>
          <w:szCs w:val="21"/>
          <w:highlight w:val="none"/>
          <w:lang w:eastAsia="zh-CN"/>
        </w:rPr>
        <w:t>Halapon</w:t>
      </w:r>
      <w:r>
        <w:rPr>
          <w:rFonts w:hint="eastAsia" w:cs="Times New Roman"/>
          <w:b w:val="0"/>
          <w:bCs w:val="0"/>
          <w:color w:val="auto"/>
          <w:szCs w:val="21"/>
          <w:highlight w:val="none"/>
          <w:lang w:eastAsia="zh-CN"/>
        </w:rPr>
        <w:t>）（防除狗尾草、莎草类）、敌稗（</w:t>
      </w:r>
      <w:r>
        <w:rPr>
          <w:rFonts w:hint="eastAsia" w:cs="Times New Roman"/>
          <w:b w:val="0"/>
          <w:bCs w:val="0"/>
          <w:i/>
          <w:iCs/>
          <w:color w:val="auto"/>
          <w:szCs w:val="21"/>
          <w:highlight w:val="none"/>
          <w:lang w:eastAsia="zh-CN"/>
        </w:rPr>
        <w:t>Propanil</w:t>
      </w:r>
      <w:r>
        <w:rPr>
          <w:rFonts w:hint="eastAsia" w:cs="Times New Roman"/>
          <w:b w:val="0"/>
          <w:bCs w:val="0"/>
          <w:color w:val="auto"/>
          <w:szCs w:val="21"/>
          <w:highlight w:val="none"/>
          <w:lang w:eastAsia="zh-CN"/>
        </w:rPr>
        <w:t>）（防除禾本科及阔叶杂草）、百草敌（</w:t>
      </w:r>
      <w:r>
        <w:rPr>
          <w:rFonts w:hint="eastAsia" w:cs="Times New Roman"/>
          <w:b w:val="0"/>
          <w:bCs w:val="0"/>
          <w:i/>
          <w:iCs/>
          <w:color w:val="auto"/>
          <w:szCs w:val="21"/>
          <w:highlight w:val="none"/>
          <w:lang w:eastAsia="zh-CN"/>
        </w:rPr>
        <w:t>Dicamba</w:t>
      </w:r>
      <w:r>
        <w:rPr>
          <w:rFonts w:hint="eastAsia" w:cs="Times New Roman"/>
          <w:b w:val="0"/>
          <w:bCs w:val="0"/>
          <w:color w:val="auto"/>
          <w:szCs w:val="21"/>
          <w:highlight w:val="none"/>
          <w:lang w:eastAsia="zh-CN"/>
        </w:rPr>
        <w:t>）（防除阔叶杂草）、2,4-滴丁酯（2,4-D）（防除阔叶杂草）。</w:t>
      </w:r>
    </w:p>
    <w:p w14:paraId="12851298">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val="en-US" w:eastAsia="zh-CN"/>
        </w:rPr>
        <w:t>2）</w:t>
      </w:r>
      <w:r>
        <w:rPr>
          <w:rFonts w:hint="eastAsia" w:cs="Times New Roman"/>
          <w:b w:val="0"/>
          <w:bCs w:val="0"/>
          <w:color w:val="auto"/>
          <w:szCs w:val="21"/>
          <w:highlight w:val="none"/>
          <w:lang w:eastAsia="zh-CN"/>
        </w:rPr>
        <w:t>水体管理</w:t>
      </w:r>
    </w:p>
    <w:p w14:paraId="6C16DBC4">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尽可能地减少机场范围内的表面水，定期清理排水沟，疏通河道，填平低洼地。跑道西北端水塘、草地积水多，常有白鹭、鸻、鹬、沙锥（</w:t>
      </w:r>
      <w:r>
        <w:rPr>
          <w:rFonts w:hint="default" w:ascii="Times New Roman" w:hAnsi="Times New Roman" w:cs="Times New Roman"/>
          <w:b w:val="0"/>
          <w:bCs w:val="0"/>
          <w:color w:val="auto"/>
          <w:szCs w:val="21"/>
          <w:highlight w:val="none"/>
          <w:lang w:eastAsia="zh-CN"/>
        </w:rPr>
        <w:t>zhuī</w:t>
      </w:r>
      <w:r>
        <w:rPr>
          <w:rFonts w:hint="eastAsia" w:cs="Times New Roman"/>
          <w:b w:val="0"/>
          <w:bCs w:val="0"/>
          <w:color w:val="auto"/>
          <w:szCs w:val="21"/>
          <w:highlight w:val="none"/>
          <w:lang w:eastAsia="zh-CN"/>
        </w:rPr>
        <w:t>）和大群麻雀、小云雀、鸥类的活动。经过几年割草碾压，草地积水减少，鸟种类数量</w:t>
      </w:r>
      <w:r>
        <w:rPr>
          <w:rFonts w:hint="eastAsia" w:cs="Times New Roman"/>
          <w:b w:val="0"/>
          <w:bCs w:val="0"/>
          <w:color w:val="auto"/>
          <w:szCs w:val="21"/>
          <w:highlight w:val="none"/>
          <w:lang w:val="en-US" w:eastAsia="zh-CN"/>
        </w:rPr>
        <w:t>随之</w:t>
      </w:r>
      <w:r>
        <w:rPr>
          <w:rFonts w:hint="eastAsia" w:cs="Times New Roman"/>
          <w:b w:val="0"/>
          <w:bCs w:val="0"/>
          <w:color w:val="auto"/>
          <w:szCs w:val="21"/>
          <w:highlight w:val="none"/>
          <w:lang w:eastAsia="zh-CN"/>
        </w:rPr>
        <w:t>减少。清理水体可减少蚊、蝇、蜗牛、蠕虫、蚯蚓等的滋生，以减少鸻、鹬、沙锥等鸟类的栖息场所，控制鸟类食物链。对于鱼塘、景观池等应当加强与管理人员的联系，关注这些水体内生物类群的变化动态，必要时采取迁移、清理等措施。</w:t>
      </w:r>
    </w:p>
    <w:p w14:paraId="1D4268C6">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3）社会经济活动管理</w:t>
      </w:r>
    </w:p>
    <w:p w14:paraId="358873B3">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机场周边地区现有6户养鸽户，集中在跑道正西10</w:t>
      </w:r>
      <w:r>
        <w:rPr>
          <w:rFonts w:hint="eastAsia" w:cs="Times New Roman"/>
          <w:b w:val="0"/>
          <w:bCs w:val="0"/>
          <w:color w:val="auto"/>
          <w:szCs w:val="21"/>
          <w:highlight w:val="none"/>
          <w:lang w:val="en-US" w:eastAsia="zh-CN"/>
        </w:rPr>
        <w:t>km</w:t>
      </w:r>
      <w:r>
        <w:rPr>
          <w:rFonts w:hint="eastAsia" w:cs="Times New Roman"/>
          <w:b w:val="0"/>
          <w:bCs w:val="0"/>
          <w:color w:val="auto"/>
          <w:szCs w:val="21"/>
          <w:highlight w:val="none"/>
          <w:lang w:eastAsia="zh-CN"/>
        </w:rPr>
        <w:t>左右的村庄，数量在80只左右。家鸽的集群飞行活动给飞行安全带来较大威胁，应当加强与当地政府的沟通，通过制作宣传栏、组织宣传活动等形式加强净空保护宣传教育，还可采取一定的补偿政策，杜绝机场净空保护区域内的家鸽放飞情况。</w:t>
      </w:r>
    </w:p>
    <w:p w14:paraId="16EF557C">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4）昆虫及土壤生物防治</w:t>
      </w:r>
    </w:p>
    <w:p w14:paraId="7CD96149">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夏、秋两季是机场草地昆虫及</w:t>
      </w:r>
      <w:r>
        <w:rPr>
          <w:rFonts w:hint="eastAsia" w:cs="Times New Roman"/>
          <w:b w:val="0"/>
          <w:bCs w:val="0"/>
          <w:color w:val="auto"/>
          <w:szCs w:val="21"/>
          <w:highlight w:val="none"/>
          <w:lang w:val="en-US" w:eastAsia="zh-CN"/>
        </w:rPr>
        <w:t>土</w:t>
      </w:r>
      <w:r>
        <w:rPr>
          <w:rFonts w:hint="eastAsia" w:cs="Times New Roman"/>
          <w:b w:val="0"/>
          <w:bCs w:val="0"/>
          <w:color w:val="auto"/>
          <w:szCs w:val="21"/>
          <w:highlight w:val="none"/>
          <w:lang w:eastAsia="zh-CN"/>
        </w:rPr>
        <w:t>壤中动物繁盛时期，其中蝗虫、蚯蚓、蜗牛、螺、蛴（qí）螬（cáo）等都是鸟类喜欢的食物。因此，适时进行防治，对于减少鸟类食物源是</w:t>
      </w:r>
      <w:r>
        <w:rPr>
          <w:rFonts w:hint="eastAsia" w:cs="Times New Roman"/>
          <w:b w:val="0"/>
          <w:bCs w:val="0"/>
          <w:color w:val="auto"/>
          <w:szCs w:val="21"/>
          <w:highlight w:val="none"/>
          <w:lang w:val="en-US" w:eastAsia="zh-CN"/>
        </w:rPr>
        <w:t>一</w:t>
      </w:r>
      <w:r>
        <w:rPr>
          <w:rFonts w:hint="eastAsia" w:cs="Times New Roman"/>
          <w:b w:val="0"/>
          <w:bCs w:val="0"/>
          <w:color w:val="auto"/>
          <w:szCs w:val="21"/>
          <w:highlight w:val="none"/>
          <w:lang w:eastAsia="zh-CN"/>
        </w:rPr>
        <w:t>项重要措施。割草、控制草高可以破坏昆虫和土壤动物的生存和繁衍环境。下雨以后要做好疏沟排水，并及时清理从土壤中爬出的蚯蚓、蛴螬及蜗牛等。</w:t>
      </w:r>
    </w:p>
    <w:p w14:paraId="049C1128">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在春末夏初至初秋，应根据昆虫生长情况喷洒低毒、安全农药。农药种类和使用浓度可为：40%氧化乐果乳油1500倍液喷雾；50%敌敌畏乳油1000~1500倍液喷雾；2%呋喃丹煤粒剂3000克/亩措施；20%灭多威乳油2000倍液喷雾；5%来福灵乳油4000倍液喷雾。可在机场围界外安装黑光灯，诱杀蛾、蚊类昆虫。</w:t>
      </w:r>
    </w:p>
    <w:p w14:paraId="74F59813">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5）鼠类防治</w:t>
      </w:r>
    </w:p>
    <w:p w14:paraId="2855DFD3">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鼠类防治原则主要是设法灭杀和破坏主要鼠类的生存环境，控制鼠类的数量。主要防治方法包括药物防治和器械防治。</w:t>
      </w:r>
    </w:p>
    <w:p w14:paraId="03616937">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药物防治：药物灭鼠是目前应用最广泛的主要灭鼠手段，其优点是作用快、效果好，在一定的时间内可达到控制鼠类种群数量的目的。目前使用较普通的灭鼠药有敌鼠钠盐0.25%毒米；溴敌隆0.5%配制成毒米；杀鼠灵1%的母粉配制成0.025%的毒饵；杀鼠迷7.5%和3.75%两种母粉配制成0.03~0.05%的毒饵使用。</w:t>
      </w:r>
    </w:p>
    <w:p w14:paraId="1F3409CA">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器械防治：常用器械有鼠铗、鼠笼、压板式弹簧、陷阱等。也可人工采用捕打、翻堆、灌水、熏烟、控洞等方法防治。</w:t>
      </w:r>
    </w:p>
    <w:p w14:paraId="4A7399BD">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综合防治：管理鼠类的栖息场所，清理草地、垃圾堆、土堆，从而减少隐蔽场所和食物来源，使之不利于鼠类生存。在鼠类繁殖高峰到来之前（黑线姬鼠在3月、7月；褐家鼠在3月、9月）用毒饵或器械灭鼠，以高效降低鼠类种群数量。</w:t>
      </w:r>
    </w:p>
    <w:p w14:paraId="66E82545">
      <w:pPr>
        <w:pageBreakBefore w:val="0"/>
        <w:widowControl/>
        <w:numPr>
          <w:ilvl w:val="0"/>
          <w:numId w:val="22"/>
        </w:numPr>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加强区域环境监测</w:t>
      </w:r>
    </w:p>
    <w:p w14:paraId="2B5A73E6">
      <w:pPr>
        <w:keepNext w:val="0"/>
        <w:keepLines w:val="0"/>
        <w:pageBreakBefore w:val="0"/>
        <w:widowControl/>
        <w:numPr>
          <w:ilvl w:val="0"/>
          <w:numId w:val="0"/>
        </w:numPr>
        <w:kinsoku/>
        <w:wordWrap/>
        <w:overflowPunct/>
        <w:topLinePunct w:val="0"/>
        <w:autoSpaceDE/>
        <w:autoSpaceDN/>
        <w:bidi w:val="0"/>
        <w:adjustRightInd/>
        <w:snapToGrid/>
        <w:ind w:firstLine="480" w:firstLineChars="200"/>
        <w:jc w:val="both"/>
        <w:textAlignment w:val="auto"/>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监测区域内环境变化，特别是土地利用方式的变化，例如新建垃圾场、养殖场或污水处理厂等吸引鸟类觅食的环境。另外，由于气候变化导致昆虫或鼠类数量爆发继而引起食虫鸟或猛禽大量聚集，由此产生的鸟击航空器风险应引起足够重视。</w:t>
      </w:r>
    </w:p>
    <w:p w14:paraId="75D1A974">
      <w:pPr>
        <w:pageBreakBefore w:val="0"/>
        <w:widowControl/>
        <w:numPr>
          <w:ilvl w:val="0"/>
          <w:numId w:val="22"/>
        </w:numPr>
        <w:kinsoku/>
        <w:wordWrap/>
        <w:overflowPunct/>
        <w:bidi w:val="0"/>
        <w:ind w:left="0" w:leftChars="0"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根据《中华人民共和国民用航空法》的规定：禁止在依法规定的民用机场范围内和按照国家规定的机场净空保护区域内种植影响飞行安全或者影响机场助航设施使用的植物；禁止在依法划定的民用机场范围内放养牲畜。建议当地政府控制在机场周围5km范围内新建大型畜禽养殖场、污水处理厂等，以减少对鸟类的吸引，避免在飞机起降方向的一定区域内经常有大量的鸟类飞行。</w:t>
      </w:r>
    </w:p>
    <w:p w14:paraId="2DACF586">
      <w:pPr>
        <w:pageBreakBefore w:val="0"/>
        <w:widowControl/>
        <w:numPr>
          <w:ilvl w:val="0"/>
          <w:numId w:val="22"/>
        </w:numPr>
        <w:kinsoku/>
        <w:wordWrap/>
        <w:overflowPunct/>
        <w:bidi w:val="0"/>
        <w:ind w:left="0" w:leftChars="0"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val="en-US" w:eastAsia="zh-CN"/>
        </w:rPr>
        <w:t>农用地管理</w:t>
      </w:r>
    </w:p>
    <w:p w14:paraId="4C9CDB6B">
      <w:pPr>
        <w:keepNext w:val="0"/>
        <w:keepLines w:val="0"/>
        <w:pageBreakBefore w:val="0"/>
        <w:widowControl/>
        <w:numPr>
          <w:ilvl w:val="0"/>
          <w:numId w:val="0"/>
        </w:numPr>
        <w:kinsoku/>
        <w:wordWrap/>
        <w:overflowPunct/>
        <w:topLinePunct w:val="0"/>
        <w:autoSpaceDE/>
        <w:autoSpaceDN/>
        <w:bidi w:val="0"/>
        <w:adjustRightInd/>
        <w:snapToGrid/>
        <w:ind w:leftChars="0" w:firstLine="480" w:firstLineChars="200"/>
        <w:jc w:val="both"/>
        <w:textAlignment w:val="auto"/>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项目周边</w:t>
      </w:r>
      <w:r>
        <w:rPr>
          <w:rFonts w:hint="eastAsia" w:cs="Times New Roman"/>
          <w:b w:val="0"/>
          <w:bCs w:val="0"/>
          <w:color w:val="auto"/>
          <w:szCs w:val="21"/>
          <w:highlight w:val="none"/>
          <w:lang w:val="en-US" w:eastAsia="zh-CN"/>
        </w:rPr>
        <w:t>分布</w:t>
      </w:r>
      <w:r>
        <w:rPr>
          <w:rFonts w:hint="eastAsia" w:cs="Times New Roman"/>
          <w:b w:val="0"/>
          <w:bCs w:val="0"/>
          <w:color w:val="auto"/>
          <w:szCs w:val="21"/>
          <w:highlight w:val="none"/>
          <w:lang w:eastAsia="zh-CN"/>
        </w:rPr>
        <w:t>有大量农田，根据以往调查结果和相关资料显示天山北坡沿线的农田在春秋季会有部分集群觅食候鸟，特别是秋季种植谷物的农田。秋季收割谷物后的农田为候鸟提供了大量食物资源，或者犁耕后农田土壤动物等暴露易招引集群觅食的候鸟，在后期还应持续关注拟建机场8公里范围内的农作物种植类型和农耕活动。</w:t>
      </w:r>
    </w:p>
    <w:p w14:paraId="7659F365">
      <w:pPr>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4"/>
        <w:rPr>
          <w:rFonts w:hint="default" w:cs="Times New Roman"/>
          <w:b w:val="0"/>
          <w:bCs w:val="0"/>
          <w:color w:val="auto"/>
          <w:szCs w:val="21"/>
          <w:highlight w:val="none"/>
          <w:lang w:val="en-US" w:eastAsia="zh-CN"/>
        </w:rPr>
      </w:pPr>
      <w:r>
        <w:rPr>
          <w:rFonts w:hint="eastAsia" w:cs="Times New Roman"/>
          <w:b/>
          <w:bCs/>
          <w:color w:val="auto"/>
          <w:szCs w:val="21"/>
          <w:highlight w:val="none"/>
          <w:lang w:eastAsia="zh-CN"/>
        </w:rPr>
        <w:t>（</w:t>
      </w:r>
      <w:r>
        <w:rPr>
          <w:rFonts w:hint="eastAsia" w:cs="Times New Roman"/>
          <w:b/>
          <w:bCs/>
          <w:color w:val="auto"/>
          <w:szCs w:val="21"/>
          <w:highlight w:val="none"/>
          <w:lang w:val="en-US" w:eastAsia="zh-CN"/>
        </w:rPr>
        <w:t>2</w:t>
      </w:r>
      <w:r>
        <w:rPr>
          <w:rFonts w:hint="eastAsia" w:cs="Times New Roman"/>
          <w:b/>
          <w:bCs/>
          <w:color w:val="auto"/>
          <w:szCs w:val="21"/>
          <w:highlight w:val="none"/>
          <w:lang w:eastAsia="zh-CN"/>
        </w:rPr>
        <w:t>）</w:t>
      </w:r>
      <w:r>
        <w:rPr>
          <w:rFonts w:hint="eastAsia" w:cs="Times New Roman"/>
          <w:b/>
          <w:bCs/>
          <w:color w:val="auto"/>
          <w:szCs w:val="21"/>
          <w:highlight w:val="none"/>
          <w:lang w:val="en-US" w:eastAsia="zh-CN"/>
        </w:rPr>
        <w:t>鸟类驱赶措施</w:t>
      </w:r>
    </w:p>
    <w:p w14:paraId="3039156A">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实施围界内活动鸟类的驱赶。设置车载驱鸟炮和巡逻驱赶</w:t>
      </w:r>
      <w:r>
        <w:rPr>
          <w:rFonts w:hint="eastAsia" w:cs="Times New Roman"/>
          <w:b w:val="0"/>
          <w:bCs w:val="0"/>
          <w:color w:val="auto"/>
          <w:szCs w:val="21"/>
          <w:highlight w:val="none"/>
          <w:lang w:val="en-US" w:eastAsia="zh-CN"/>
        </w:rPr>
        <w:t>等</w:t>
      </w:r>
      <w:r>
        <w:rPr>
          <w:rFonts w:hint="eastAsia" w:cs="Times New Roman"/>
          <w:b w:val="0"/>
          <w:bCs w:val="0"/>
          <w:color w:val="auto"/>
          <w:szCs w:val="21"/>
          <w:highlight w:val="none"/>
          <w:lang w:eastAsia="zh-CN"/>
        </w:rPr>
        <w:t>，尤其是跑道南端应重点布设。跑道南端区域为巡逻驱鸟的重点区域，巡逻期间灵活使用车载驱鸟炮</w:t>
      </w:r>
      <w:r>
        <w:rPr>
          <w:rFonts w:hint="eastAsia" w:cs="Times New Roman"/>
          <w:b w:val="0"/>
          <w:bCs w:val="0"/>
          <w:color w:val="auto"/>
          <w:szCs w:val="21"/>
          <w:highlight w:val="none"/>
          <w:lang w:val="en-US" w:eastAsia="zh-CN"/>
        </w:rPr>
        <w:t>等设备</w:t>
      </w:r>
      <w:r>
        <w:rPr>
          <w:rFonts w:hint="eastAsia" w:cs="Times New Roman"/>
          <w:b w:val="0"/>
          <w:bCs w:val="0"/>
          <w:color w:val="auto"/>
          <w:szCs w:val="21"/>
          <w:highlight w:val="none"/>
          <w:lang w:eastAsia="zh-CN"/>
        </w:rPr>
        <w:t>，重点驱除此区域内的鸟类活动。</w:t>
      </w:r>
    </w:p>
    <w:p w14:paraId="04F553E5">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实施场外驱鸟。</w:t>
      </w:r>
      <w:r>
        <w:rPr>
          <w:rFonts w:hint="eastAsia" w:cs="Times New Roman"/>
          <w:b w:val="0"/>
          <w:bCs w:val="0"/>
          <w:color w:val="auto"/>
          <w:szCs w:val="21"/>
          <w:highlight w:val="none"/>
          <w:lang w:val="en-US" w:eastAsia="zh-CN"/>
        </w:rPr>
        <w:t>减少</w:t>
      </w:r>
      <w:r>
        <w:rPr>
          <w:rFonts w:hint="eastAsia" w:cs="Times New Roman"/>
          <w:b w:val="0"/>
          <w:bCs w:val="0"/>
          <w:color w:val="auto"/>
          <w:szCs w:val="21"/>
          <w:highlight w:val="none"/>
          <w:lang w:eastAsia="zh-CN"/>
        </w:rPr>
        <w:t>鸟</w:t>
      </w:r>
      <w:r>
        <w:rPr>
          <w:rFonts w:hint="eastAsia" w:cs="Times New Roman"/>
          <w:b w:val="0"/>
          <w:bCs w:val="0"/>
          <w:color w:val="auto"/>
          <w:szCs w:val="21"/>
          <w:highlight w:val="none"/>
          <w:lang w:val="en-US" w:eastAsia="zh-CN"/>
        </w:rPr>
        <w:t>类</w:t>
      </w:r>
      <w:r>
        <w:rPr>
          <w:rFonts w:hint="eastAsia" w:cs="Times New Roman"/>
          <w:b w:val="0"/>
          <w:bCs w:val="0"/>
          <w:color w:val="auto"/>
          <w:szCs w:val="21"/>
          <w:highlight w:val="none"/>
          <w:lang w:eastAsia="zh-CN"/>
        </w:rPr>
        <w:t>的栖息、筑巢和隐蔽环境，</w:t>
      </w:r>
      <w:r>
        <w:rPr>
          <w:rFonts w:hint="eastAsia" w:cs="Times New Roman"/>
          <w:b w:val="0"/>
          <w:bCs w:val="0"/>
          <w:color w:val="auto"/>
          <w:szCs w:val="21"/>
          <w:highlight w:val="none"/>
          <w:lang w:val="en-US" w:eastAsia="zh-CN"/>
        </w:rPr>
        <w:t>驱</w:t>
      </w:r>
      <w:r>
        <w:rPr>
          <w:rFonts w:hint="eastAsia" w:cs="Times New Roman"/>
          <w:b w:val="0"/>
          <w:bCs w:val="0"/>
          <w:color w:val="auto"/>
          <w:szCs w:val="21"/>
          <w:highlight w:val="none"/>
          <w:lang w:eastAsia="zh-CN"/>
        </w:rPr>
        <w:t>使鸟类远离机场。机场周边地区现有绿化乔木、灌木，提供鸟类繁殖筑巢及夜宿的条件，应迁移苗木林和绿化区，或对树木进行修剪，以降低郁闭度。今后绿化应尽量少用高大乔木，改用低矮的灌木和草本植物。清理距跑道末端或跑道中心线150m之内的乔木、浓密的灌木丛、枯立木，以根除鸟类停栖、筑巢繁殖的基本条件。</w:t>
      </w:r>
    </w:p>
    <w:p w14:paraId="47B2263E">
      <w:pPr>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4"/>
        <w:rPr>
          <w:rFonts w:hint="default" w:cs="Times New Roman"/>
          <w:b w:val="0"/>
          <w:bCs w:val="0"/>
          <w:color w:val="auto"/>
          <w:szCs w:val="21"/>
          <w:highlight w:val="none"/>
          <w:lang w:val="en-US" w:eastAsia="zh-CN"/>
        </w:rPr>
      </w:pPr>
      <w:r>
        <w:rPr>
          <w:rFonts w:hint="eastAsia" w:cs="Times New Roman"/>
          <w:b/>
          <w:bCs/>
          <w:color w:val="auto"/>
          <w:szCs w:val="21"/>
          <w:highlight w:val="none"/>
          <w:lang w:eastAsia="zh-CN"/>
        </w:rPr>
        <w:t>（</w:t>
      </w:r>
      <w:r>
        <w:rPr>
          <w:rFonts w:hint="eastAsia" w:cs="Times New Roman"/>
          <w:b/>
          <w:bCs/>
          <w:color w:val="auto"/>
          <w:szCs w:val="21"/>
          <w:highlight w:val="none"/>
          <w:lang w:val="en-US" w:eastAsia="zh-CN"/>
        </w:rPr>
        <w:t>3</w:t>
      </w:r>
      <w:r>
        <w:rPr>
          <w:rFonts w:hint="eastAsia" w:cs="Times New Roman"/>
          <w:b/>
          <w:bCs/>
          <w:color w:val="auto"/>
          <w:szCs w:val="21"/>
          <w:highlight w:val="none"/>
          <w:lang w:eastAsia="zh-CN"/>
        </w:rPr>
        <w:t>）</w:t>
      </w:r>
      <w:r>
        <w:rPr>
          <w:rFonts w:hint="eastAsia" w:cs="Times New Roman"/>
          <w:b/>
          <w:bCs/>
          <w:color w:val="auto"/>
          <w:szCs w:val="21"/>
          <w:highlight w:val="none"/>
          <w:lang w:val="en-US" w:eastAsia="zh-CN"/>
        </w:rPr>
        <w:t>加强鸟情监测与预报</w:t>
      </w:r>
    </w:p>
    <w:p w14:paraId="5D459E05">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在加强鸟情信息收集的同时，还应加强机场鸟情信息数据库管理系统的建设。完成一次生态环境调研后，还应在机场内、外对重点危险鸟种及防范区域进行持续鸟情和环境监测，同时关注来自其他鸟类观察、研究机构和病虫害监测机构的信息，充分利用已有的鸟情信息数据库，将信息不断补充完善，综合预测预报未来鸟情信息，做好主动防范工作。工作内容可包括以下方面：</w:t>
      </w:r>
    </w:p>
    <w:p w14:paraId="7AAC48BB">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持续进行围界内区域鸟情监测和驱赶。采用定点与路线调查相结合的形式进行围界内的鸟情日常巡视驱赶，观察分析鸟类的种类、数量、行为，总结日活动规律、季节活动规律以及年间变化规律。</w:t>
      </w:r>
    </w:p>
    <w:p w14:paraId="052CE28E">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选择重点危险鸟种活动的主要区域进行外围鸟情监测。对夜鹭、家燕等威胁</w:t>
      </w:r>
      <w:r>
        <w:rPr>
          <w:rFonts w:hint="eastAsia" w:cs="Times New Roman"/>
          <w:b w:val="0"/>
          <w:bCs w:val="0"/>
          <w:color w:val="auto"/>
          <w:szCs w:val="21"/>
          <w:highlight w:val="none"/>
          <w:lang w:val="en-US" w:eastAsia="zh-CN"/>
        </w:rPr>
        <w:t>较大</w:t>
      </w:r>
      <w:r>
        <w:rPr>
          <w:rFonts w:hint="eastAsia" w:cs="Times New Roman"/>
          <w:b w:val="0"/>
          <w:bCs w:val="0"/>
          <w:color w:val="auto"/>
          <w:szCs w:val="21"/>
          <w:highlight w:val="none"/>
          <w:lang w:eastAsia="zh-CN"/>
        </w:rPr>
        <w:t>鸟种的主要活动区域进行持续监测，针对鸟情趋势和变化情况调整驱鸟工作的部署。</w:t>
      </w:r>
    </w:p>
    <w:p w14:paraId="0B99B805">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进行围界内区域草情、虫情、鼠情监测，观察飞虫、蚯蚓、蜗牛等数量动态情况，分析变化趋势。</w:t>
      </w:r>
    </w:p>
    <w:p w14:paraId="33EB625A">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在鸟类迁徙期间、繁殖后期以及气候变化期关注各类鸟情观察、研究信息及病虫害预测预报信息，主要关注鹭类、鹬类、雁鸭类、鸥类、燕类等的活动情况，综合预测本地即将可能出现的鸟情。</w:t>
      </w:r>
    </w:p>
    <w:p w14:paraId="29C8F4D3">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美国空军“鸟击防治小组”应用了一套鸟情预警系统（bird avoidance model， BAM），这个模型通过对美国本土多年来鸟类调查资料的分析，从而预报特定地点、特定时间的鸟类情况，特别是迁徙鸟类的情况，据此可以制定相应的飞行计划，选择鸟类较少活动的空域进行飞行训练，以避让鸟类（杨荣，2005）。中国一些机场的工作人员也提出了成立国家-地区-机场三级的鸟害预警防制系统，专门致力于航空鸟击的防范和预警。该系统应为常设机构，归航空和地面安全保障部门管理。并提出了鸟害预警防治系统的构成、工作重点等具体问题（张振明等，2005）。上海浦东机场将计算机与鸟类学相结合，建立了鸟情信息系统，对于鸟情预警系统的建立和完善有积极作用（李俊红等，2001）。</w:t>
      </w:r>
    </w:p>
    <w:p w14:paraId="4D8C10B0">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通过建立机场鸟类信息系统，进行鸟类的监测统计和鸟击信息的记录统计，构建有效的机场鸟情数据库和智能信息平台，可以实时监控鸟情变化，并根据鸟情变化采取有针对性的措施。这种实时监测和数据分析为调整起降方向提供了科学依据。在机场建设期及建成运行初期，进行鸟类的全周期观测工作，全面了解鸟类在机场附近地区的迁移、栖息、觅食、繁殖等情况，对生态敏感区、珍稀濒危物种、重要生态空间等的影响降到最低。</w:t>
      </w:r>
    </w:p>
    <w:p w14:paraId="054B1FF1">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机场运营期间，飞机噪声会对小型鸟类产生一定的不良影响，封闭的飞行区和人工驱逐会对鸟类的移动产生阻隔，但大部分动物移动能力较强，飞行区的阻隔对其影响也较小，因此持续的鸟情监测对于降低鸟撞航空器的风险至关重要。机场建设可能</w:t>
      </w:r>
      <w:r>
        <w:rPr>
          <w:rFonts w:hint="eastAsia" w:cs="Times New Roman"/>
          <w:b w:val="0"/>
          <w:bCs w:val="0"/>
          <w:color w:val="auto"/>
          <w:szCs w:val="21"/>
          <w:highlight w:val="none"/>
          <w:lang w:val="en-US" w:eastAsia="zh-CN"/>
        </w:rPr>
        <w:t>减少</w:t>
      </w:r>
      <w:r>
        <w:rPr>
          <w:rFonts w:hint="eastAsia" w:cs="Times New Roman"/>
          <w:b w:val="0"/>
          <w:bCs w:val="0"/>
          <w:color w:val="auto"/>
          <w:szCs w:val="21"/>
          <w:highlight w:val="none"/>
          <w:lang w:eastAsia="zh-CN"/>
        </w:rPr>
        <w:t>部分鸟类的觅食场所迫使其迁移，持续的鸟情监测有助于评估机场建设对鸟类及其生态环境的影响，从而采取相应的保护措施。通过持续的鸟情监测可以获得第一手材料，为进行科学的保护与管理提供可靠的依据。这包括定位监测、候鸟监测和环境监测，以便在发现重大影响时调整飞机运行班次与程序。</w:t>
      </w:r>
    </w:p>
    <w:p w14:paraId="38EA5B76">
      <w:pPr>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4"/>
        <w:rPr>
          <w:rFonts w:hint="default" w:cs="Times New Roman"/>
          <w:b w:val="0"/>
          <w:bCs w:val="0"/>
          <w:color w:val="auto"/>
          <w:szCs w:val="21"/>
          <w:highlight w:val="none"/>
          <w:lang w:val="en-US" w:eastAsia="zh-CN"/>
        </w:rPr>
      </w:pPr>
      <w:r>
        <w:rPr>
          <w:rFonts w:hint="eastAsia" w:cs="Times New Roman"/>
          <w:b/>
          <w:bCs/>
          <w:color w:val="auto"/>
          <w:szCs w:val="21"/>
          <w:highlight w:val="none"/>
          <w:lang w:eastAsia="zh-CN"/>
        </w:rPr>
        <w:t>（</w:t>
      </w:r>
      <w:r>
        <w:rPr>
          <w:rFonts w:hint="eastAsia" w:cs="Times New Roman"/>
          <w:b/>
          <w:bCs/>
          <w:color w:val="auto"/>
          <w:szCs w:val="21"/>
          <w:highlight w:val="none"/>
          <w:lang w:val="en-US" w:eastAsia="zh-CN"/>
        </w:rPr>
        <w:t>4</w:t>
      </w:r>
      <w:r>
        <w:rPr>
          <w:rFonts w:hint="eastAsia" w:cs="Times New Roman"/>
          <w:b/>
          <w:bCs/>
          <w:color w:val="auto"/>
          <w:szCs w:val="21"/>
          <w:highlight w:val="none"/>
          <w:lang w:eastAsia="zh-CN"/>
        </w:rPr>
        <w:t>）</w:t>
      </w:r>
      <w:r>
        <w:rPr>
          <w:rFonts w:hint="eastAsia" w:cs="Times New Roman"/>
          <w:b/>
          <w:bCs/>
          <w:color w:val="auto"/>
          <w:szCs w:val="21"/>
          <w:highlight w:val="none"/>
          <w:lang w:val="en-US" w:eastAsia="zh-CN"/>
        </w:rPr>
        <w:t>完善鸟击防范体系</w:t>
      </w:r>
    </w:p>
    <w:p w14:paraId="49039B86">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鸟击是机场飞行安全的重要因素之一，对航空安全构成持续威胁。以往研究表明，绝大多数鸟击事件发生在机场及其附近空域，主要发生于</w:t>
      </w:r>
      <w:r>
        <w:rPr>
          <w:rFonts w:hint="eastAsia" w:cs="Times New Roman"/>
          <w:b w:val="0"/>
          <w:bCs w:val="0"/>
          <w:color w:val="auto"/>
          <w:szCs w:val="21"/>
          <w:highlight w:val="none"/>
          <w:lang w:val="en-US" w:eastAsia="zh-CN"/>
        </w:rPr>
        <w:t>航空器</w:t>
      </w:r>
      <w:r>
        <w:rPr>
          <w:rFonts w:hint="eastAsia" w:cs="Times New Roman"/>
          <w:b w:val="0"/>
          <w:bCs w:val="0"/>
          <w:color w:val="auto"/>
          <w:szCs w:val="21"/>
          <w:highlight w:val="none"/>
          <w:lang w:eastAsia="zh-CN"/>
        </w:rPr>
        <w:t>起飞滑跑、爬升、进近和着陆滑行阶段。根据中国民航、江北机场鸟击特点分析显示，飞行区是鸟击防范的重点区域，做好飞行区的鸟情控制是鸟击防范的重要环节。当前，鸟击防范已从单纯地驱赶向探索民航安全与鸟类保护、生态和谐的平衡转变。这种转变符合创新、协调、绿色、开放、共享的新发展理念，是建设绿色民航、绿色机场的重要部分。</w:t>
      </w:r>
    </w:p>
    <w:p w14:paraId="04A6E295">
      <w:pPr>
        <w:pageBreakBefore w:val="0"/>
        <w:widowControl/>
        <w:numPr>
          <w:ilvl w:val="0"/>
          <w:numId w:val="23"/>
        </w:numPr>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完善鸟类保护措施</w:t>
      </w:r>
    </w:p>
    <w:p w14:paraId="6D053A10">
      <w:pPr>
        <w:pageBreakBefore w:val="0"/>
        <w:widowControl/>
        <w:numPr>
          <w:ilvl w:val="0"/>
          <w:numId w:val="0"/>
        </w:numPr>
        <w:kinsoku/>
        <w:wordWrap/>
        <w:overflowPunct/>
        <w:bidi w:val="0"/>
        <w:ind w:firstLine="420" w:firstLineChars="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施工期鸟类保护措施，科学选择开工建设时间与严格管理施工行为；实施环境监理，签订保护鸟类协议；做好鸟情观测，加强施工人员环保教育设置宣传牌。</w:t>
      </w:r>
    </w:p>
    <w:p w14:paraId="3195CF21">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运营期鸟类保护措施，利用生态学的基本原理和方法，采用减少营巢、切断食物源、水源、干扰鸟类活动等方法，达到减少机场鸟群种类、数量和防范鸟撞的目的；加强机场飞行区草坪的管理，定期修剪，减少鸟类食源；要求机场制订全年鸟击防范工作计划，针对每个季节不同鸟种制定不同的驱鸟措施（采用雷达探鸟，超声波、激光驱鸟措施</w:t>
      </w:r>
      <w:r>
        <w:rPr>
          <w:rFonts w:hint="eastAsia" w:cs="Times New Roman"/>
          <w:b w:val="0"/>
          <w:bCs w:val="0"/>
          <w:color w:val="auto"/>
          <w:szCs w:val="21"/>
          <w:highlight w:val="none"/>
          <w:lang w:val="en-US" w:eastAsia="zh-CN"/>
        </w:rPr>
        <w:t>等</w:t>
      </w:r>
      <w:r>
        <w:rPr>
          <w:rFonts w:hint="eastAsia" w:cs="Times New Roman"/>
          <w:b w:val="0"/>
          <w:bCs w:val="0"/>
          <w:color w:val="auto"/>
          <w:szCs w:val="21"/>
          <w:highlight w:val="none"/>
          <w:lang w:eastAsia="zh-CN"/>
        </w:rPr>
        <w:t>，禁止使用驱鸟网），尤其要对春秋季节重点威胁类群做出明确的防范措施；加强驱鸟设备的及时更新维护；加强鸟类观测，加强鸟种危害评估、鸟情预测预报等相关性研究。</w:t>
      </w:r>
    </w:p>
    <w:p w14:paraId="55ACCA5B">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2）组织机构</w:t>
      </w:r>
    </w:p>
    <w:p w14:paraId="212EAA76">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组织机构包括鸟击防范工作领导小组和专职队伍。</w:t>
      </w:r>
    </w:p>
    <w:p w14:paraId="7E903783">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建立专职鸟击防范工作队伍，配置专业技术人才，作为落实各项鸟击防范措施人力保证。</w:t>
      </w:r>
    </w:p>
    <w:p w14:paraId="5FEFE832">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3）制度管理</w:t>
      </w:r>
    </w:p>
    <w:p w14:paraId="368BEB33">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完善鸟击防范工作机制，建立机场与地方政府之间关于鸟击防范的合作机制，明确机场与地方政府关于鸽类及飞行区外吸引鸟类的生态环境治理的工作职责，建立完善的人员管理、工作制度和程序、设备管理等各方面制度，确保各项鸟击防范措施落到实处。各机场的工作实践证明，建立奖惩机制、充分发挥员工工作的主观能动性，可以有效控制鸟击频次。</w:t>
      </w:r>
    </w:p>
    <w:p w14:paraId="55EC2541">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4）监控</w:t>
      </w:r>
    </w:p>
    <w:p w14:paraId="1BFEA195">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监控包括目视监控和技术监控。目视监控包括驱鸟员不间断的鸟情巡视、记录。技术监控包括使用红外夜视或雷达技术，也包括专业技术人员的日常环境监控和定期调研。艾比湖是鸟类迁徙在新疆境内一个重要的中转地。每到秋季来临，自西伯利亚向南迁徙的候鸟飞入天山北坡沿线境内，在艾比湖以及周边湿地停歇。这些候鸟数量大，种类多，每年秋季9~10月鸟类会出现一个数量高峰期（最多一次迁徙数量统计为103875只），因此</w:t>
      </w:r>
      <w:r>
        <w:rPr>
          <w:rFonts w:hint="eastAsia" w:cs="Times New Roman"/>
          <w:b w:val="0"/>
          <w:bCs w:val="0"/>
          <w:color w:val="auto"/>
          <w:szCs w:val="21"/>
          <w:highlight w:val="none"/>
          <w:lang w:val="en-US" w:eastAsia="zh-CN"/>
        </w:rPr>
        <w:t>须</w:t>
      </w:r>
      <w:r>
        <w:rPr>
          <w:rFonts w:hint="eastAsia" w:cs="Times New Roman"/>
          <w:b w:val="0"/>
          <w:bCs w:val="0"/>
          <w:color w:val="auto"/>
          <w:szCs w:val="21"/>
          <w:highlight w:val="none"/>
          <w:lang w:eastAsia="zh-CN"/>
        </w:rPr>
        <w:t>持续开展鸟情监测，视监测结果进一步调整和优化拟建机场的飞行计划和空域。对于特定月份出现的鸟种，在其活动频繁的季节，应有针对性地加强观测和防范。迁徙季节和夜间各机场的鸟击威胁增大，由于目视监控受人员知识水平、目视范围、气候及可见度的影响，需要技术监控进行补充和完善。机场应使用先进技术设备监视机场及附近鸟类的活动，及时驱赶进入场区的鸟类，确保飞机起降安全。</w:t>
      </w:r>
    </w:p>
    <w:p w14:paraId="756B3DE8">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5）信息分析</w:t>
      </w:r>
    </w:p>
    <w:p w14:paraId="4D857C83">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机场吸引鸟类的因素有食物、水源、栖息生境、气候和天气，或者机场处于鸟类迁徙路线上等。对机场鸟情信息进行分析，查找机场鸟击根本原因，是采取针对性、科学性防范措施的保证。</w:t>
      </w:r>
      <w:r>
        <w:rPr>
          <w:rFonts w:hint="eastAsia" w:cs="Times New Roman"/>
          <w:b w:val="0"/>
          <w:bCs w:val="0"/>
          <w:color w:val="auto"/>
          <w:szCs w:val="21"/>
          <w:highlight w:val="none"/>
          <w:lang w:val="en-US" w:eastAsia="zh-CN"/>
        </w:rPr>
        <w:t>运营单位</w:t>
      </w:r>
      <w:r>
        <w:rPr>
          <w:rFonts w:hint="eastAsia" w:cs="Times New Roman"/>
          <w:b w:val="0"/>
          <w:bCs w:val="0"/>
          <w:color w:val="auto"/>
          <w:szCs w:val="21"/>
          <w:highlight w:val="none"/>
          <w:lang w:eastAsia="zh-CN"/>
        </w:rPr>
        <w:t>应收集本机场以及其他机场发生的鸟击事件，逐步建立机场鸟击数据库，并在此基础上不断优化本机场鸟情监测方案，做好鸟情监测日志；在相关鸟情资料积累的基础上，探索适合本机场鸟防的预警系统，对机场的鸟情状况作出较准确的预测，从而实施及时有效的防范措施。机场配置专业人员有助于科研单位研究成果的落地。</w:t>
      </w:r>
    </w:p>
    <w:p w14:paraId="464B64D1">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6）设备防范</w:t>
      </w:r>
    </w:p>
    <w:p w14:paraId="1BFC55D0">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鸟情实时监测主要依靠人员目视或利用望远镜、红外设备、摄像机等设备人工观测，现有手段观测距离短、光照影响大、连续搜索空域小，表现为白天看不远、阴天看不清、晚上看不见，存在对鸟情发现难、跟踪难、记录难等问题。现阶段急需适用于机场全区域高效实时监测的技术手段，因此可以采用效果取向型防范设备如全向声波、定向声波、煤气炮、钛镭弹、超声波驱鸟器、激光驱鸟器、假人等等；为减小对鸟类的吸引，还需要进行机场生态环境管理，如机场内植被种植、定期割草、水塘覆网、鸟巢清理；此外，还有社会环境因素管理，如协调解决周边家鸽串扰、垃圾清理等。随着人为干扰强度增加，机场及周边区域内的鸟类种群密度也随之下降。</w:t>
      </w:r>
    </w:p>
    <w:p w14:paraId="79B0D84C">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增加人为干扰是驱避鸟类的有效手段。长期不间断的驱鸟工作非常必要，每天在飞行区内巡视，通过增加人类活动干扰鸟类，使鸟类受到惊吓而离开飞行区。驱鸟设备发出的高强度噪声会降低鸟类鸣声的传播距离、干扰声信号内容，导致声音传播效率下降，使鸟类彼此间的识别能力下降，进而影响鸟类的繁殖力及适合度、种群数量和群落组成，从而达到生态学上的驱鸟效果。正确使用机场的驱鸟设备可以及时有效地解除鸟类对飞机的威胁，驱鸟枪、驱鸟炮、恐怖鸟、驱鸟剂等驱鸟设施和设备都有一定的鸟击防范效果。实践表明，鸟类对驱鸟设备容易产生适应性，长期使用效果明显减弱。通过实验发现，单独使用声音对鸟类的飞行无影响，雾网和声音一起使用能降低鸟类速度的20%，有效减少鸟击的发生。机场驱鸟设备连动交替使用和定时开启驱鸟设备，是提高驱鸟设备效果的最佳选择。一般的驱鸟设备只是通过降低环境的舒适度来控制鸟类数量，因此，飞行区驱鸟设备的布设宗旨以及驱鸟措施的实施应优先考虑鸟击防范的重点区域，首先降低重点防范区域鸟类的舒适度，将跑道、滑行道及周边的鸟类向环场道驱逐。</w:t>
      </w:r>
    </w:p>
    <w:p w14:paraId="106EF2C6">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7）环境管理</w:t>
      </w:r>
    </w:p>
    <w:p w14:paraId="473C652E">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飞行区草地生境以及草丛动物是吸引鸟类到机场栖息和觅食的主要原因。机场植被、地表草丛动物与鸟类数量间存在动态关系。植被为鸟类提供食物和栖息场所，同时植物繁茂滋生大量昆虫、鼠类等小动物，从而使肉食性鸟类数量增多。机场鸟击灾害的根源在于机场环境对鸟类的吸引，因此，减少机场环境中吸引鸟类的生态因子是解决鸟击威胁的根本方法。在鸟击防范工作中，除在不同季节采用不同的防鸟手段外，加强机场生境的综合整治和有效管理是必不可少的。通过控制植被高度及群落结构的方法能够有效切断鸟类、昆虫以及小型啮齿类的食物来源和隐蔽场所，可以喷洒低毒高效农药灭虫，控制土壤动物密度。还可以通过除草剂降低机场内草丛植被的复杂性，种植单一草种，降低草坪的生物多样性，从而降低机场对鸟类的吸引。一般单子叶植物蛋白质含量较低，可以通过撒播结籽少、繁殖快的狗牙根（</w:t>
      </w:r>
      <w:r>
        <w:rPr>
          <w:rFonts w:hint="eastAsia" w:cs="Times New Roman"/>
          <w:b w:val="0"/>
          <w:bCs w:val="0"/>
          <w:i/>
          <w:iCs/>
          <w:color w:val="auto"/>
          <w:szCs w:val="21"/>
          <w:highlight w:val="none"/>
          <w:lang w:eastAsia="zh-CN"/>
        </w:rPr>
        <w:t>Cynodon dactylon</w:t>
      </w:r>
      <w:r>
        <w:rPr>
          <w:rFonts w:hint="eastAsia" w:cs="Times New Roman"/>
          <w:b w:val="0"/>
          <w:bCs w:val="0"/>
          <w:color w:val="auto"/>
          <w:szCs w:val="21"/>
          <w:highlight w:val="none"/>
          <w:lang w:eastAsia="zh-CN"/>
        </w:rPr>
        <w:t>）、假俭草（</w:t>
      </w:r>
      <w:r>
        <w:rPr>
          <w:rFonts w:hint="eastAsia" w:cs="Times New Roman"/>
          <w:b w:val="0"/>
          <w:bCs w:val="0"/>
          <w:i/>
          <w:iCs/>
          <w:color w:val="auto"/>
          <w:szCs w:val="21"/>
          <w:highlight w:val="none"/>
          <w:lang w:eastAsia="zh-CN"/>
        </w:rPr>
        <w:t>Eremochloa ophiuroides</w:t>
      </w:r>
      <w:r>
        <w:rPr>
          <w:rFonts w:hint="eastAsia" w:cs="Times New Roman"/>
          <w:b w:val="0"/>
          <w:bCs w:val="0"/>
          <w:color w:val="auto"/>
          <w:szCs w:val="21"/>
          <w:highlight w:val="none"/>
          <w:lang w:eastAsia="zh-CN"/>
        </w:rPr>
        <w:t>）、结缕草（</w:t>
      </w:r>
      <w:r>
        <w:rPr>
          <w:rFonts w:hint="eastAsia" w:cs="Times New Roman"/>
          <w:b w:val="0"/>
          <w:bCs w:val="0"/>
          <w:i/>
          <w:iCs/>
          <w:color w:val="auto"/>
          <w:szCs w:val="21"/>
          <w:highlight w:val="none"/>
          <w:lang w:eastAsia="zh-CN"/>
        </w:rPr>
        <w:t>Zoysia japonica</w:t>
      </w:r>
      <w:r>
        <w:rPr>
          <w:rFonts w:hint="eastAsia" w:cs="Times New Roman"/>
          <w:b w:val="0"/>
          <w:bCs w:val="0"/>
          <w:color w:val="auto"/>
          <w:szCs w:val="21"/>
          <w:highlight w:val="none"/>
          <w:lang w:eastAsia="zh-CN"/>
        </w:rPr>
        <w:t>）等本地优势单子叶植物的种子，抑制如野豌豆属、狗尾草等籽粒大、易吸引鸟类取食或滋生虫情的植物，达到植被改良的效果。飞行区灭虫可以采取与专业灭虫公司合作或由农药供应商提供指导等方法，根据飞行区虫情特点，配置针对性的农药，分阶段对飞行区虫类进行灭杀，尤其是割草之后必须及时灭虫。机场周边环境管理包括鸽类管理与栖息生境控制、改造。由于权责限制，机场必须积极协调地方政府开展机场周边环境管理工作，要求在机场净空区尤其是机场周边区域禁止放飞鸽子；对机场周边的垃圾、鸟类栖息生境、水源地等吸引鸟类活动的生境进行控制，改变机场周边的小环境，切断食物链，让鸟类迁移。上海浦东机场的“种绿引鸟”就是一项缓解资源与环境协调发展的尝试性工程。</w:t>
      </w:r>
    </w:p>
    <w:p w14:paraId="61858004">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8）应急处理</w:t>
      </w:r>
    </w:p>
    <w:p w14:paraId="1EA9333D">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为应对特殊天气或其他原因引起的突发鸟情，机场应根据当地鸟情特点，建立突发鸟情应急处置预案，明确突发鸟情下机场鸟情通报、航行通告、航班动态调整等工作机制，并储备如驱鸟枪、钛雷弹、二踢脚、灭虫剂、驱逐剂等相对能及时清除或驱逐危险鸟情的设施物资。</w:t>
      </w:r>
    </w:p>
    <w:p w14:paraId="0D450910">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9）航班动态调整</w:t>
      </w:r>
    </w:p>
    <w:p w14:paraId="55046C99">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航班动态调整指通过更改航班飞行时间、飞行线路、起降方向、选择使用跑道等方式，主动避开与特殊鸟情冲突的措施。航班动态调整不能算一种主流方法，但是在鸟类迁徙季节和鸟类活动频繁期也不失为一种有效的方法。鸟类的迁徙是自然选择的结果，人为控制的难度大，飞机飞行可以人为设计航线和高度，所以在鸟类迁徙期可以对航线进行适当的调整。随着机场鸟情预警系统的开发与成熟，航班动态调整作为鸟击防范手段将得到普遍应用。</w:t>
      </w:r>
    </w:p>
    <w:p w14:paraId="4008409B">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1</w:t>
      </w:r>
      <w:r>
        <w:rPr>
          <w:rFonts w:hint="eastAsia" w:cs="Times New Roman"/>
          <w:b w:val="0"/>
          <w:bCs w:val="0"/>
          <w:color w:val="auto"/>
          <w:szCs w:val="21"/>
          <w:highlight w:val="none"/>
          <w:lang w:val="en-US" w:eastAsia="zh-CN"/>
        </w:rPr>
        <w:t>0</w:t>
      </w:r>
      <w:r>
        <w:rPr>
          <w:rFonts w:hint="eastAsia" w:cs="Times New Roman"/>
          <w:b w:val="0"/>
          <w:bCs w:val="0"/>
          <w:color w:val="auto"/>
          <w:szCs w:val="21"/>
          <w:highlight w:val="none"/>
          <w:lang w:eastAsia="zh-CN"/>
        </w:rPr>
        <w:t>）设立与林草部门的合作联运机制</w:t>
      </w:r>
    </w:p>
    <w:p w14:paraId="285494AB">
      <w:pPr>
        <w:pageBreakBefore w:val="0"/>
        <w:widowControl/>
        <w:kinsoku/>
        <w:wordWrap/>
        <w:overflowPunct/>
        <w:bidi w:val="0"/>
        <w:ind w:firstLine="480" w:firstLineChars="200"/>
        <w:jc w:val="both"/>
        <w:rPr>
          <w:rFonts w:hint="eastAsia" w:cs="Times New Roman"/>
          <w:b w:val="0"/>
          <w:bCs w:val="0"/>
          <w:color w:val="auto"/>
          <w:szCs w:val="21"/>
          <w:highlight w:val="none"/>
          <w:lang w:eastAsia="zh-CN"/>
        </w:rPr>
      </w:pPr>
      <w:r>
        <w:rPr>
          <w:rFonts w:hint="eastAsia" w:cs="Times New Roman"/>
          <w:b w:val="0"/>
          <w:bCs w:val="0"/>
          <w:color w:val="auto"/>
          <w:szCs w:val="21"/>
          <w:highlight w:val="none"/>
          <w:lang w:eastAsia="zh-CN"/>
        </w:rPr>
        <w:t>在通用机场施工期和运营期，建成完善的机场与周围保护区的合作联动机制，设立本通用机场鸟类工作专业团队，鸟类观测资料共享，并设立专项基金，保证后续经费投入，确保其正常运行。</w:t>
      </w:r>
    </w:p>
    <w:p w14:paraId="08DE5428">
      <w:pPr>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4"/>
        <w:rPr>
          <w:rFonts w:hint="default" w:cs="Times New Roman"/>
          <w:b w:val="0"/>
          <w:bCs w:val="0"/>
          <w:color w:val="auto"/>
          <w:szCs w:val="21"/>
          <w:highlight w:val="none"/>
          <w:lang w:val="en-US" w:eastAsia="zh-CN"/>
        </w:rPr>
      </w:pPr>
      <w:r>
        <w:rPr>
          <w:rFonts w:hint="eastAsia" w:cs="Times New Roman"/>
          <w:b/>
          <w:bCs/>
          <w:color w:val="auto"/>
          <w:szCs w:val="21"/>
          <w:highlight w:val="none"/>
          <w:lang w:eastAsia="zh-CN"/>
        </w:rPr>
        <w:t>（</w:t>
      </w:r>
      <w:r>
        <w:rPr>
          <w:rFonts w:hint="eastAsia" w:cs="Times New Roman"/>
          <w:b/>
          <w:bCs/>
          <w:color w:val="auto"/>
          <w:szCs w:val="21"/>
          <w:highlight w:val="none"/>
          <w:lang w:val="en-US" w:eastAsia="zh-CN"/>
        </w:rPr>
        <w:t>5</w:t>
      </w:r>
      <w:r>
        <w:rPr>
          <w:rFonts w:hint="eastAsia" w:cs="Times New Roman"/>
          <w:b/>
          <w:bCs/>
          <w:color w:val="auto"/>
          <w:szCs w:val="21"/>
          <w:highlight w:val="none"/>
          <w:lang w:eastAsia="zh-CN"/>
        </w:rPr>
        <w:t>）</w:t>
      </w:r>
      <w:r>
        <w:rPr>
          <w:rFonts w:hint="eastAsia" w:cs="Times New Roman"/>
          <w:b/>
          <w:bCs/>
          <w:color w:val="auto"/>
          <w:szCs w:val="21"/>
          <w:highlight w:val="none"/>
          <w:lang w:val="en-US" w:eastAsia="zh-CN"/>
        </w:rPr>
        <w:t>分区防控措施</w:t>
      </w:r>
    </w:p>
    <w:p w14:paraId="6EB4206E">
      <w:pPr>
        <w:pageBreakBefore w:val="0"/>
        <w:widowControl/>
        <w:kinsoku/>
        <w:wordWrap/>
        <w:overflowPunct/>
        <w:bidi w:val="0"/>
        <w:ind w:firstLine="480" w:firstLineChars="200"/>
        <w:jc w:val="both"/>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分区防控：建立以飞行区为核心，周边20公里范围为管控区域的三道防线，包括鸟防核心区、鸟防警戒区和鸟情监控区，分别采取不同的防控措施。</w:t>
      </w:r>
    </w:p>
    <w:p w14:paraId="0F3C923B">
      <w:pPr>
        <w:pageBreakBefore w:val="0"/>
        <w:widowControl/>
        <w:kinsoku/>
        <w:wordWrap/>
        <w:overflowPunct/>
        <w:bidi w:val="0"/>
        <w:ind w:firstLine="480" w:firstLineChars="200"/>
        <w:jc w:val="both"/>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rPr>
        <w:t>机场外围鸟类栖息生境置换：</w:t>
      </w:r>
      <w:r>
        <w:rPr>
          <w:rFonts w:hint="eastAsia" w:cs="Times New Roman"/>
          <w:color w:val="auto"/>
          <w:szCs w:val="21"/>
          <w:highlight w:val="none"/>
          <w:lang w:val="en-US" w:eastAsia="zh-CN"/>
        </w:rPr>
        <w:t>可</w:t>
      </w:r>
      <w:r>
        <w:rPr>
          <w:rFonts w:hint="eastAsia" w:ascii="Times New Roman" w:hAnsi="Times New Roman" w:eastAsia="宋体" w:cs="Times New Roman"/>
          <w:color w:val="auto"/>
          <w:szCs w:val="21"/>
          <w:highlight w:val="none"/>
        </w:rPr>
        <w:t>在机场围界外5km至20km范围内的区域，采取措施适当提高区域鸟类栖息生境的质量，形成机场地区的替代性栖息地，引导影响航空器飞行的高危鸟种“迁离”机场地区。</w:t>
      </w:r>
      <w:r>
        <w:rPr>
          <w:rFonts w:hint="eastAsia" w:cs="Times New Roman"/>
          <w:color w:val="auto"/>
          <w:szCs w:val="21"/>
          <w:highlight w:val="none"/>
          <w:lang w:val="en-US" w:eastAsia="zh-CN"/>
        </w:rPr>
        <w:t>措施可操作性分析如下：（1）符合生态学原理：该措施基于“栖息地选择”理论。如果能够创造出一个在食物、水源、隐蔽条件等方面都优于机场区域的栖息生境，理论上可以吸引鸟类前往，从而减少它们在机场出现的概率；（2）可在根本上解决问题：与单纯的驱赶相比，生境置换可通过改变鸟类的分布格局来实现长期的航空器飞行安全；（3）措施具有针对性：措施的目标主要为“影响航空器飞行的高危鸟种”，目前鸟情调查单位已出具了高危鸟种目录，在后续实施过程中可使资源集中用于对这些特定鸟种的生态习性和栖息地需求进行研究。</w:t>
      </w:r>
    </w:p>
    <w:p w14:paraId="63D618D3">
      <w:pPr>
        <w:pageBreakBefore w:val="0"/>
        <w:widowControl/>
        <w:kinsoku/>
        <w:wordWrap/>
        <w:overflowPunct/>
        <w:bidi w:val="0"/>
        <w:ind w:firstLine="480" w:firstLineChars="200"/>
        <w:jc w:val="both"/>
        <w:rPr>
          <w:rFonts w:hint="default" w:cs="Times New Roman"/>
          <w:color w:val="auto"/>
          <w:szCs w:val="21"/>
          <w:highlight w:val="none"/>
          <w:lang w:val="en-US" w:eastAsia="zh-CN"/>
        </w:rPr>
      </w:pPr>
      <w:r>
        <w:rPr>
          <w:rFonts w:hint="eastAsia" w:ascii="Times New Roman" w:hAnsi="Times New Roman" w:eastAsia="宋体" w:cs="Times New Roman"/>
          <w:color w:val="auto"/>
          <w:szCs w:val="21"/>
          <w:highlight w:val="none"/>
        </w:rPr>
        <w:t>飞行程序优化：在鸟击风险研究中考虑飞行程序将显著提升研究针对性，从而更加接近问题的本质。根据机场飞行程序，基于航空器飞行性能对航空器进离场的典型航径（包括航迹和高度）进行分析，优化飞行程序以减少鸟击事件</w:t>
      </w:r>
      <w:r>
        <w:rPr>
          <w:rFonts w:hint="eastAsia" w:cs="Times New Roman"/>
          <w:color w:val="auto"/>
          <w:szCs w:val="21"/>
          <w:highlight w:val="none"/>
          <w:lang w:eastAsia="zh-CN"/>
        </w:rPr>
        <w:t>。措施的可行性及可操作性分析如下：（1）技术上的支持：</w:t>
      </w:r>
      <w:r>
        <w:rPr>
          <w:rFonts w:hint="eastAsia" w:cs="Times New Roman"/>
          <w:color w:val="auto"/>
          <w:szCs w:val="21"/>
          <w:highlight w:val="none"/>
          <w:lang w:val="en-US" w:eastAsia="zh-CN"/>
        </w:rPr>
        <w:t>现如今航空器</w:t>
      </w:r>
      <w:r>
        <w:rPr>
          <w:rFonts w:hint="eastAsia" w:cs="Times New Roman"/>
          <w:color w:val="auto"/>
          <w:szCs w:val="21"/>
          <w:highlight w:val="none"/>
          <w:lang w:eastAsia="zh-CN"/>
        </w:rPr>
        <w:t>飞行程序设计是一项成熟的技术，基于精确的导航设施（如RNAV）、航空器性能数据和地形数据，设计人员完全有能力设计出避开特定区域的进离场航线，或调整其在关键区域的飞行高度；</w:t>
      </w:r>
      <w:r>
        <w:rPr>
          <w:rFonts w:hint="eastAsia" w:cs="Times New Roman"/>
          <w:color w:val="auto"/>
          <w:szCs w:val="21"/>
          <w:highlight w:val="none"/>
          <w:lang w:val="en-US" w:eastAsia="zh-CN"/>
        </w:rPr>
        <w:t>例如，</w:t>
      </w:r>
      <w:r>
        <w:rPr>
          <w:rFonts w:hint="eastAsia" w:cs="Times New Roman"/>
          <w:color w:val="auto"/>
          <w:szCs w:val="21"/>
          <w:highlight w:val="none"/>
          <w:lang w:eastAsia="zh-CN"/>
        </w:rPr>
        <w:t>在鸟类迁徙高峰期（春、秋），离场航空器在达到安全高度后，</w:t>
      </w:r>
      <w:r>
        <w:rPr>
          <w:rFonts w:hint="eastAsia" w:cs="Times New Roman"/>
          <w:color w:val="auto"/>
          <w:szCs w:val="21"/>
          <w:highlight w:val="none"/>
          <w:lang w:val="en-US" w:eastAsia="zh-CN"/>
        </w:rPr>
        <w:t>考虑</w:t>
      </w:r>
      <w:r>
        <w:rPr>
          <w:rFonts w:hint="eastAsia" w:cs="Times New Roman"/>
          <w:color w:val="auto"/>
          <w:szCs w:val="21"/>
          <w:highlight w:val="none"/>
          <w:lang w:eastAsia="zh-CN"/>
        </w:rPr>
        <w:t>尽早转弯，避开正对艾比湖湿地的扇区；设计</w:t>
      </w:r>
      <w:r>
        <w:rPr>
          <w:rFonts w:hint="eastAsia" w:cs="Times New Roman"/>
          <w:color w:val="auto"/>
          <w:szCs w:val="21"/>
          <w:highlight w:val="none"/>
          <w:lang w:val="en-US" w:eastAsia="zh-CN"/>
        </w:rPr>
        <w:t>航空器</w:t>
      </w:r>
      <w:r>
        <w:rPr>
          <w:rFonts w:hint="eastAsia" w:cs="Times New Roman"/>
          <w:color w:val="auto"/>
          <w:szCs w:val="21"/>
          <w:highlight w:val="none"/>
          <w:lang w:eastAsia="zh-CN"/>
        </w:rPr>
        <w:t>进场航线在更高的高度飞越鸟类活动高风险区（如博尔塔拉河</w:t>
      </w:r>
      <w:r>
        <w:rPr>
          <w:rFonts w:hint="eastAsia" w:cs="Times New Roman"/>
          <w:color w:val="auto"/>
          <w:szCs w:val="21"/>
          <w:highlight w:val="none"/>
          <w:lang w:val="en-US" w:eastAsia="zh-CN"/>
        </w:rPr>
        <w:t>/精河</w:t>
      </w:r>
      <w:r>
        <w:rPr>
          <w:rFonts w:hint="eastAsia" w:cs="Times New Roman"/>
          <w:color w:val="auto"/>
          <w:szCs w:val="21"/>
          <w:highlight w:val="none"/>
          <w:lang w:eastAsia="zh-CN"/>
        </w:rPr>
        <w:t>河谷、艾比湖方向），然后以更陡的梯度下降；在鸟类活动高峰时段，塔台优先选择使用背离艾比湖湿地的一端进行起降</w:t>
      </w:r>
      <w:r>
        <w:rPr>
          <w:rFonts w:hint="eastAsia" w:cs="Times New Roman"/>
          <w:color w:val="auto"/>
          <w:szCs w:val="21"/>
          <w:highlight w:val="none"/>
          <w:lang w:val="en-US" w:eastAsia="zh-CN"/>
        </w:rPr>
        <w:t>方向，可在一定程度上</w:t>
      </w:r>
      <w:r>
        <w:rPr>
          <w:rFonts w:hint="eastAsia" w:cs="Times New Roman"/>
          <w:color w:val="auto"/>
          <w:szCs w:val="21"/>
          <w:highlight w:val="none"/>
          <w:lang w:eastAsia="zh-CN"/>
        </w:rPr>
        <w:t>减少航空器与从艾比湖方向飞来的鸟群正面相遇的概率；（</w:t>
      </w:r>
      <w:r>
        <w:rPr>
          <w:rFonts w:hint="eastAsia" w:cs="Times New Roman"/>
          <w:color w:val="auto"/>
          <w:szCs w:val="21"/>
          <w:highlight w:val="none"/>
          <w:lang w:val="en-US" w:eastAsia="zh-CN"/>
        </w:rPr>
        <w:t>2</w:t>
      </w:r>
      <w:r>
        <w:rPr>
          <w:rFonts w:hint="eastAsia" w:cs="Times New Roman"/>
          <w:color w:val="auto"/>
          <w:szCs w:val="21"/>
          <w:highlight w:val="none"/>
          <w:lang w:eastAsia="zh-CN"/>
        </w:rPr>
        <w:t>）有成功的先例：全球范围内，许多位于候鸟迁徙通道或鸟类密集区的机场都采用了优化飞行程序的方法来降低鸟击风险。例如，武汉天河</w:t>
      </w:r>
      <w:r>
        <w:rPr>
          <w:rFonts w:hint="eastAsia" w:cs="Times New Roman"/>
          <w:color w:val="auto"/>
          <w:szCs w:val="21"/>
          <w:highlight w:val="none"/>
          <w:lang w:val="en-US" w:eastAsia="zh-CN"/>
        </w:rPr>
        <w:t>国际</w:t>
      </w:r>
      <w:r>
        <w:rPr>
          <w:rFonts w:hint="eastAsia" w:cs="Times New Roman"/>
          <w:color w:val="auto"/>
          <w:szCs w:val="21"/>
          <w:highlight w:val="none"/>
          <w:lang w:eastAsia="zh-CN"/>
        </w:rPr>
        <w:t>机场（</w:t>
      </w:r>
      <w:r>
        <w:rPr>
          <w:rFonts w:hint="eastAsia" w:cs="Times New Roman"/>
          <w:color w:val="auto"/>
          <w:szCs w:val="21"/>
          <w:highlight w:val="none"/>
          <w:lang w:val="en-US" w:eastAsia="zh-CN"/>
        </w:rPr>
        <w:t>临近长江、府澴河、府河湿地等</w:t>
      </w:r>
      <w:r>
        <w:rPr>
          <w:rFonts w:hint="eastAsia" w:cs="Times New Roman"/>
          <w:color w:val="auto"/>
          <w:szCs w:val="21"/>
          <w:highlight w:val="none"/>
          <w:lang w:eastAsia="zh-CN"/>
        </w:rPr>
        <w:t>）、韩城合阳</w:t>
      </w:r>
      <w:r>
        <w:rPr>
          <w:rFonts w:hint="eastAsia" w:cs="Times New Roman"/>
          <w:color w:val="auto"/>
          <w:szCs w:val="21"/>
          <w:highlight w:val="none"/>
          <w:lang w:val="en-US" w:eastAsia="zh-CN"/>
        </w:rPr>
        <w:t>通用</w:t>
      </w:r>
      <w:r>
        <w:rPr>
          <w:rFonts w:hint="eastAsia" w:cs="Times New Roman"/>
          <w:color w:val="auto"/>
          <w:szCs w:val="21"/>
          <w:highlight w:val="none"/>
          <w:lang w:eastAsia="zh-CN"/>
        </w:rPr>
        <w:t>机场</w:t>
      </w:r>
      <w:r>
        <w:rPr>
          <w:rFonts w:hint="eastAsia" w:cs="Times New Roman"/>
          <w:color w:val="auto"/>
          <w:szCs w:val="21"/>
          <w:highlight w:val="none"/>
          <w:lang w:val="en-US" w:eastAsia="zh-CN"/>
        </w:rPr>
        <w:t>/郑州上街机场</w:t>
      </w:r>
      <w:r>
        <w:rPr>
          <w:rFonts w:hint="eastAsia" w:cs="Times New Roman"/>
          <w:color w:val="auto"/>
          <w:szCs w:val="21"/>
          <w:highlight w:val="none"/>
          <w:lang w:eastAsia="zh-CN"/>
        </w:rPr>
        <w:t>（</w:t>
      </w:r>
      <w:r>
        <w:rPr>
          <w:rFonts w:hint="eastAsia" w:cs="Times New Roman"/>
          <w:color w:val="auto"/>
          <w:szCs w:val="21"/>
          <w:highlight w:val="none"/>
          <w:lang w:val="en-US" w:eastAsia="zh-CN"/>
        </w:rPr>
        <w:t>临近</w:t>
      </w:r>
      <w:r>
        <w:rPr>
          <w:rFonts w:hint="eastAsia" w:cs="Times New Roman"/>
          <w:color w:val="auto"/>
          <w:szCs w:val="21"/>
          <w:highlight w:val="none"/>
          <w:lang w:eastAsia="zh-CN"/>
        </w:rPr>
        <w:t>黄河）、</w:t>
      </w:r>
      <w:r>
        <w:rPr>
          <w:rFonts w:hint="eastAsia" w:cs="Times New Roman"/>
          <w:color w:val="auto"/>
          <w:szCs w:val="21"/>
          <w:highlight w:val="none"/>
          <w:lang w:val="en-US" w:eastAsia="zh-CN"/>
        </w:rPr>
        <w:t>海南美兰国际机场（临近南渡江、迈雅河滨海湿地公园、琼州海峡等）</w:t>
      </w:r>
      <w:r>
        <w:rPr>
          <w:rFonts w:hint="eastAsia" w:cs="Times New Roman"/>
          <w:color w:val="auto"/>
          <w:szCs w:val="21"/>
          <w:highlight w:val="none"/>
          <w:lang w:eastAsia="zh-CN"/>
        </w:rPr>
        <w:t>在特定季节采用不同的起降方向，或设置绕飞航线。</w:t>
      </w:r>
    </w:p>
    <w:p w14:paraId="004DB355">
      <w:pPr>
        <w:pageBreakBefore w:val="0"/>
        <w:widowControl/>
        <w:kinsoku/>
        <w:wordWrap/>
        <w:overflowPunct/>
        <w:bidi w:val="0"/>
        <w:ind w:firstLine="480" w:firstLineChars="20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严禁捕猎鸟类</w:t>
      </w:r>
      <w:r>
        <w:rPr>
          <w:rFonts w:hint="eastAsia" w:cs="Times New Roman"/>
          <w:color w:val="auto"/>
          <w:szCs w:val="21"/>
          <w:highlight w:val="none"/>
          <w:lang w:eastAsia="zh-CN"/>
        </w:rPr>
        <w:t>：</w:t>
      </w:r>
      <w:r>
        <w:rPr>
          <w:rFonts w:ascii="Times New Roman" w:hAnsi="Times New Roman" w:eastAsia="宋体" w:cs="Times New Roman"/>
          <w:color w:val="auto"/>
          <w:szCs w:val="21"/>
          <w:highlight w:val="none"/>
        </w:rPr>
        <w:t>非法捕杀、买卖、食用这些野生鸟类，都是违法行为</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建设单位应定期对员工开展鸟类保护宣传工作。在每年的迁徙季节，以及繁殖季节，尤其需要关注对野生鸟类的捕杀活动，遇到特殊情况应立即通知当地森林公安。</w:t>
      </w:r>
    </w:p>
    <w:p w14:paraId="0DBB8374">
      <w:pPr>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4"/>
        <w:rPr>
          <w:rFonts w:hint="eastAsia" w:cs="Times New Roman"/>
          <w:b/>
          <w:bCs/>
          <w:color w:val="auto"/>
          <w:szCs w:val="21"/>
          <w:highlight w:val="none"/>
          <w:lang w:eastAsia="zh-CN"/>
        </w:rPr>
      </w:pPr>
      <w:r>
        <w:rPr>
          <w:rFonts w:hint="eastAsia" w:cs="Times New Roman"/>
          <w:b/>
          <w:bCs/>
          <w:color w:val="auto"/>
          <w:szCs w:val="21"/>
          <w:highlight w:val="none"/>
          <w:lang w:eastAsia="zh-CN"/>
        </w:rPr>
        <w:t>（</w:t>
      </w:r>
      <w:r>
        <w:rPr>
          <w:rFonts w:hint="eastAsia" w:cs="Times New Roman"/>
          <w:b/>
          <w:bCs/>
          <w:color w:val="auto"/>
          <w:szCs w:val="21"/>
          <w:highlight w:val="none"/>
          <w:lang w:val="en-US" w:eastAsia="zh-CN"/>
        </w:rPr>
        <w:t>6</w:t>
      </w:r>
      <w:r>
        <w:rPr>
          <w:rFonts w:hint="eastAsia" w:cs="Times New Roman"/>
          <w:b/>
          <w:bCs/>
          <w:color w:val="auto"/>
          <w:szCs w:val="21"/>
          <w:highlight w:val="none"/>
          <w:lang w:eastAsia="zh-CN"/>
        </w:rPr>
        <w:t>）重点保护鸟类保护措施</w:t>
      </w:r>
    </w:p>
    <w:p w14:paraId="06061D0A">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机场管理机构应以管理机场地区的农田、草地、水面等环境中的小型鸟类、鼠类、兔类、蛙类为主，控制猛禽的数量、分布等情况。注意整治露天垃圾场，在围界内区域定期割草、灭兔、灭鼠，及时救助</w:t>
      </w:r>
      <w:r>
        <w:rPr>
          <w:rFonts w:hint="eastAsia" w:cs="Times New Roman"/>
          <w:color w:val="auto"/>
          <w:szCs w:val="21"/>
          <w:highlight w:val="none"/>
          <w:lang w:val="en-US" w:eastAsia="zh-CN"/>
        </w:rPr>
        <w:t>捕获及受伤</w:t>
      </w:r>
      <w:r>
        <w:rPr>
          <w:rFonts w:hint="eastAsia" w:cs="Times New Roman"/>
          <w:color w:val="auto"/>
          <w:szCs w:val="21"/>
          <w:highlight w:val="none"/>
          <w:lang w:eastAsia="zh-CN"/>
        </w:rPr>
        <w:t>的鸟</w:t>
      </w:r>
      <w:r>
        <w:rPr>
          <w:rFonts w:hint="eastAsia" w:cs="Times New Roman"/>
          <w:color w:val="auto"/>
          <w:szCs w:val="21"/>
          <w:highlight w:val="none"/>
          <w:lang w:val="en-US" w:eastAsia="zh-CN"/>
        </w:rPr>
        <w:t>类</w:t>
      </w:r>
      <w:r>
        <w:rPr>
          <w:rFonts w:hint="eastAsia" w:cs="Times New Roman"/>
          <w:color w:val="auto"/>
          <w:szCs w:val="21"/>
          <w:highlight w:val="none"/>
          <w:lang w:eastAsia="zh-CN"/>
        </w:rPr>
        <w:t>，在围界上、灯架上、木桩上加装防鸟刺。</w:t>
      </w:r>
    </w:p>
    <w:p w14:paraId="24C1A184">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驱赶猛禽活动应以中高空惊吓措施为主，可用驱鸟炮、礼花弹、煤气炮等惊吓手段。</w:t>
      </w:r>
    </w:p>
    <w:p w14:paraId="73D28233">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对于常见鸟类麻雀、大山雀、乌鸫等的控制措施主要为禁止在净空保护区范围内种植高大树木，减少常见鸟类营巢空间，并采用人工驱鸟等方式减少其在机场周围的活动。</w:t>
      </w:r>
    </w:p>
    <w:p w14:paraId="1FA20435">
      <w:pPr>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4"/>
        <w:rPr>
          <w:rFonts w:hint="eastAsia" w:cs="Times New Roman"/>
          <w:b/>
          <w:bCs/>
          <w:color w:val="auto"/>
          <w:szCs w:val="21"/>
          <w:highlight w:val="none"/>
          <w:lang w:eastAsia="zh-CN"/>
        </w:rPr>
      </w:pPr>
      <w:r>
        <w:rPr>
          <w:rFonts w:hint="eastAsia" w:cs="Times New Roman"/>
          <w:b/>
          <w:bCs/>
          <w:color w:val="auto"/>
          <w:szCs w:val="21"/>
          <w:highlight w:val="none"/>
          <w:lang w:eastAsia="zh-CN"/>
        </w:rPr>
        <w:t>（</w:t>
      </w:r>
      <w:r>
        <w:rPr>
          <w:rFonts w:hint="eastAsia" w:cs="Times New Roman"/>
          <w:b/>
          <w:bCs/>
          <w:color w:val="auto"/>
          <w:szCs w:val="21"/>
          <w:highlight w:val="none"/>
          <w:lang w:val="en-US" w:eastAsia="zh-CN"/>
        </w:rPr>
        <w:t>7</w:t>
      </w:r>
      <w:r>
        <w:rPr>
          <w:rFonts w:hint="eastAsia" w:cs="Times New Roman"/>
          <w:b/>
          <w:bCs/>
          <w:color w:val="auto"/>
          <w:szCs w:val="21"/>
          <w:highlight w:val="none"/>
          <w:lang w:eastAsia="zh-CN"/>
        </w:rPr>
        <w:t>）高威胁鸟种保护措施</w:t>
      </w:r>
    </w:p>
    <w:p w14:paraId="2105A4A2">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根据现场调查情况，拟建机场项目区及周边分布的鸟类中，机场起降对鸟类威胁较高的为燕类和紫翅椋鸟。</w:t>
      </w:r>
    </w:p>
    <w:p w14:paraId="7E8A022A">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1）燕类</w:t>
      </w:r>
    </w:p>
    <w:p w14:paraId="11EB3D66">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机场管理机构主要应当对机场地区的草地、农田、水面、垃圾堆放地等易滋生飞虫的环境进行管理，在围界内区域定期割草、灭虫、清淤，尤其是，割草应与灭虫同期进行，以免割草惊飞昆虫害的爆发；并应及时清理割下部分。在夏季，应注意在大雨来临前加强灭虫和采取驱鸟措施，避免燕类取食道面砂砾。</w:t>
      </w:r>
    </w:p>
    <w:p w14:paraId="0F745957">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及时整治露天垃圾场。在围界上、灯架上和屋檐下加装防鸟刺。</w:t>
      </w:r>
    </w:p>
    <w:p w14:paraId="3E6A2288">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驱赶燕类活动的措施应覆盖中低空及地面，可使用驱鸟炮、烟花爆竹、煤气炮、声学驱鸟系统、拉彩旗等声光手段，也可施用氨水，撒硫磺粉带。</w:t>
      </w:r>
    </w:p>
    <w:p w14:paraId="55201773">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2）椋鸟</w:t>
      </w:r>
    </w:p>
    <w:p w14:paraId="527BD150">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机场管理机构应当对机场地区的草地、农田、水体、等易滋生昆虫环境为主，并注意在春夏繁殖季定期清查机场周边树木及设施上的鸟巢。可在围界内区域定期割草、灭虫、清淤、碾压草坪，及时清理割下的草。在围界外区域密切监测各类区域的昆虫、谷类作物情况，清理围界内外的食物垃圾，整治机场周边的农作物堆场和晒场、露天垃圾场。</w:t>
      </w:r>
    </w:p>
    <w:p w14:paraId="716A6736">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紫翅椋鸟在机场及周边的夏候鸟，每年秋季常集群在农区飞行，因此易对区域鸟类惊吓措施产生适应，应不断变换各类措施的使用或多措施结合使用，不定期使用驱鸟炮、烟花爆竹、煤气炮、声学驱鸟系统、拉彩旗等声光手段与猎枪结合使用。</w:t>
      </w:r>
    </w:p>
    <w:p w14:paraId="5A6DB82E">
      <w:pPr>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4"/>
        <w:rPr>
          <w:rFonts w:hint="eastAsia" w:cs="Times New Roman"/>
          <w:b/>
          <w:bCs/>
          <w:color w:val="auto"/>
          <w:szCs w:val="21"/>
          <w:highlight w:val="none"/>
          <w:lang w:eastAsia="zh-CN"/>
        </w:rPr>
      </w:pPr>
      <w:r>
        <w:rPr>
          <w:rFonts w:hint="eastAsia" w:cs="Times New Roman"/>
          <w:b/>
          <w:bCs/>
          <w:color w:val="auto"/>
          <w:szCs w:val="21"/>
          <w:highlight w:val="none"/>
          <w:lang w:eastAsia="zh-CN"/>
        </w:rPr>
        <w:t>（</w:t>
      </w:r>
      <w:r>
        <w:rPr>
          <w:rFonts w:hint="eastAsia" w:cs="Times New Roman"/>
          <w:b/>
          <w:bCs/>
          <w:color w:val="auto"/>
          <w:szCs w:val="21"/>
          <w:highlight w:val="none"/>
          <w:lang w:val="en-US" w:eastAsia="zh-CN"/>
        </w:rPr>
        <w:t>8</w:t>
      </w:r>
      <w:r>
        <w:rPr>
          <w:rFonts w:hint="eastAsia" w:cs="Times New Roman"/>
          <w:b/>
          <w:bCs/>
          <w:color w:val="auto"/>
          <w:szCs w:val="21"/>
          <w:highlight w:val="none"/>
          <w:lang w:eastAsia="zh-CN"/>
        </w:rPr>
        <w:t>）周边湿地鸟类保护措施</w:t>
      </w:r>
    </w:p>
    <w:p w14:paraId="7EA03F90">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1）定期清理机场内的排水沟、地面积水，避免蛙、软体动物类滋生。</w:t>
      </w:r>
    </w:p>
    <w:p w14:paraId="798C5A7C">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2）加强围界内巡视，以免水鸟在围界内草地中栖息。夏季定期碾压草坪，清理草地中的鸟巢。</w:t>
      </w:r>
    </w:p>
    <w:p w14:paraId="1DCB9DB1">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3）驱赶水鸟活动应以中、低空惊吓类手段为主。</w:t>
      </w:r>
    </w:p>
    <w:p w14:paraId="48B92473">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4）在迁徙季节加强对鸟类迁徙信息的关注，在迁徙高峰时期可加强使用驱鸟</w:t>
      </w:r>
      <w:r>
        <w:rPr>
          <w:rFonts w:hint="eastAsia" w:cs="Times New Roman"/>
          <w:color w:val="auto"/>
          <w:szCs w:val="21"/>
          <w:highlight w:val="none"/>
          <w:lang w:val="en-US" w:eastAsia="zh-CN"/>
        </w:rPr>
        <w:t>枪</w:t>
      </w:r>
      <w:r>
        <w:rPr>
          <w:rFonts w:hint="eastAsia" w:cs="Times New Roman"/>
          <w:color w:val="auto"/>
          <w:szCs w:val="21"/>
          <w:highlight w:val="none"/>
          <w:lang w:eastAsia="zh-CN"/>
        </w:rPr>
        <w:t>、驱鸟炮应对突发状况。</w:t>
      </w:r>
    </w:p>
    <w:p w14:paraId="0DC15FBE">
      <w:pPr>
        <w:keepNext w:val="0"/>
        <w:keepLines w:val="0"/>
        <w:pageBreakBefore w:val="0"/>
        <w:widowControl/>
        <w:kinsoku/>
        <w:wordWrap/>
        <w:overflowPunct/>
        <w:topLinePunct w:val="0"/>
        <w:autoSpaceDE/>
        <w:autoSpaceDN/>
        <w:bidi w:val="0"/>
        <w:adjustRightInd/>
        <w:snapToGrid/>
        <w:ind w:firstLine="482" w:firstLineChars="200"/>
        <w:jc w:val="both"/>
        <w:textAlignment w:val="auto"/>
        <w:outlineLvl w:val="4"/>
        <w:rPr>
          <w:rFonts w:hint="eastAsia" w:cs="Times New Roman"/>
          <w:b/>
          <w:bCs/>
          <w:color w:val="auto"/>
          <w:szCs w:val="21"/>
          <w:highlight w:val="none"/>
          <w:lang w:eastAsia="zh-CN"/>
        </w:rPr>
      </w:pPr>
      <w:r>
        <w:rPr>
          <w:rFonts w:hint="eastAsia" w:cs="Times New Roman"/>
          <w:b/>
          <w:bCs/>
          <w:color w:val="auto"/>
          <w:szCs w:val="21"/>
          <w:highlight w:val="none"/>
          <w:lang w:eastAsia="zh-CN"/>
        </w:rPr>
        <w:t>（</w:t>
      </w:r>
      <w:r>
        <w:rPr>
          <w:rFonts w:hint="eastAsia" w:cs="Times New Roman"/>
          <w:b/>
          <w:bCs/>
          <w:color w:val="auto"/>
          <w:szCs w:val="21"/>
          <w:highlight w:val="none"/>
          <w:lang w:val="en-US" w:eastAsia="zh-CN"/>
        </w:rPr>
        <w:t>9</w:t>
      </w:r>
      <w:r>
        <w:rPr>
          <w:rFonts w:hint="eastAsia" w:cs="Times New Roman"/>
          <w:b/>
          <w:bCs/>
          <w:color w:val="auto"/>
          <w:szCs w:val="21"/>
          <w:highlight w:val="none"/>
          <w:lang w:eastAsia="zh-CN"/>
        </w:rPr>
        <w:t>）</w:t>
      </w:r>
      <w:r>
        <w:rPr>
          <w:rFonts w:hint="eastAsia" w:cs="Times New Roman"/>
          <w:b/>
          <w:bCs/>
          <w:color w:val="auto"/>
          <w:szCs w:val="21"/>
          <w:highlight w:val="none"/>
          <w:lang w:val="en-US" w:eastAsia="zh-CN"/>
        </w:rPr>
        <w:t>艾比湖湿地</w:t>
      </w:r>
      <w:r>
        <w:rPr>
          <w:rFonts w:hint="eastAsia" w:cs="Times New Roman"/>
          <w:b/>
          <w:bCs/>
          <w:color w:val="auto"/>
          <w:szCs w:val="21"/>
          <w:highlight w:val="none"/>
          <w:lang w:eastAsia="zh-CN"/>
        </w:rPr>
        <w:t>保护措施</w:t>
      </w:r>
    </w:p>
    <w:p w14:paraId="2E3AFF71">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1）从时间维度进行：</w:t>
      </w:r>
    </w:p>
    <w:p w14:paraId="6E1FB5A6">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val="en-US" w:eastAsia="zh-CN"/>
        </w:rPr>
        <w:t>①</w:t>
      </w:r>
      <w:r>
        <w:rPr>
          <w:rFonts w:hint="eastAsia" w:cs="Times New Roman"/>
          <w:color w:val="auto"/>
          <w:szCs w:val="21"/>
          <w:highlight w:val="none"/>
          <w:lang w:eastAsia="zh-CN"/>
        </w:rPr>
        <w:t>全周期考量：鸟击防范应贯穿机场建设运行的全周期，在机场选址、设计之初便未雨绸缪、纳入考量。</w:t>
      </w:r>
    </w:p>
    <w:p w14:paraId="3011C8F1">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val="en-US" w:eastAsia="zh-CN"/>
        </w:rPr>
        <w:t>②</w:t>
      </w:r>
      <w:r>
        <w:rPr>
          <w:rFonts w:hint="eastAsia" w:cs="Times New Roman"/>
          <w:color w:val="auto"/>
          <w:szCs w:val="21"/>
          <w:highlight w:val="none"/>
          <w:lang w:eastAsia="zh-CN"/>
        </w:rPr>
        <w:t>季节性活动考量：鸟击防范不能仅从机场投运后才着手，而应考虑鸟类的季节性活动，如春季鸟类迁徙、繁殖季节等，这些时期鸟击事件更为频繁。</w:t>
      </w:r>
    </w:p>
    <w:p w14:paraId="43E8D318">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val="en-US" w:eastAsia="zh-CN"/>
        </w:rPr>
        <w:t>③</w:t>
      </w:r>
      <w:r>
        <w:rPr>
          <w:rFonts w:hint="eastAsia" w:cs="Times New Roman"/>
          <w:color w:val="auto"/>
          <w:szCs w:val="21"/>
          <w:highlight w:val="none"/>
          <w:lang w:eastAsia="zh-CN"/>
        </w:rPr>
        <w:t>实时监控与预警：推进驱鸟新技术的应用，通过在重点区域安装高清监控设备，与人员目视监控相结合，提升鸟情信息收集水平，改善鸟情信息采集、存储、分析等传统工作模式，将鸟击防范“死数据”变为“活数据”，提升鸟防工作信息化水平。</w:t>
      </w:r>
    </w:p>
    <w:p w14:paraId="1AEEBA96">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val="en-US" w:eastAsia="zh-CN"/>
        </w:rPr>
        <w:t>2）</w:t>
      </w:r>
      <w:r>
        <w:rPr>
          <w:rFonts w:hint="eastAsia" w:cs="Times New Roman"/>
          <w:color w:val="auto"/>
          <w:szCs w:val="21"/>
          <w:highlight w:val="none"/>
          <w:lang w:eastAsia="zh-CN"/>
        </w:rPr>
        <w:t>从空间维度进行：</w:t>
      </w:r>
    </w:p>
    <w:p w14:paraId="266D7263">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val="en-US" w:eastAsia="zh-CN"/>
        </w:rPr>
        <w:t>①</w:t>
      </w:r>
      <w:r>
        <w:rPr>
          <w:rFonts w:hint="eastAsia" w:cs="Times New Roman"/>
          <w:color w:val="auto"/>
          <w:szCs w:val="21"/>
          <w:highlight w:val="none"/>
          <w:lang w:eastAsia="zh-CN"/>
        </w:rPr>
        <w:t>机场责任区外的鸟击风险：鸟击防范不仅要覆盖机场责任区内，也需密切关注机场责任区外的鸟击风险来源，充分考虑飞机飞行的全过程。</w:t>
      </w:r>
    </w:p>
    <w:p w14:paraId="2A71566C">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val="en-US" w:eastAsia="zh-CN"/>
        </w:rPr>
        <w:t>②</w:t>
      </w:r>
      <w:r>
        <w:rPr>
          <w:rFonts w:hint="eastAsia" w:cs="Times New Roman"/>
          <w:color w:val="auto"/>
          <w:szCs w:val="21"/>
          <w:highlight w:val="none"/>
          <w:lang w:eastAsia="zh-CN"/>
        </w:rPr>
        <w:t>分区防控：建立以飞行区为核心，周边20公里范围为管控区域的三道防线，包括鸟防核心区、鸟防警戒区和鸟情监控区，分别采取不同的防控措施。</w:t>
      </w:r>
    </w:p>
    <w:p w14:paraId="3CDC4038">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val="en-US" w:eastAsia="zh-CN"/>
        </w:rPr>
        <w:t>③</w:t>
      </w:r>
      <w:r>
        <w:rPr>
          <w:rFonts w:hint="eastAsia" w:cs="Times New Roman"/>
          <w:color w:val="auto"/>
          <w:szCs w:val="21"/>
          <w:highlight w:val="none"/>
          <w:lang w:eastAsia="zh-CN"/>
        </w:rPr>
        <w:t>生态环境治理：开展生态环境治理工作，消除鸟类生存的三大要素——食物、水、隐蔽场所，减少鸟类在机场净空区的活动。</w:t>
      </w:r>
    </w:p>
    <w:p w14:paraId="10F5BB40">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val="en-US" w:eastAsia="zh-CN"/>
        </w:rPr>
        <w:t>④</w:t>
      </w:r>
      <w:r>
        <w:rPr>
          <w:rFonts w:hint="eastAsia" w:cs="Times New Roman"/>
          <w:color w:val="auto"/>
          <w:szCs w:val="21"/>
          <w:highlight w:val="none"/>
          <w:lang w:eastAsia="zh-CN"/>
        </w:rPr>
        <w:t>高危鸟种控制：确定机场飞行区及其周边区域的高危鸟种，减少机场飞行区吸引鸟类的生态因子，立足于飞行区草坪区域的有效管控，改变土面区的觅食地、水源地、栖息地等生境要素。</w:t>
      </w:r>
    </w:p>
    <w:p w14:paraId="0AA11BE3">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val="en-US" w:eastAsia="zh-CN"/>
        </w:rPr>
        <w:t>⑤</w:t>
      </w:r>
      <w:r>
        <w:rPr>
          <w:rFonts w:hint="eastAsia" w:cs="Times New Roman"/>
          <w:color w:val="auto"/>
          <w:szCs w:val="21"/>
          <w:highlight w:val="none"/>
          <w:lang w:eastAsia="zh-CN"/>
        </w:rPr>
        <w:t>机场外围鸟类栖息地置换：在机场围界外5km至20km范围内的区域，采取措施适当提高区域鸟类栖息地的质量，形成机场地区的替代性栖息地，引导影响航空器飞行的高危鸟种“迁离”机场地区。</w:t>
      </w:r>
    </w:p>
    <w:p w14:paraId="45FFC25D">
      <w:pPr>
        <w:pageBreakBefore w:val="0"/>
        <w:widowControl/>
        <w:kinsoku/>
        <w:wordWrap/>
        <w:overflowPunct/>
        <w:bidi w:val="0"/>
        <w:ind w:firstLine="480" w:firstLineChars="200"/>
        <w:jc w:val="both"/>
        <w:rPr>
          <w:rFonts w:hint="default" w:cs="Times New Roman"/>
          <w:color w:val="auto"/>
          <w:szCs w:val="21"/>
          <w:highlight w:val="none"/>
          <w:lang w:val="en-US" w:eastAsia="zh-CN"/>
        </w:rPr>
      </w:pPr>
      <w:r>
        <w:rPr>
          <w:rFonts w:hint="eastAsia" w:cs="Times New Roman"/>
          <w:color w:val="auto"/>
          <w:szCs w:val="21"/>
          <w:highlight w:val="none"/>
          <w:lang w:val="en-US" w:eastAsia="zh-CN"/>
        </w:rPr>
        <w:t>⑥</w:t>
      </w:r>
      <w:r>
        <w:rPr>
          <w:rFonts w:hint="eastAsia" w:cs="Times New Roman"/>
          <w:color w:val="auto"/>
          <w:szCs w:val="21"/>
          <w:highlight w:val="none"/>
          <w:lang w:eastAsia="zh-CN"/>
        </w:rPr>
        <w:t>飞行程序优化：在鸟击风险研究中考虑飞行程序将显著提升研究针对性，从而更加接近问题的本质。根据机场飞行程序，基于航空器飞行性能对航空器进离场的典型航径（包括航迹和高度）进行分析，优化飞行程序以减少鸟击事件。跑道方向与博尔塔拉河垂直，向北几乎正对艾比湖湿地，且距艾比湖湿地鸟类重要停歇地距离</w:t>
      </w:r>
      <w:r>
        <w:rPr>
          <w:rFonts w:hint="eastAsia" w:cs="Times New Roman"/>
          <w:color w:val="auto"/>
          <w:szCs w:val="21"/>
          <w:highlight w:val="none"/>
          <w:lang w:val="en-US" w:eastAsia="zh-CN"/>
        </w:rPr>
        <w:t>约18km</w:t>
      </w:r>
      <w:r>
        <w:rPr>
          <w:rFonts w:hint="eastAsia" w:cs="Times New Roman"/>
          <w:color w:val="auto"/>
          <w:szCs w:val="21"/>
          <w:highlight w:val="none"/>
          <w:lang w:eastAsia="zh-CN"/>
        </w:rPr>
        <w:t>，这将增加拟建机场起降飞机与停歇艾比湖湿地沿博尔塔拉河迁徙候鸟发生碰撞的概率，建议在后期持续开展鸟情监测并建议调整拟建机场起降方向及航线等从而降低发生碰撞的风险。</w:t>
      </w:r>
    </w:p>
    <w:p w14:paraId="2C263FF0">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重点公益林保护措施及其可行性论证</w:t>
      </w:r>
    </w:p>
    <w:p w14:paraId="7AAAFD98">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根据评价区域重点公益林调查与评价结果，本项目占地范围内不涉及重点公益林，距离拟建机场场址最近的重点公益林约200m，为地方公益林，地类为灌木林地等，优势树种为梭梭、</w:t>
      </w:r>
      <w:r>
        <w:rPr>
          <w:rFonts w:hint="eastAsia" w:cs="Times New Roman"/>
          <w:color w:val="auto"/>
          <w:szCs w:val="21"/>
          <w:highlight w:val="none"/>
          <w:lang w:val="en-US" w:eastAsia="zh-CN"/>
        </w:rPr>
        <w:t>胡杨</w:t>
      </w:r>
      <w:r>
        <w:rPr>
          <w:rFonts w:hint="eastAsia" w:cs="Times New Roman"/>
          <w:color w:val="auto"/>
          <w:szCs w:val="21"/>
          <w:highlight w:val="none"/>
          <w:lang w:eastAsia="zh-CN"/>
        </w:rPr>
        <w:t>等，植被稀疏，为防风固沙林。</w:t>
      </w:r>
    </w:p>
    <w:p w14:paraId="36A25903">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1）评价区域分布有部分重点公益林，本项目在设计选址阶段就对区域重点公益林及植被覆盖度较高的区域采取了避让措施，项目在下一阶段的实际施工过程中，如发现占用重点公益林，建设单位应委托有资质的单位编制占用林地的可行性研究报告，根据国家和自治区相关法律法规要求，进行补偿和恢复。</w:t>
      </w:r>
    </w:p>
    <w:p w14:paraId="6D5A020C">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（2）合理设置临时用地（施工场地、施工营地、取土场、施工便道等）和机场附属设施占地，不得占用重点公益林。</w:t>
      </w:r>
    </w:p>
    <w:p w14:paraId="3F838A1F">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（3）严格控制施工范围。教育施工人员保护植被，注意施工及生活用火安全，防止林草火灾的发生。</w:t>
      </w:r>
    </w:p>
    <w:p w14:paraId="762B0950">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（4）项目征占地范围内的保护植物要征得林草部门的同意，办理相关手续，进行补偿和恢复；</w:t>
      </w:r>
    </w:p>
    <w:p w14:paraId="157C883F">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（5）严禁砍伐施工区外围的植被等被作燃料，尽量减少对项目区周围植被的影响；</w:t>
      </w:r>
    </w:p>
    <w:p w14:paraId="186090D2">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（6）项目完工后，要对项目占压林地面积进行调查，尽量恢复，优化原有的自然环境和绿地占有水平。</w:t>
      </w:r>
    </w:p>
    <w:p w14:paraId="71CB14D1">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val="en-US" w:eastAsia="zh-CN"/>
        </w:rPr>
        <w:t>综上，本项目重点公益林保护措施可行</w:t>
      </w:r>
      <w:r>
        <w:rPr>
          <w:rFonts w:hint="eastAsia" w:cs="Times New Roman"/>
          <w:color w:val="auto"/>
          <w:szCs w:val="21"/>
          <w:highlight w:val="none"/>
          <w:lang w:eastAsia="zh-CN"/>
        </w:rPr>
        <w:t>。</w:t>
      </w:r>
    </w:p>
    <w:p w14:paraId="71B09EA8">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耕地保护措施及其可行性论证</w:t>
      </w:r>
    </w:p>
    <w:p w14:paraId="5164589E">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1）在农田区施工时，一定要提倡文明施工，按时每日洒水两次，在干旱季节每日需洒水多次，必要时还需对相关道路进行维修，以防对沿线农业生产造成影响，引起不必要的纠纷。施工期还应搞好农业交通和农灌及洪水的分流疏导，尽可能减少施工对区域农业生产的影响。</w:t>
      </w:r>
    </w:p>
    <w:p w14:paraId="08C53CF6">
      <w:pPr>
        <w:pageBreakBefore w:val="0"/>
        <w:widowControl/>
        <w:kinsoku/>
        <w:wordWrap/>
        <w:overflowPunct/>
        <w:bidi w:val="0"/>
        <w:ind w:firstLine="480" w:firstLineChars="200"/>
        <w:jc w:val="both"/>
        <w:rPr>
          <w:rFonts w:hint="default" w:cs="Times New Roman"/>
          <w:color w:val="auto"/>
          <w:szCs w:val="21"/>
          <w:highlight w:val="none"/>
          <w:lang w:val="en-US" w:eastAsia="zh-CN"/>
        </w:rPr>
      </w:pPr>
      <w:r>
        <w:rPr>
          <w:rFonts w:hint="eastAsia" w:cs="Times New Roman"/>
          <w:color w:val="auto"/>
          <w:szCs w:val="21"/>
          <w:highlight w:val="none"/>
          <w:lang w:eastAsia="zh-CN"/>
        </w:rPr>
        <w:t>（2）占用耕地时，应采取补偿措施保证被征地农户的生活水平不下降，需要特别注意的是不要破坏水利灌溉渠系，本着先修缮水利设施，后项目施工的原则进行作业，在施工期间和运营期都要维护好水利设施。</w:t>
      </w:r>
      <w:r>
        <w:rPr>
          <w:rFonts w:hint="eastAsia" w:cs="Times New Roman"/>
          <w:color w:val="auto"/>
          <w:szCs w:val="21"/>
          <w:highlight w:val="none"/>
          <w:lang w:val="en-US" w:eastAsia="zh-CN"/>
        </w:rPr>
        <w:t>严禁占用永久基本农田。</w:t>
      </w:r>
    </w:p>
    <w:p w14:paraId="1747FE19">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（3）严格按照设计施工，禁止在占地范围外增设施工营地、施工便道、取弃土场等临时占地，规定运输车辆行驶路线，不得随意碾压农作物及植被。</w:t>
      </w:r>
    </w:p>
    <w:p w14:paraId="52521621">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（4）严格限定施工的工作范围，严禁自行扩大施工用地范围。合理规划使用永久占地范围内的土地，减少临时占地对生态环境的影响，临时征用土地，必须补报。</w:t>
      </w:r>
    </w:p>
    <w:p w14:paraId="4A40CFB4">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（5）对占用的农田的耕植表土进行单独收集，用于附属设施区绿化覆土或用于复垦和新垦农田的土壤改造。</w:t>
      </w:r>
    </w:p>
    <w:p w14:paraId="7CCE7ACD">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（6）严禁乱砍滥伐该段林木，爱护一草一木。</w:t>
      </w:r>
    </w:p>
    <w:p w14:paraId="6AC1424C">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（7）加强对施工人员的教育、监督和管理，积极倡导文明施工。</w:t>
      </w:r>
    </w:p>
    <w:p w14:paraId="31E14B67">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（8）施工期间，应加强对施工人员的宣传、教育，严禁施工人员捕杀野生保护动物。</w:t>
      </w:r>
    </w:p>
    <w:p w14:paraId="625CA419">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鸟击防范专项方案与效果评估</w:t>
      </w:r>
    </w:p>
    <w:p w14:paraId="6C0E38E5">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驱鸟设备等的布设方案及效果评估依据</w:t>
      </w:r>
    </w:p>
    <w:p w14:paraId="751732FF">
      <w:pPr>
        <w:keepNext w:val="0"/>
        <w:keepLines w:val="0"/>
        <w:pageBreakBefore w:val="0"/>
        <w:widowControl w:val="0"/>
        <w:numPr>
          <w:ilvl w:val="0"/>
          <w:numId w:val="0"/>
        </w:numPr>
        <w:tabs>
          <w:tab w:val="left" w:pos="2432"/>
        </w:tabs>
        <w:kinsoku/>
        <w:wordWrap/>
        <w:overflowPunct/>
        <w:topLinePunct w:val="0"/>
        <w:autoSpaceDE/>
        <w:autoSpaceDN/>
        <w:bidi w:val="0"/>
        <w:adjustRightInd/>
        <w:snapToGrid/>
        <w:ind w:firstLine="480" w:firstLineChars="200"/>
        <w:textAlignment w:val="auto"/>
        <w:rPr>
          <w:rFonts w:hint="default"/>
          <w:color w:val="auto"/>
          <w:highlight w:val="none"/>
          <w:lang w:val="en-US" w:eastAsia="zh-CN"/>
        </w:rPr>
      </w:pPr>
      <w:r>
        <w:rPr>
          <w:rFonts w:hint="eastAsia"/>
          <w:color w:val="auto"/>
          <w:highlight w:val="none"/>
          <w:lang w:val="en-US" w:eastAsia="zh-CN"/>
        </w:rPr>
        <w:t>为了降低精河机场飞鸟和飞机起降的相互影响，减轻人工驱鸟的强度，根据机场运营需要，在机场飞行区内适时引进相关驱鸟设备，采用雷达探鸟、光电探鸟、声波驱鸟设备等新型探测技术相结合的方式做到“鸟情监测范围与时性探驱联动”鸟防模式。规划在跑道南端头设置探鸟雷达，覆盖半径6km以内、高度30m以上空域内飞行目标物自动探测和分类；沿跑道两侧布置全向声波驱鸟器、定向声波驱鸟器，可根据需要移动，有效作用半径不小于150m，定向声波驱鸟系统布置在跑道两端区域，可根据需要移动，有效作用距离半径不小于1500m。声波驱鸟设备通过播放高保真鸟类求救声音、报警声音以及鸟类天敌等声音，从而驱赶鸟类，将鸟类阻止到一定的范围之外。</w:t>
      </w:r>
    </w:p>
    <w:p w14:paraId="37CDBBA0">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季节性鸟击防范方案</w:t>
      </w:r>
    </w:p>
    <w:p w14:paraId="23C1E620">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飞行程序鸟击防范措施：根据迁徙通道分析，在鸟类迁徙季，航空器多使用东侧起落航线进行航空器起落飞行，最大程度规避鸟类迁徙通道；鸟类迁徙季节，本场拟用通航航空器全为涡轮螺旋桨发动机（运12E、国王350ER、PC12等）。螺旋桨发动机特点：进气口小、叶片构造特殊，鸟击概率相对较低。但若鸟击关键部件，仍可能影响发动机性能。</w:t>
      </w:r>
    </w:p>
    <w:p w14:paraId="5ED18C45">
      <w:pPr>
        <w:pageBreakBefore w:val="0"/>
        <w:tabs>
          <w:tab w:val="left" w:pos="2432"/>
        </w:tabs>
        <w:kinsoku/>
        <w:wordWrap/>
        <w:overflowPunct/>
        <w:bidi w:val="0"/>
        <w:ind w:firstLine="482"/>
        <w:rPr>
          <w:rFonts w:hint="default"/>
          <w:color w:val="auto"/>
          <w:highlight w:val="none"/>
          <w:lang w:val="en-US" w:eastAsia="zh-CN"/>
        </w:rPr>
      </w:pPr>
      <w:r>
        <w:rPr>
          <w:rFonts w:hint="eastAsia"/>
          <w:color w:val="auto"/>
          <w:highlight w:val="none"/>
          <w:lang w:val="en-US" w:eastAsia="zh-CN"/>
        </w:rPr>
        <w:t>防护与应对方面：进一步落实提醒机组需关注鸟情通告，低空飞行时保持安全速度，鸟击后按程序检查和处置。机组人员应熟悉不同发动机的鸟击风险特点，严格执行鸟击后的检查和应急程。</w:t>
      </w:r>
    </w:p>
    <w:p w14:paraId="30564FE3">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灯光系统生态化优化方案</w:t>
      </w:r>
    </w:p>
    <w:p w14:paraId="03F7141F">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光谱改造：将跑道边灯、滑行道边灯、停机坪高杆灯等全部地面助航灯光，逐步更换为波长大于560纳米的琥珀色LED光源。</w:t>
      </w:r>
    </w:p>
    <w:p w14:paraId="3604EAE9">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照射角度控制：所有场区照明设施均需安装遮光罩，确保光线向下照射，最大限度减少天空眩光。</w:t>
      </w:r>
    </w:p>
    <w:p w14:paraId="433BCF12">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智能控制：航站楼、动力中心等建筑的室外景观照明，纳入智能系统，在夜间航班结束后自动关闭。</w:t>
      </w:r>
    </w:p>
    <w:p w14:paraId="4AD6920A">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监测指标：统计夜间在灯光区域盘旋或聚集的鸟类数量。</w:t>
      </w:r>
    </w:p>
    <w:p w14:paraId="15078756">
      <w:pPr>
        <w:pageBreakBefore w:val="0"/>
        <w:tabs>
          <w:tab w:val="left" w:pos="2432"/>
        </w:tabs>
        <w:kinsoku/>
        <w:wordWrap/>
        <w:overflowPunct/>
        <w:bidi w:val="0"/>
        <w:ind w:firstLine="482"/>
        <w:rPr>
          <w:rFonts w:hint="default"/>
          <w:color w:val="auto"/>
          <w:highlight w:val="none"/>
          <w:lang w:val="en-US" w:eastAsia="zh-CN"/>
        </w:rPr>
      </w:pPr>
      <w:r>
        <w:rPr>
          <w:rFonts w:hint="eastAsia"/>
          <w:color w:val="auto"/>
          <w:highlight w:val="none"/>
          <w:lang w:val="en-US" w:eastAsia="zh-CN"/>
        </w:rPr>
        <w:t>预期效果：灯光改造完成后，夜间灯光区鸟类聚集事件下降。</w:t>
      </w:r>
    </w:p>
    <w:p w14:paraId="3E295F7F">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本评价建议的鸟击防范方案，从空间布设和时间动态两个维度，将常规措施具体化、工程化和可量化。通过实施此方案，并严格执行效果评估，可提升精河机场鸟击防范工作的科学性和有效性，为鸟类保护及航空器安全运营提供坚实保障。</w:t>
      </w:r>
    </w:p>
    <w:p w14:paraId="7BD5101C">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生态影响减缓措施可行性论证</w:t>
      </w:r>
    </w:p>
    <w:p w14:paraId="68DDCF37">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施工期生态保护措施可行性论证</w:t>
      </w:r>
    </w:p>
    <w:p w14:paraId="3A0E2162">
      <w:pPr>
        <w:pageBreakBefore w:val="0"/>
        <w:widowControl/>
        <w:numPr>
          <w:ilvl w:val="0"/>
          <w:numId w:val="0"/>
        </w:numPr>
        <w:kinsoku/>
        <w:wordWrap/>
        <w:overflowPunct/>
        <w:bidi w:val="0"/>
        <w:ind w:leftChars="200"/>
        <w:jc w:val="both"/>
        <w:rPr>
          <w:rFonts w:ascii="Times New Roman" w:hAnsi="Times New Roman" w:eastAsia="宋体" w:cs="Times New Roman"/>
          <w:color w:val="auto"/>
          <w:szCs w:val="21"/>
          <w:highlight w:val="none"/>
        </w:rPr>
      </w:pPr>
      <w:r>
        <w:rPr>
          <w:rFonts w:hint="eastAsia" w:cs="Times New Roman"/>
          <w:color w:val="auto"/>
          <w:szCs w:val="21"/>
          <w:highlight w:val="none"/>
          <w:lang w:eastAsia="zh-CN"/>
        </w:rPr>
        <w:t>（</w:t>
      </w:r>
      <w:r>
        <w:rPr>
          <w:rFonts w:hint="eastAsia" w:cs="Times New Roman"/>
          <w:color w:val="auto"/>
          <w:szCs w:val="21"/>
          <w:highlight w:val="none"/>
          <w:lang w:val="en-US" w:eastAsia="zh-CN"/>
        </w:rPr>
        <w:t>1</w:t>
      </w:r>
      <w:r>
        <w:rPr>
          <w:rFonts w:hint="eastAsia" w:cs="Times New Roman"/>
          <w:color w:val="auto"/>
          <w:szCs w:val="21"/>
          <w:highlight w:val="none"/>
          <w:lang w:eastAsia="zh-CN"/>
        </w:rPr>
        <w:t>）</w:t>
      </w:r>
      <w:r>
        <w:rPr>
          <w:rFonts w:ascii="Times New Roman" w:hAnsi="Times New Roman" w:eastAsia="宋体" w:cs="Times New Roman"/>
          <w:color w:val="auto"/>
          <w:szCs w:val="21"/>
          <w:highlight w:val="none"/>
        </w:rPr>
        <w:t>植被恢复、绿化措施可行性论证</w:t>
      </w:r>
    </w:p>
    <w:p w14:paraId="5692BBBB">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施工前对施工区域表土进行剥离措施，表土剥离措施已在全国各项新建工程中开展，同时也是工程建设需求，该措施技术成熟，投资少，且有利于后期场地植被恢复，该措施是可行的。</w:t>
      </w:r>
    </w:p>
    <w:p w14:paraId="138CB4AE">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针对机场各区不同的服务功能分别进行平整土地和植草、植树绿化。该措施是符合机场运行要求的，在全国机场建设中</w:t>
      </w:r>
      <w:r>
        <w:rPr>
          <w:rFonts w:hint="eastAsia" w:cs="Times New Roman"/>
          <w:color w:val="auto"/>
          <w:szCs w:val="21"/>
          <w:highlight w:val="none"/>
          <w:lang w:eastAsia="zh-CN"/>
        </w:rPr>
        <w:t>均</w:t>
      </w:r>
      <w:r>
        <w:rPr>
          <w:rFonts w:ascii="Times New Roman" w:hAnsi="Times New Roman" w:eastAsia="宋体" w:cs="Times New Roman"/>
          <w:color w:val="auto"/>
          <w:szCs w:val="21"/>
          <w:highlight w:val="none"/>
        </w:rPr>
        <w:t>采取上述分功能区植被恢复和绿化措施的，该措施是可行的。</w:t>
      </w:r>
    </w:p>
    <w:p w14:paraId="07FE2A2D">
      <w:pPr>
        <w:pageBreakBefore w:val="0"/>
        <w:widowControl/>
        <w:numPr>
          <w:ilvl w:val="0"/>
          <w:numId w:val="0"/>
        </w:numPr>
        <w:kinsoku/>
        <w:wordWrap/>
        <w:overflowPunct/>
        <w:bidi w:val="0"/>
        <w:ind w:leftChars="200"/>
        <w:jc w:val="both"/>
        <w:rPr>
          <w:rFonts w:ascii="Times New Roman" w:hAnsi="Times New Roman" w:eastAsia="宋体" w:cs="Times New Roman"/>
          <w:color w:val="auto"/>
          <w:szCs w:val="21"/>
          <w:highlight w:val="none"/>
        </w:rPr>
      </w:pPr>
      <w:r>
        <w:rPr>
          <w:rFonts w:hint="eastAsia" w:cs="Times New Roman"/>
          <w:color w:val="auto"/>
          <w:szCs w:val="21"/>
          <w:highlight w:val="none"/>
          <w:lang w:eastAsia="zh-CN"/>
        </w:rPr>
        <w:t>（</w:t>
      </w:r>
      <w:r>
        <w:rPr>
          <w:rFonts w:hint="eastAsia" w:cs="Times New Roman"/>
          <w:color w:val="auto"/>
          <w:szCs w:val="21"/>
          <w:highlight w:val="none"/>
          <w:lang w:val="en-US" w:eastAsia="zh-CN"/>
        </w:rPr>
        <w:t>2</w:t>
      </w:r>
      <w:r>
        <w:rPr>
          <w:rFonts w:hint="eastAsia" w:cs="Times New Roman"/>
          <w:color w:val="auto"/>
          <w:szCs w:val="21"/>
          <w:highlight w:val="none"/>
          <w:lang w:eastAsia="zh-CN"/>
        </w:rPr>
        <w:t>）</w:t>
      </w:r>
      <w:r>
        <w:rPr>
          <w:rFonts w:ascii="Times New Roman" w:hAnsi="Times New Roman" w:eastAsia="宋体" w:cs="Times New Roman"/>
          <w:color w:val="auto"/>
          <w:szCs w:val="21"/>
          <w:highlight w:val="none"/>
        </w:rPr>
        <w:t>动物保护措施可行性论证</w:t>
      </w:r>
    </w:p>
    <w:p w14:paraId="6438EC36">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野生动物保护措施以管理措施为主，只要施工单位、运营单位加强管理，在技术和经济上均可行。</w:t>
      </w:r>
    </w:p>
    <w:p w14:paraId="764FDCF5">
      <w:pPr>
        <w:pageBreakBefore w:val="0"/>
        <w:widowControl/>
        <w:numPr>
          <w:ilvl w:val="0"/>
          <w:numId w:val="0"/>
        </w:numPr>
        <w:kinsoku/>
        <w:wordWrap/>
        <w:overflowPunct/>
        <w:bidi w:val="0"/>
        <w:ind w:leftChars="200"/>
        <w:jc w:val="both"/>
        <w:rPr>
          <w:rFonts w:ascii="Times New Roman" w:hAnsi="Times New Roman" w:eastAsia="宋体" w:cs="Times New Roman"/>
          <w:color w:val="auto"/>
          <w:szCs w:val="21"/>
          <w:highlight w:val="none"/>
        </w:rPr>
      </w:pPr>
      <w:r>
        <w:rPr>
          <w:rFonts w:hint="eastAsia" w:cs="Times New Roman"/>
          <w:color w:val="auto"/>
          <w:szCs w:val="21"/>
          <w:highlight w:val="none"/>
          <w:lang w:eastAsia="zh-CN"/>
        </w:rPr>
        <w:t>（</w:t>
      </w:r>
      <w:r>
        <w:rPr>
          <w:rFonts w:hint="eastAsia" w:cs="Times New Roman"/>
          <w:color w:val="auto"/>
          <w:szCs w:val="21"/>
          <w:highlight w:val="none"/>
          <w:lang w:val="en-US" w:eastAsia="zh-CN"/>
        </w:rPr>
        <w:t>3</w:t>
      </w:r>
      <w:r>
        <w:rPr>
          <w:rFonts w:hint="eastAsia" w:cs="Times New Roman"/>
          <w:color w:val="auto"/>
          <w:szCs w:val="21"/>
          <w:highlight w:val="none"/>
          <w:lang w:eastAsia="zh-CN"/>
        </w:rPr>
        <w:t>）</w:t>
      </w:r>
      <w:r>
        <w:rPr>
          <w:rFonts w:ascii="Times New Roman" w:hAnsi="Times New Roman" w:eastAsia="宋体" w:cs="Times New Roman"/>
          <w:color w:val="auto"/>
          <w:szCs w:val="21"/>
          <w:highlight w:val="none"/>
        </w:rPr>
        <w:t>水土保持措施可行性论证</w:t>
      </w:r>
    </w:p>
    <w:p w14:paraId="332C5BD7">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cs="Times New Roman"/>
          <w:color w:val="auto"/>
          <w:szCs w:val="21"/>
          <w:highlight w:val="none"/>
          <w:lang w:eastAsia="zh-CN"/>
        </w:rPr>
        <w:t>本项目</w:t>
      </w:r>
      <w:r>
        <w:rPr>
          <w:rFonts w:ascii="Times New Roman" w:hAnsi="Times New Roman" w:eastAsia="宋体" w:cs="Times New Roman"/>
          <w:color w:val="auto"/>
          <w:szCs w:val="21"/>
          <w:highlight w:val="none"/>
        </w:rPr>
        <w:t>水土保持依托主体工程实施，工程措施已在主体工程中实施，新增临时覆盖、平整等措施在技术上无困难，投资较少，从以上分析，该措施是可行的。</w:t>
      </w:r>
    </w:p>
    <w:p w14:paraId="75589AE2">
      <w:pPr>
        <w:pageBreakBefore w:val="0"/>
        <w:widowControl/>
        <w:numPr>
          <w:ilvl w:val="0"/>
          <w:numId w:val="0"/>
        </w:numPr>
        <w:kinsoku/>
        <w:wordWrap/>
        <w:overflowPunct/>
        <w:bidi w:val="0"/>
        <w:ind w:leftChars="200"/>
        <w:jc w:val="both"/>
        <w:rPr>
          <w:rFonts w:ascii="Times New Roman" w:hAnsi="Times New Roman" w:eastAsia="宋体" w:cs="Times New Roman"/>
          <w:color w:val="auto"/>
          <w:szCs w:val="21"/>
          <w:highlight w:val="none"/>
        </w:rPr>
      </w:pPr>
      <w:r>
        <w:rPr>
          <w:rFonts w:hint="eastAsia" w:cs="Times New Roman"/>
          <w:color w:val="auto"/>
          <w:szCs w:val="21"/>
          <w:highlight w:val="none"/>
          <w:lang w:eastAsia="zh-CN"/>
        </w:rPr>
        <w:t>（</w:t>
      </w:r>
      <w:r>
        <w:rPr>
          <w:rFonts w:hint="eastAsia" w:cs="Times New Roman"/>
          <w:color w:val="auto"/>
          <w:szCs w:val="21"/>
          <w:highlight w:val="none"/>
          <w:lang w:val="en-US" w:eastAsia="zh-CN"/>
        </w:rPr>
        <w:t>4</w:t>
      </w:r>
      <w:r>
        <w:rPr>
          <w:rFonts w:hint="eastAsia" w:cs="Times New Roman"/>
          <w:color w:val="auto"/>
          <w:szCs w:val="21"/>
          <w:highlight w:val="none"/>
          <w:lang w:eastAsia="zh-CN"/>
        </w:rPr>
        <w:t>）</w:t>
      </w:r>
      <w:r>
        <w:rPr>
          <w:rFonts w:ascii="Times New Roman" w:hAnsi="Times New Roman" w:eastAsia="宋体" w:cs="Times New Roman"/>
          <w:color w:val="auto"/>
          <w:szCs w:val="21"/>
          <w:highlight w:val="none"/>
        </w:rPr>
        <w:t>鸟类保护措施可行性论证</w:t>
      </w:r>
    </w:p>
    <w:p w14:paraId="052FC4E7">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施工期鸟类保护措施主要为管理措施，只要加强施工期间的监管，上述措施都可以得到实施。</w:t>
      </w:r>
    </w:p>
    <w:p w14:paraId="33FB681B">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运营期生态保护措施可行性论证</w:t>
      </w:r>
    </w:p>
    <w:p w14:paraId="5215B775">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机场驱鸟措施现已比较成熟，人工驱鸟措施及植物措施运行可靠，</w:t>
      </w:r>
      <w:r>
        <w:rPr>
          <w:rFonts w:hint="eastAsia" w:cs="Times New Roman"/>
          <w:color w:val="auto"/>
          <w:szCs w:val="21"/>
          <w:highlight w:val="none"/>
          <w:lang w:val="en-US" w:eastAsia="zh-CN"/>
        </w:rPr>
        <w:t>运营期</w:t>
      </w:r>
      <w:r>
        <w:rPr>
          <w:rFonts w:ascii="Times New Roman" w:hAnsi="Times New Roman" w:eastAsia="宋体" w:cs="Times New Roman"/>
          <w:color w:val="auto"/>
          <w:szCs w:val="21"/>
          <w:highlight w:val="none"/>
        </w:rPr>
        <w:t>驱鸟措施是可行的。</w:t>
      </w:r>
    </w:p>
    <w:p w14:paraId="046BF479">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生态控制措施：借鉴区域内机场生态控制措施和全国机场已有成熟的措施，生态控制措施是可行的。</w:t>
      </w:r>
    </w:p>
    <w:p w14:paraId="1A1513A0">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跟踪监测预防措施：在机场周边</w:t>
      </w:r>
      <w:r>
        <w:rPr>
          <w:rFonts w:hint="eastAsia" w:cs="Times New Roman"/>
          <w:color w:val="auto"/>
          <w:szCs w:val="21"/>
          <w:highlight w:val="none"/>
          <w:lang w:val="en-US" w:eastAsia="zh-CN"/>
        </w:rPr>
        <w:t>持续进行</w:t>
      </w:r>
      <w:r>
        <w:rPr>
          <w:rFonts w:ascii="Times New Roman" w:hAnsi="Times New Roman" w:eastAsia="宋体" w:cs="Times New Roman"/>
          <w:color w:val="auto"/>
          <w:szCs w:val="21"/>
          <w:highlight w:val="none"/>
        </w:rPr>
        <w:t>鸟类观测，配备专业人员，该措施技术可行，经济压力不大，该措施是可行的。</w:t>
      </w:r>
    </w:p>
    <w:p w14:paraId="279F073C">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运营期机场生态措施主要是对机场植被的日常管护，该措施技术可行，经济合理，总体可行。</w:t>
      </w:r>
    </w:p>
    <w:p w14:paraId="04141102">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04" w:name="_Toc28773"/>
      <w:bookmarkStart w:id="305" w:name="_Toc135735461"/>
      <w:r>
        <w:rPr>
          <w:rFonts w:hint="eastAsia" w:ascii="Times New Roman" w:hAnsi="Times New Roman" w:eastAsia="黑体" w:cs="Times New Roman"/>
          <w:bCs/>
          <w:color w:val="auto"/>
          <w:spacing w:val="0"/>
          <w:w w:val="100"/>
          <w:kern w:val="28"/>
          <w:sz w:val="30"/>
          <w:szCs w:val="30"/>
          <w:highlight w:val="none"/>
          <w:lang w:val="en-US" w:eastAsia="zh-CN" w:bidi="ar-SA"/>
        </w:rPr>
        <w:t>大气污染防治措施及可行性论证</w:t>
      </w:r>
      <w:bookmarkEnd w:id="304"/>
    </w:p>
    <w:bookmarkEnd w:id="305"/>
    <w:p w14:paraId="17E4E1BF">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施工期大气污染防治措施</w:t>
      </w:r>
    </w:p>
    <w:p w14:paraId="3F543F46">
      <w:pPr>
        <w:ind w:firstLine="480" w:firstLineChars="200"/>
        <w:rPr>
          <w:rFonts w:eastAsiaTheme="minorEastAsia"/>
          <w:color w:val="auto"/>
          <w:highlight w:val="none"/>
        </w:rPr>
      </w:pPr>
      <w:r>
        <w:rPr>
          <w:color w:val="auto"/>
          <w:highlight w:val="none"/>
        </w:rPr>
        <w:t>为降低施工期扬尘产生量，保护大气环境，施工单位应采取如下防尘措施：</w:t>
      </w:r>
    </w:p>
    <w:p w14:paraId="348DEF0E">
      <w:pPr>
        <w:adjustRightInd w:val="0"/>
        <w:snapToGrid w:val="0"/>
        <w:ind w:firstLine="480" w:firstLineChars="200"/>
        <w:rPr>
          <w:color w:val="auto"/>
          <w:highlight w:val="none"/>
        </w:rPr>
      </w:pPr>
      <w:r>
        <w:rPr>
          <w:color w:val="auto"/>
          <w:highlight w:val="none"/>
        </w:rPr>
        <w:t xml:space="preserve">（1）建设项目开工前，按照标准在施工现场周边设置围挡，并对围挡进行维护，以减少扬尘扩散范围。 </w:t>
      </w:r>
    </w:p>
    <w:p w14:paraId="7F338EA1">
      <w:pPr>
        <w:adjustRightInd w:val="0"/>
        <w:snapToGrid w:val="0"/>
        <w:ind w:firstLine="480" w:firstLineChars="200"/>
        <w:rPr>
          <w:color w:val="auto"/>
          <w:highlight w:val="none"/>
        </w:rPr>
      </w:pPr>
      <w:r>
        <w:rPr>
          <w:color w:val="auto"/>
          <w:highlight w:val="none"/>
        </w:rPr>
        <w:t xml:space="preserve">（2）在施工现场出入口公示施工现场负责人、环保监督员、扬尘污染主要控制措施、举报电话等信息。 </w:t>
      </w:r>
    </w:p>
    <w:p w14:paraId="53BC754E">
      <w:pPr>
        <w:adjustRightInd w:val="0"/>
        <w:snapToGrid w:val="0"/>
        <w:ind w:firstLine="480" w:firstLineChars="200"/>
        <w:rPr>
          <w:color w:val="auto"/>
          <w:highlight w:val="none"/>
        </w:rPr>
      </w:pPr>
      <w:r>
        <w:rPr>
          <w:color w:val="auto"/>
          <w:highlight w:val="none"/>
        </w:rPr>
        <w:t xml:space="preserve">（3）对施工现场内主要道路和物料堆放场地进行硬化，对其他裸露场地进行覆盖或者临时绿化，对土方进行集中堆放，并采取覆盖或者密闭等措施。 </w:t>
      </w:r>
    </w:p>
    <w:p w14:paraId="0B4C7CD6">
      <w:pPr>
        <w:adjustRightInd w:val="0"/>
        <w:snapToGrid w:val="0"/>
        <w:ind w:firstLine="480" w:firstLineChars="200"/>
        <w:rPr>
          <w:color w:val="auto"/>
          <w:highlight w:val="none"/>
        </w:rPr>
      </w:pPr>
      <w:r>
        <w:rPr>
          <w:color w:val="auto"/>
          <w:highlight w:val="none"/>
        </w:rPr>
        <w:t>（4）施工现场出入口应设置冲洗车辆设施，施工车辆冲洗干净后方可上路行驶。</w:t>
      </w:r>
    </w:p>
    <w:p w14:paraId="30FB23E9">
      <w:pPr>
        <w:adjustRightInd w:val="0"/>
        <w:snapToGrid w:val="0"/>
        <w:ind w:firstLine="480" w:firstLineChars="200"/>
        <w:rPr>
          <w:color w:val="auto"/>
          <w:highlight w:val="none"/>
        </w:rPr>
      </w:pPr>
      <w:r>
        <w:rPr>
          <w:color w:val="auto"/>
          <w:highlight w:val="none"/>
        </w:rPr>
        <w:t>（5）施工过程中，切实做好施工现场洒水降尘工作。临时便道应当进行硬化处理，并定时洒水，减少扬尘的起尘量。</w:t>
      </w:r>
    </w:p>
    <w:p w14:paraId="0C30258D">
      <w:pPr>
        <w:adjustRightInd w:val="0"/>
        <w:snapToGrid w:val="0"/>
        <w:ind w:firstLine="480" w:firstLineChars="200"/>
        <w:rPr>
          <w:color w:val="auto"/>
          <w:highlight w:val="none"/>
        </w:rPr>
      </w:pPr>
      <w:r>
        <w:rPr>
          <w:color w:val="auto"/>
          <w:highlight w:val="none"/>
        </w:rPr>
        <w:t xml:space="preserve">（6）及时对施工现场进行清理和平整，不得从高处向下倾倒或者抛洒各类物料和建筑垃圾。 </w:t>
      </w:r>
    </w:p>
    <w:p w14:paraId="43078A48">
      <w:pPr>
        <w:adjustRightInd w:val="0"/>
        <w:snapToGrid w:val="0"/>
        <w:ind w:firstLine="480" w:firstLineChars="200"/>
        <w:rPr>
          <w:color w:val="auto"/>
          <w:highlight w:val="none"/>
        </w:rPr>
      </w:pPr>
      <w:r>
        <w:rPr>
          <w:color w:val="auto"/>
          <w:highlight w:val="none"/>
        </w:rPr>
        <w:t>（7）对贮存易产生扬尘的物料堆放应当密闭，不能密闭的，应当采取围挡、防风抑尘网等措施。汽车运输易起尘的物料时，要加盖</w:t>
      </w:r>
      <w:r>
        <w:rPr>
          <w:rFonts w:hint="eastAsia"/>
          <w:color w:val="auto"/>
          <w:highlight w:val="none"/>
          <w:lang w:eastAsia="zh-CN"/>
        </w:rPr>
        <w:t>篷布</w:t>
      </w:r>
      <w:r>
        <w:rPr>
          <w:color w:val="auto"/>
          <w:highlight w:val="none"/>
        </w:rPr>
        <w:t>并控制车速，防止物料洒落和产生扬尘；卸车时应尽量减少落差，减少扬尘。运输、处置建筑垃圾按照规定的运输时间、路线和要求清运到指定的场所处理；在场地内堆存的，应当有效覆盖。</w:t>
      </w:r>
    </w:p>
    <w:p w14:paraId="2B4D4E96">
      <w:pPr>
        <w:adjustRightInd w:val="0"/>
        <w:snapToGrid w:val="0"/>
        <w:ind w:firstLine="480" w:firstLineChars="200"/>
        <w:rPr>
          <w:color w:val="auto"/>
          <w:highlight w:val="none"/>
        </w:rPr>
      </w:pPr>
      <w:r>
        <w:rPr>
          <w:color w:val="auto"/>
          <w:highlight w:val="none"/>
        </w:rPr>
        <w:t xml:space="preserve">（8）避免在大风季节以及夏季暴雨时节施工，尽可能缩短施工时间；遇有大风天气时，应避免进行挖掘、回填等大土方量作业。 </w:t>
      </w:r>
    </w:p>
    <w:p w14:paraId="6D0D0D5D">
      <w:pPr>
        <w:adjustRightInd w:val="0"/>
        <w:snapToGrid w:val="0"/>
        <w:ind w:firstLine="480" w:firstLineChars="200"/>
        <w:rPr>
          <w:color w:val="auto"/>
          <w:highlight w:val="none"/>
        </w:rPr>
      </w:pPr>
      <w:r>
        <w:rPr>
          <w:color w:val="auto"/>
          <w:highlight w:val="none"/>
        </w:rPr>
        <w:t xml:space="preserve">（9）运输车辆运输路线应尽可能避开居民区，施工便道尽量进行夯实硬化处理。途经村庄段应控制车速，严禁超载超速。 </w:t>
      </w:r>
    </w:p>
    <w:p w14:paraId="363E41E9">
      <w:pPr>
        <w:adjustRightInd w:val="0"/>
        <w:snapToGrid w:val="0"/>
        <w:ind w:firstLine="480" w:firstLineChars="200"/>
        <w:rPr>
          <w:color w:val="auto"/>
          <w:highlight w:val="none"/>
        </w:rPr>
      </w:pPr>
      <w:r>
        <w:rPr>
          <w:color w:val="auto"/>
          <w:highlight w:val="none"/>
        </w:rPr>
        <w:t xml:space="preserve">（10）加强施工机械设备及车辆的养护，应定期对施工机械和施工运输车辆排放的废气进行检查监测；严禁使用劣质油料，保证不排放未完全燃烧的黑烟。 </w:t>
      </w:r>
    </w:p>
    <w:p w14:paraId="2A6D4279">
      <w:pPr>
        <w:ind w:firstLine="480" w:firstLineChars="200"/>
        <w:rPr>
          <w:color w:val="auto"/>
          <w:highlight w:val="none"/>
        </w:rPr>
      </w:pPr>
      <w:r>
        <w:rPr>
          <w:color w:val="auto"/>
          <w:highlight w:val="none"/>
        </w:rPr>
        <w:t>综上所述，施工工地要做到工地周边围挡、物料堆放覆盖、土方开挖湿法作业、路面硬化、出入车辆清洗、渣土车辆密闭运输“六个百分之百”。在采取以上施工扬尘的防治措施后，可有效</w:t>
      </w:r>
      <w:r>
        <w:rPr>
          <w:rFonts w:hint="eastAsia"/>
          <w:color w:val="auto"/>
          <w:highlight w:val="none"/>
          <w:lang w:eastAsia="zh-CN"/>
        </w:rPr>
        <w:t>地</w:t>
      </w:r>
      <w:r>
        <w:rPr>
          <w:color w:val="auto"/>
          <w:highlight w:val="none"/>
        </w:rPr>
        <w:t>减轻扬尘污染，改善施工现场的作业环境。</w:t>
      </w:r>
    </w:p>
    <w:p w14:paraId="4B8F03C7">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运营期大气污染防治措施</w:t>
      </w:r>
    </w:p>
    <w:p w14:paraId="49933895">
      <w:pPr>
        <w:ind w:firstLine="480" w:firstLineChars="200"/>
        <w:rPr>
          <w:color w:val="auto"/>
          <w:highlight w:val="none"/>
        </w:rPr>
      </w:pPr>
      <w:r>
        <w:rPr>
          <w:color w:val="auto"/>
          <w:highlight w:val="none"/>
        </w:rPr>
        <w:t>（1）飞机尾气及汽车尾气减缓措施</w:t>
      </w:r>
      <w:r>
        <w:rPr>
          <w:rFonts w:eastAsia="Times New Roman"/>
          <w:color w:val="auto"/>
          <w:highlight w:val="none"/>
        </w:rPr>
        <w:t xml:space="preserve"> </w:t>
      </w:r>
    </w:p>
    <w:p w14:paraId="4838C096">
      <w:pPr>
        <w:ind w:firstLine="480" w:firstLineChars="200"/>
        <w:rPr>
          <w:color w:val="auto"/>
          <w:highlight w:val="none"/>
        </w:rPr>
      </w:pPr>
      <w:r>
        <w:rPr>
          <w:color w:val="auto"/>
          <w:highlight w:val="none"/>
        </w:rPr>
        <w:t>飞机尾气和汽车尾气排放主要污染物为</w:t>
      </w:r>
      <w:r>
        <w:rPr>
          <w:rFonts w:eastAsia="Times New Roman"/>
          <w:color w:val="auto"/>
          <w:highlight w:val="none"/>
        </w:rPr>
        <w:t>NO</w:t>
      </w:r>
      <w:r>
        <w:rPr>
          <w:rFonts w:eastAsia="Times New Roman"/>
          <w:color w:val="auto"/>
          <w:highlight w:val="none"/>
          <w:vertAlign w:val="subscript"/>
        </w:rPr>
        <w:t>x</w:t>
      </w:r>
      <w:r>
        <w:rPr>
          <w:color w:val="auto"/>
          <w:highlight w:val="none"/>
        </w:rPr>
        <w:t>、</w:t>
      </w:r>
      <w:r>
        <w:rPr>
          <w:rFonts w:eastAsia="Times New Roman"/>
          <w:i/>
          <w:iCs/>
          <w:color w:val="auto"/>
          <w:highlight w:val="none"/>
        </w:rPr>
        <w:t>C</w:t>
      </w:r>
      <w:r>
        <w:rPr>
          <w:rFonts w:eastAsia="Times New Roman"/>
          <w:i/>
          <w:iCs/>
          <w:color w:val="auto"/>
          <w:highlight w:val="none"/>
          <w:vertAlign w:val="subscript"/>
        </w:rPr>
        <w:t>m</w:t>
      </w:r>
      <w:r>
        <w:rPr>
          <w:rFonts w:eastAsia="Times New Roman"/>
          <w:i/>
          <w:iCs/>
          <w:color w:val="auto"/>
          <w:highlight w:val="none"/>
        </w:rPr>
        <w:t>H</w:t>
      </w:r>
      <w:r>
        <w:rPr>
          <w:rFonts w:eastAsia="Times New Roman"/>
          <w:i/>
          <w:iCs/>
          <w:color w:val="auto"/>
          <w:highlight w:val="none"/>
          <w:vertAlign w:val="subscript"/>
        </w:rPr>
        <w:t>n</w:t>
      </w:r>
      <w:r>
        <w:rPr>
          <w:color w:val="auto"/>
          <w:highlight w:val="none"/>
        </w:rPr>
        <w:t>、</w:t>
      </w:r>
      <w:r>
        <w:rPr>
          <w:rFonts w:eastAsia="Times New Roman"/>
          <w:color w:val="auto"/>
          <w:highlight w:val="none"/>
        </w:rPr>
        <w:t>CO</w:t>
      </w:r>
      <w:r>
        <w:rPr>
          <w:color w:val="auto"/>
          <w:highlight w:val="none"/>
        </w:rPr>
        <w:t>等，属于流动源且为间歇式排放，对周围环境空气影响较小。在高峰期，地面相关部门需指挥有序，避免进出场车辆拥堵，以减少汽车尾气排放。同时，为了保证机场地区的大气环境质量，应限制污染物排放量超标的汽车进入机场。</w:t>
      </w:r>
    </w:p>
    <w:p w14:paraId="28F34E6D">
      <w:pPr>
        <w:rPr>
          <w:color w:val="auto"/>
          <w:highlight w:val="none"/>
        </w:rPr>
      </w:pPr>
      <w:r>
        <w:rPr>
          <w:color w:val="auto"/>
          <w:highlight w:val="none"/>
        </w:rPr>
        <w:t>（2）加油装置大气污染防治措施</w:t>
      </w:r>
    </w:p>
    <w:p w14:paraId="0505E587">
      <w:pPr>
        <w:ind w:firstLine="480" w:firstLineChars="200"/>
        <w:rPr>
          <w:color w:val="auto"/>
          <w:highlight w:val="none"/>
        </w:rPr>
      </w:pPr>
      <w:r>
        <w:rPr>
          <w:color w:val="auto"/>
          <w:highlight w:val="none"/>
        </w:rPr>
        <w:t>运营期，航煤储运及加油过程中油罐会由于压力波动而产生大量的油气。如将这些油气直接排入大气，不但严重污染环境，而且造成大量的油品损失。</w:t>
      </w:r>
    </w:p>
    <w:p w14:paraId="28A19406">
      <w:pPr>
        <w:ind w:firstLine="480" w:firstLineChars="200"/>
        <w:rPr>
          <w:color w:val="auto"/>
          <w:highlight w:val="none"/>
        </w:rPr>
      </w:pPr>
      <w:r>
        <w:rPr>
          <w:color w:val="auto"/>
          <w:highlight w:val="none"/>
        </w:rPr>
        <w:t>本项目</w:t>
      </w:r>
      <w:r>
        <w:rPr>
          <w:rFonts w:hint="eastAsia"/>
          <w:color w:val="auto"/>
          <w:highlight w:val="none"/>
          <w:lang w:val="en-US" w:eastAsia="zh-CN"/>
        </w:rPr>
        <w:t>采用罐式加油车为机场航空器加油，无组织</w:t>
      </w:r>
      <w:r>
        <w:rPr>
          <w:color w:val="auto"/>
          <w:highlight w:val="none"/>
        </w:rPr>
        <w:t>VOCs</w:t>
      </w:r>
      <w:r>
        <w:rPr>
          <w:rFonts w:hint="eastAsia"/>
          <w:color w:val="auto"/>
          <w:highlight w:val="none"/>
          <w:lang w:val="en-US" w:eastAsia="zh-CN"/>
        </w:rPr>
        <w:t>来源为</w:t>
      </w:r>
      <w:r>
        <w:rPr>
          <w:color w:val="auto"/>
          <w:highlight w:val="none"/>
        </w:rPr>
        <w:t>航煤。</w:t>
      </w:r>
      <w:r>
        <w:rPr>
          <w:rFonts w:hint="eastAsia"/>
          <w:color w:val="auto"/>
          <w:highlight w:val="none"/>
        </w:rPr>
        <w:t>罐式加油车</w:t>
      </w:r>
      <w:r>
        <w:rPr>
          <w:rFonts w:hint="eastAsia"/>
          <w:color w:val="auto"/>
          <w:highlight w:val="none"/>
          <w:lang w:val="en-US" w:eastAsia="zh-CN"/>
        </w:rPr>
        <w:t>位</w:t>
      </w:r>
      <w:r>
        <w:rPr>
          <w:color w:val="auto"/>
          <w:highlight w:val="none"/>
        </w:rPr>
        <w:t>于</w:t>
      </w:r>
      <w:r>
        <w:rPr>
          <w:rFonts w:hint="eastAsia"/>
          <w:color w:val="auto"/>
          <w:highlight w:val="none"/>
          <w:lang w:val="en-US" w:eastAsia="zh-CN"/>
        </w:rPr>
        <w:t>油车棚</w:t>
      </w:r>
      <w:r>
        <w:rPr>
          <w:color w:val="auto"/>
          <w:highlight w:val="none"/>
        </w:rPr>
        <w:t>内，航煤油罐均为密闭容器，周围设置了围堰，</w:t>
      </w:r>
      <w:r>
        <w:rPr>
          <w:rFonts w:hint="eastAsia"/>
          <w:color w:val="auto"/>
          <w:highlight w:val="none"/>
          <w:lang w:val="en-US" w:eastAsia="zh-CN"/>
        </w:rPr>
        <w:t>油车棚</w:t>
      </w:r>
      <w:r>
        <w:rPr>
          <w:color w:val="auto"/>
          <w:highlight w:val="none"/>
        </w:rPr>
        <w:t>地面均采取防渗措施。因此本项目航煤的储存符合《挥发性有机物无组织排放控制标准》（GB37822-2019）中无组织排放控制要求。</w:t>
      </w:r>
    </w:p>
    <w:p w14:paraId="440ED583">
      <w:pPr>
        <w:ind w:firstLine="480" w:firstLineChars="200"/>
        <w:rPr>
          <w:color w:val="auto"/>
          <w:highlight w:val="none"/>
        </w:rPr>
      </w:pPr>
      <w:r>
        <w:rPr>
          <w:color w:val="auto"/>
          <w:highlight w:val="none"/>
        </w:rPr>
        <w:t>根据《挥发性有机物无组织排放控制标准》（GB37822-2019）中无组织排放控制要求，在储罐运行过程中，还应满足以下要求：</w:t>
      </w:r>
    </w:p>
    <w:p w14:paraId="68047AFB">
      <w:pPr>
        <w:ind w:firstLine="480" w:firstLineChars="200"/>
        <w:rPr>
          <w:color w:val="auto"/>
          <w:highlight w:val="none"/>
        </w:rPr>
      </w:pPr>
      <w:r>
        <w:rPr>
          <w:rFonts w:hint="eastAsia" w:ascii="宋体" w:hAnsi="宋体" w:cs="宋体"/>
          <w:color w:val="auto"/>
          <w:highlight w:val="none"/>
        </w:rPr>
        <w:t>①</w:t>
      </w:r>
      <w:r>
        <w:rPr>
          <w:color w:val="auto"/>
          <w:highlight w:val="none"/>
        </w:rPr>
        <w:t>航煤油罐应保持完好，不应有孔洞、缝隙；</w:t>
      </w:r>
    </w:p>
    <w:p w14:paraId="3E278FAF">
      <w:pPr>
        <w:ind w:firstLine="480" w:firstLineChars="200"/>
        <w:rPr>
          <w:color w:val="auto"/>
          <w:highlight w:val="none"/>
        </w:rPr>
      </w:pPr>
      <w:r>
        <w:rPr>
          <w:rFonts w:hint="eastAsia" w:ascii="宋体" w:hAnsi="宋体" w:cs="宋体"/>
          <w:color w:val="auto"/>
          <w:highlight w:val="none"/>
        </w:rPr>
        <w:t>②</w:t>
      </w:r>
      <w:r>
        <w:rPr>
          <w:color w:val="auto"/>
          <w:highlight w:val="none"/>
        </w:rPr>
        <w:t>储罐附件开口（孔），除采样、计量、例行检查、维护和其他正常活动外，应密闭；</w:t>
      </w:r>
    </w:p>
    <w:p w14:paraId="600ED698">
      <w:pPr>
        <w:ind w:firstLine="480" w:firstLineChars="200"/>
        <w:rPr>
          <w:color w:val="auto"/>
          <w:highlight w:val="none"/>
        </w:rPr>
      </w:pPr>
      <w:r>
        <w:rPr>
          <w:rFonts w:hint="eastAsia" w:ascii="宋体" w:hAnsi="宋体" w:cs="宋体"/>
          <w:color w:val="auto"/>
          <w:highlight w:val="none"/>
        </w:rPr>
        <w:t>③</w:t>
      </w:r>
      <w:r>
        <w:rPr>
          <w:color w:val="auto"/>
          <w:highlight w:val="none"/>
        </w:rPr>
        <w:t>定期检查航煤油罐呼吸阀的定压是否符合设定要求。</w:t>
      </w:r>
    </w:p>
    <w:p w14:paraId="24C4D6A6">
      <w:pPr>
        <w:ind w:firstLine="480" w:firstLineChars="200"/>
        <w:rPr>
          <w:color w:val="auto"/>
          <w:highlight w:val="none"/>
        </w:rPr>
      </w:pPr>
      <w:r>
        <w:rPr>
          <w:rFonts w:hint="eastAsia" w:ascii="宋体" w:hAnsi="宋体" w:cs="宋体"/>
          <w:color w:val="auto"/>
          <w:highlight w:val="none"/>
        </w:rPr>
        <w:t>④</w:t>
      </w:r>
      <w:r>
        <w:rPr>
          <w:color w:val="auto"/>
          <w:highlight w:val="none"/>
        </w:rPr>
        <w:t>航煤油罐若不符合以上规定，应记录并在90d内修复或排空储罐停止使用。如延迟修复或排空储罐，应将相关方案报生态环境主管部门确定。</w:t>
      </w:r>
    </w:p>
    <w:p w14:paraId="796E1F42">
      <w:pPr>
        <w:rPr>
          <w:color w:val="auto"/>
          <w:highlight w:val="none"/>
        </w:rPr>
      </w:pPr>
      <w:r>
        <w:rPr>
          <w:color w:val="auto"/>
          <w:highlight w:val="none"/>
        </w:rPr>
        <w:t>（3）食堂油烟废气治理</w:t>
      </w:r>
    </w:p>
    <w:p w14:paraId="1C944F56">
      <w:pPr>
        <w:ind w:firstLine="480" w:firstLineChars="200"/>
        <w:rPr>
          <w:color w:val="auto"/>
          <w:highlight w:val="none"/>
        </w:rPr>
      </w:pPr>
      <w:r>
        <w:rPr>
          <w:color w:val="auto"/>
          <w:highlight w:val="none"/>
        </w:rPr>
        <w:t>机场食堂产生的油烟采用油烟净化装置处理，净化效率达到</w:t>
      </w:r>
      <w:r>
        <w:rPr>
          <w:rFonts w:eastAsia="Times New Roman"/>
          <w:color w:val="auto"/>
          <w:highlight w:val="none"/>
        </w:rPr>
        <w:t>60%</w:t>
      </w:r>
      <w:r>
        <w:rPr>
          <w:color w:val="auto"/>
          <w:highlight w:val="none"/>
        </w:rPr>
        <w:t>以上，达到《饮食业油烟排放标准》中油烟净化率标准要求。</w:t>
      </w:r>
    </w:p>
    <w:p w14:paraId="5A7EF682">
      <w:pPr>
        <w:rPr>
          <w:color w:val="auto"/>
          <w:highlight w:val="none"/>
        </w:rPr>
      </w:pPr>
      <w:r>
        <w:rPr>
          <w:color w:val="auto"/>
          <w:highlight w:val="none"/>
        </w:rPr>
        <w:t>（4）污水处理站臭气</w:t>
      </w:r>
      <w:r>
        <w:rPr>
          <w:rFonts w:eastAsiaTheme="minorEastAsia"/>
          <w:color w:val="auto"/>
          <w:highlight w:val="none"/>
        </w:rPr>
        <w:t>治理</w:t>
      </w:r>
    </w:p>
    <w:p w14:paraId="42439BF0">
      <w:pPr>
        <w:ind w:firstLine="480" w:firstLineChars="200"/>
        <w:rPr>
          <w:color w:val="auto"/>
          <w:highlight w:val="none"/>
        </w:rPr>
      </w:pPr>
      <w:r>
        <w:rPr>
          <w:color w:val="auto"/>
          <w:highlight w:val="none"/>
        </w:rPr>
        <w:t>在污水的处理过程中会产生恶臭气体，其主要成分为硫化氢（H</w:t>
      </w:r>
      <w:r>
        <w:rPr>
          <w:color w:val="auto"/>
          <w:highlight w:val="none"/>
          <w:vertAlign w:val="subscript"/>
        </w:rPr>
        <w:t>2</w:t>
      </w:r>
      <w:r>
        <w:rPr>
          <w:color w:val="auto"/>
          <w:highlight w:val="none"/>
        </w:rPr>
        <w:t>S）、氨（NH</w:t>
      </w:r>
      <w:r>
        <w:rPr>
          <w:color w:val="auto"/>
          <w:highlight w:val="none"/>
          <w:vertAlign w:val="subscript"/>
        </w:rPr>
        <w:t>3</w:t>
      </w:r>
      <w:r>
        <w:rPr>
          <w:color w:val="auto"/>
          <w:highlight w:val="none"/>
        </w:rPr>
        <w:t>）等。恶臭气体主要来源为污水、污泥中有机物经细菌分解、发酵产生的物质。本项目污水处理站对构筑物加盖密闭，在污水处理站周围地面设绿化防护带，种植吸附性强的植物，并喷洒除臭剂以降低和减缓恶臭污染影响。</w:t>
      </w:r>
    </w:p>
    <w:p w14:paraId="4D09A9D1">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环境空气污染防治措施可行性论证</w:t>
      </w:r>
    </w:p>
    <w:p w14:paraId="3446ABB1">
      <w:pPr>
        <w:ind w:firstLine="480" w:firstLineChars="200"/>
        <w:rPr>
          <w:color w:val="auto"/>
          <w:highlight w:val="none"/>
        </w:rPr>
      </w:pPr>
      <w:r>
        <w:rPr>
          <w:color w:val="auto"/>
          <w:highlight w:val="none"/>
        </w:rPr>
        <w:t>施工期环境空气污染防治措施为目前施工现场常用措施，技术成熟，投资较少，总体可行。</w:t>
      </w:r>
    </w:p>
    <w:p w14:paraId="43E3F5C7">
      <w:pPr>
        <w:pageBreakBefore w:val="0"/>
        <w:widowControl/>
        <w:kinsoku/>
        <w:wordWrap/>
        <w:overflowPunct/>
        <w:bidi w:val="0"/>
        <w:adjustRightInd w:val="0"/>
        <w:snapToGrid w:val="0"/>
        <w:ind w:firstLine="480" w:firstLineChars="200"/>
        <w:jc w:val="both"/>
        <w:rPr>
          <w:rFonts w:ascii="Times New Roman" w:hAnsi="Times New Roman" w:eastAsia="宋体" w:cs="Times New Roman"/>
          <w:color w:val="auto"/>
          <w:szCs w:val="21"/>
          <w:highlight w:val="none"/>
        </w:rPr>
      </w:pPr>
      <w:r>
        <w:rPr>
          <w:rFonts w:hint="eastAsia"/>
          <w:color w:val="auto"/>
          <w:highlight w:val="none"/>
        </w:rPr>
        <w:t>运营期废气各项控制技术均已成熟，投资较少，总体可行</w:t>
      </w:r>
      <w:r>
        <w:rPr>
          <w:rFonts w:ascii="Times New Roman" w:hAnsi="Times New Roman" w:eastAsia="宋体" w:cs="Times New Roman"/>
          <w:color w:val="auto"/>
          <w:szCs w:val="21"/>
          <w:highlight w:val="none"/>
        </w:rPr>
        <w:t>。</w:t>
      </w:r>
    </w:p>
    <w:p w14:paraId="1F1BCC78">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06" w:name="_Toc26605"/>
      <w:r>
        <w:rPr>
          <w:rFonts w:hint="eastAsia" w:ascii="Times New Roman" w:hAnsi="Times New Roman" w:eastAsia="黑体" w:cs="Times New Roman"/>
          <w:bCs/>
          <w:color w:val="auto"/>
          <w:spacing w:val="0"/>
          <w:w w:val="100"/>
          <w:kern w:val="28"/>
          <w:sz w:val="30"/>
          <w:szCs w:val="30"/>
          <w:highlight w:val="none"/>
          <w:lang w:val="en-US" w:eastAsia="zh-CN" w:bidi="ar-SA"/>
        </w:rPr>
        <w:t>地表水污染防治措施及可行性论证</w:t>
      </w:r>
      <w:bookmarkEnd w:id="306"/>
    </w:p>
    <w:p w14:paraId="4766305A">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施工期地表水污染防治措施</w:t>
      </w:r>
    </w:p>
    <w:p w14:paraId="668A269E">
      <w:pPr>
        <w:ind w:firstLine="480" w:firstLineChars="200"/>
        <w:rPr>
          <w:color w:val="auto"/>
          <w:szCs w:val="22"/>
          <w:highlight w:val="none"/>
        </w:rPr>
      </w:pPr>
      <w:r>
        <w:rPr>
          <w:color w:val="auto"/>
          <w:highlight w:val="none"/>
        </w:rPr>
        <w:t>为防止</w:t>
      </w:r>
      <w:r>
        <w:rPr>
          <w:color w:val="auto"/>
          <w:szCs w:val="22"/>
          <w:highlight w:val="none"/>
        </w:rPr>
        <w:t>施工废水进入水体，需在施工场区内设沉淀池，将排水引入沉淀池内沉淀后上层清水可用于施工现场降尘、车辆清洗等作业。冲洗砂石料、混凝土搅拌及输送设备的冲洗废水可进入沉淀池循环使用不外排。在施工营地内设置环保厕所，生活污水不外排。</w:t>
      </w:r>
    </w:p>
    <w:p w14:paraId="2E8CC505">
      <w:pPr>
        <w:widowControl/>
        <w:ind w:firstLine="480" w:firstLineChars="200"/>
        <w:rPr>
          <w:rFonts w:eastAsia="Times New Roman"/>
          <w:color w:val="auto"/>
          <w:szCs w:val="22"/>
          <w:highlight w:val="none"/>
        </w:rPr>
      </w:pPr>
      <w:r>
        <w:rPr>
          <w:color w:val="auto"/>
          <w:szCs w:val="22"/>
          <w:highlight w:val="none"/>
        </w:rPr>
        <w:t>施工期间，监理单位应对建设工程进行监督，确保机场施工污水、废料不进入场址周围地表水体，保证不影响地表水水质。</w:t>
      </w:r>
    </w:p>
    <w:p w14:paraId="22FF31F2">
      <w:pPr>
        <w:ind w:firstLine="480" w:firstLineChars="200"/>
        <w:rPr>
          <w:color w:val="auto"/>
          <w:kern w:val="24"/>
          <w:szCs w:val="20"/>
          <w:highlight w:val="none"/>
          <w:lang w:bidi="he-IL"/>
        </w:rPr>
      </w:pPr>
      <w:r>
        <w:rPr>
          <w:color w:val="auto"/>
          <w:kern w:val="24"/>
          <w:szCs w:val="20"/>
          <w:highlight w:val="none"/>
        </w:rPr>
        <w:t>因此，施工期各类废水均不向外环境排放，不会对周边地表水环境产生影响。</w:t>
      </w:r>
    </w:p>
    <w:p w14:paraId="28426668">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运营期地表水污染防治措施</w:t>
      </w:r>
    </w:p>
    <w:p w14:paraId="419362E7">
      <w:pPr>
        <w:widowControl/>
        <w:numPr>
          <w:ilvl w:val="0"/>
          <w:numId w:val="24"/>
        </w:numPr>
        <w:ind w:left="0" w:right="6" w:firstLine="482"/>
        <w:rPr>
          <w:color w:val="auto"/>
          <w:szCs w:val="22"/>
          <w:highlight w:val="none"/>
        </w:rPr>
      </w:pPr>
      <w:r>
        <w:rPr>
          <w:color w:val="auto"/>
          <w:szCs w:val="22"/>
          <w:highlight w:val="none"/>
        </w:rPr>
        <w:t>废水</w:t>
      </w:r>
    </w:p>
    <w:p w14:paraId="7AB95940">
      <w:pPr>
        <w:widowControl/>
        <w:ind w:firstLine="480" w:firstLineChars="200"/>
        <w:rPr>
          <w:color w:val="auto"/>
          <w:szCs w:val="22"/>
          <w:highlight w:val="none"/>
        </w:rPr>
      </w:pPr>
      <w:r>
        <w:rPr>
          <w:color w:val="auto"/>
          <w:szCs w:val="22"/>
          <w:highlight w:val="none"/>
        </w:rPr>
        <w:t>污水排放采用生活污水、含油废水、雨水分流制排放。航站区污水经管网收集后进入污水处理站进行处理，出水水质达到《城市污水再生利用 城市杂用水水质》（</w:t>
      </w:r>
      <w:r>
        <w:rPr>
          <w:rFonts w:eastAsia="Times New Roman"/>
          <w:color w:val="auto"/>
          <w:szCs w:val="22"/>
          <w:highlight w:val="none"/>
        </w:rPr>
        <w:t>GB/T18920-2020</w:t>
      </w:r>
      <w:r>
        <w:rPr>
          <w:color w:val="auto"/>
          <w:szCs w:val="22"/>
          <w:highlight w:val="none"/>
        </w:rPr>
        <w:t>）后，作为中水用于机场航站区广场、道路浇洒用水；冬季处理后的中水储存于中</w:t>
      </w:r>
      <w:r>
        <w:rPr>
          <w:rFonts w:hint="eastAsia" w:eastAsia="宋体"/>
          <w:color w:val="auto"/>
          <w:szCs w:val="22"/>
          <w:highlight w:val="none"/>
          <w:lang w:eastAsia="zh-CN"/>
        </w:rPr>
        <w:t>水池</w:t>
      </w:r>
      <w:r>
        <w:rPr>
          <w:color w:val="auto"/>
          <w:szCs w:val="22"/>
          <w:highlight w:val="none"/>
        </w:rPr>
        <w:t>中，待到下一年春夏季节进行使用。生产废水同</w:t>
      </w:r>
      <w:r>
        <w:rPr>
          <w:rFonts w:hint="eastAsia"/>
          <w:color w:val="auto"/>
          <w:szCs w:val="22"/>
          <w:highlight w:val="none"/>
          <w:lang w:val="en-US" w:eastAsia="zh-CN"/>
        </w:rPr>
        <w:t>油车棚</w:t>
      </w:r>
      <w:r>
        <w:rPr>
          <w:color w:val="auto"/>
          <w:szCs w:val="22"/>
          <w:highlight w:val="none"/>
        </w:rPr>
        <w:t>初期雨水需经隔油处理后通过管道进入机场污水管网，最终进入污水处理站处理。</w:t>
      </w:r>
    </w:p>
    <w:p w14:paraId="0F841FE8">
      <w:pPr>
        <w:widowControl/>
        <w:ind w:right="6" w:firstLine="480" w:firstLineChars="200"/>
        <w:rPr>
          <w:color w:val="auto"/>
          <w:szCs w:val="22"/>
          <w:highlight w:val="none"/>
        </w:rPr>
      </w:pPr>
      <w:r>
        <w:rPr>
          <w:rFonts w:hint="eastAsia"/>
          <w:color w:val="auto"/>
          <w:szCs w:val="22"/>
          <w:highlight w:val="none"/>
          <w:lang w:val="en-US" w:eastAsia="zh-CN"/>
        </w:rPr>
        <w:t>油车棚</w:t>
      </w:r>
      <w:r>
        <w:rPr>
          <w:color w:val="auto"/>
          <w:szCs w:val="22"/>
          <w:highlight w:val="none"/>
        </w:rPr>
        <w:t>根据《建筑设计防火规范》（GB50016-2014）和《石油库设计规范》（GB50074-2014）中相关规定配备灭火器、消防桶、石棉被等各种消防设施。</w:t>
      </w:r>
    </w:p>
    <w:p w14:paraId="096BF0C0">
      <w:pPr>
        <w:widowControl/>
        <w:numPr>
          <w:ilvl w:val="0"/>
          <w:numId w:val="24"/>
        </w:numPr>
        <w:ind w:left="0" w:right="6" w:firstLine="482"/>
        <w:rPr>
          <w:color w:val="auto"/>
          <w:szCs w:val="22"/>
          <w:highlight w:val="none"/>
        </w:rPr>
      </w:pPr>
      <w:r>
        <w:rPr>
          <w:color w:val="auto"/>
          <w:szCs w:val="22"/>
          <w:highlight w:val="none"/>
        </w:rPr>
        <w:t>雨水</w:t>
      </w:r>
    </w:p>
    <w:p w14:paraId="7CB996AC">
      <w:pPr>
        <w:widowControl/>
        <w:ind w:firstLine="560"/>
        <w:rPr>
          <w:color w:val="auto"/>
          <w:szCs w:val="22"/>
          <w:highlight w:val="none"/>
        </w:rPr>
      </w:pPr>
      <w:r>
        <w:rPr>
          <w:color w:val="auto"/>
          <w:szCs w:val="22"/>
          <w:highlight w:val="none"/>
        </w:rPr>
        <w:t>航站区雨水排放沿路面坡度排入道路两侧的绿地内自然下渗。在跑道两侧不设排水沟、采用漫流方式进行场内排水。</w:t>
      </w:r>
      <w:r>
        <w:rPr>
          <w:rFonts w:hint="eastAsia"/>
          <w:color w:val="auto"/>
          <w:szCs w:val="22"/>
          <w:highlight w:val="none"/>
          <w:lang w:val="en-US" w:eastAsia="zh-CN"/>
        </w:rPr>
        <w:t>本</w:t>
      </w:r>
      <w:r>
        <w:rPr>
          <w:color w:val="auto"/>
          <w:szCs w:val="22"/>
          <w:highlight w:val="none"/>
        </w:rPr>
        <w:t>期仅考虑在站坪西侧布置集中排水设施，将跑道及站坪之间的雨水用浆砌明沟收集。飞行区其他部分不设排水沟，场内雨水顺土面区漫流散排。从场区范围及周边原地形情况来看，机场周边地势平坦，无合适容泄区。结合当地雨量较小、蒸发量较大的实际情况，本次考虑在排水沟末端设置一个蒸发池，蒸发池采用浆砌片石砌筑，结合飞行区汇流面积、综合径流系数并考虑蒸发影响，拟设置一座300m³钢筋混凝土集渗水池，用于存储工作区雨水，场区雨水经初步沉淀处理后，可用于机场绿化和道路浇洒。</w:t>
      </w:r>
    </w:p>
    <w:p w14:paraId="2D301C57">
      <w:pPr>
        <w:widowControl/>
        <w:ind w:firstLine="480" w:firstLineChars="200"/>
        <w:rPr>
          <w:color w:val="auto"/>
          <w:szCs w:val="22"/>
          <w:highlight w:val="none"/>
        </w:rPr>
      </w:pPr>
      <w:r>
        <w:rPr>
          <w:rFonts w:hint="eastAsia"/>
          <w:color w:val="auto"/>
          <w:szCs w:val="22"/>
          <w:highlight w:val="none"/>
          <w:lang w:val="en-US" w:eastAsia="zh-CN"/>
        </w:rPr>
        <w:t>油车棚</w:t>
      </w:r>
      <w:r>
        <w:rPr>
          <w:color w:val="auto"/>
          <w:szCs w:val="22"/>
          <w:highlight w:val="none"/>
        </w:rPr>
        <w:t>的初期雨水则经隔油处理，再经污水处理系统处理，不外排。</w:t>
      </w:r>
    </w:p>
    <w:p w14:paraId="46F8D962">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地表水污染防治措施可行性论证</w:t>
      </w:r>
    </w:p>
    <w:p w14:paraId="46F00FDC">
      <w:pPr>
        <w:widowControl/>
        <w:numPr>
          <w:ilvl w:val="0"/>
          <w:numId w:val="25"/>
        </w:numPr>
        <w:ind w:left="0" w:right="6" w:firstLine="482"/>
        <w:rPr>
          <w:color w:val="auto"/>
          <w:szCs w:val="22"/>
          <w:highlight w:val="none"/>
        </w:rPr>
      </w:pPr>
      <w:r>
        <w:rPr>
          <w:color w:val="auto"/>
          <w:szCs w:val="22"/>
          <w:highlight w:val="none"/>
        </w:rPr>
        <w:t>施工期</w:t>
      </w:r>
    </w:p>
    <w:p w14:paraId="6E40B659">
      <w:pPr>
        <w:widowControl/>
        <w:ind w:firstLine="480" w:firstLineChars="200"/>
        <w:rPr>
          <w:color w:val="auto"/>
          <w:szCs w:val="22"/>
          <w:highlight w:val="none"/>
        </w:rPr>
      </w:pPr>
      <w:r>
        <w:rPr>
          <w:color w:val="auto"/>
          <w:szCs w:val="22"/>
          <w:highlight w:val="none"/>
        </w:rPr>
        <w:t>施工期生产污水采用沉淀池进行处理，处理后的上清液用于道路洒水等；施工期现场设置环保厕所。污水处理措施技术成熟，经济合理，总体可行。</w:t>
      </w:r>
    </w:p>
    <w:p w14:paraId="236A8CD7">
      <w:pPr>
        <w:widowControl/>
        <w:numPr>
          <w:ilvl w:val="0"/>
          <w:numId w:val="25"/>
        </w:numPr>
        <w:ind w:left="0" w:right="6" w:firstLine="482"/>
        <w:rPr>
          <w:color w:val="auto"/>
          <w:szCs w:val="22"/>
          <w:highlight w:val="none"/>
        </w:rPr>
      </w:pPr>
      <w:r>
        <w:rPr>
          <w:color w:val="auto"/>
          <w:szCs w:val="22"/>
          <w:highlight w:val="none"/>
        </w:rPr>
        <w:t>运营期</w:t>
      </w:r>
    </w:p>
    <w:p w14:paraId="47EA511D">
      <w:pPr>
        <w:ind w:firstLine="480" w:firstLineChars="200"/>
        <w:rPr>
          <w:color w:val="auto"/>
          <w:highlight w:val="none"/>
        </w:rPr>
      </w:pPr>
      <w:r>
        <w:rPr>
          <w:color w:val="auto"/>
          <w:highlight w:val="none"/>
        </w:rPr>
        <w:t>本期机场新建一座污水处理站，新建污水处理站设计采用</w:t>
      </w:r>
      <w:r>
        <w:rPr>
          <w:rFonts w:eastAsia="Times New Roman"/>
          <w:color w:val="auto"/>
          <w:highlight w:val="none"/>
        </w:rPr>
        <w:t>1</w:t>
      </w:r>
      <w:r>
        <w:rPr>
          <w:color w:val="auto"/>
          <w:highlight w:val="none"/>
        </w:rPr>
        <w:t>套处理能力为</w:t>
      </w:r>
      <w:r>
        <w:rPr>
          <w:rFonts w:hint="eastAsia" w:eastAsia="宋体"/>
          <w:color w:val="auto"/>
          <w:highlight w:val="none"/>
          <w:lang w:val="en-US" w:eastAsia="zh-CN"/>
        </w:rPr>
        <w:t>5</w:t>
      </w:r>
      <w:r>
        <w:rPr>
          <w:rFonts w:eastAsia="Times New Roman"/>
          <w:color w:val="auto"/>
          <w:highlight w:val="none"/>
        </w:rPr>
        <w:t>m</w:t>
      </w:r>
      <w:r>
        <w:rPr>
          <w:rFonts w:eastAsia="Times New Roman"/>
          <w:color w:val="auto"/>
          <w:highlight w:val="none"/>
          <w:vertAlign w:val="superscript"/>
        </w:rPr>
        <w:t>3</w:t>
      </w:r>
      <w:r>
        <w:rPr>
          <w:rFonts w:eastAsia="Times New Roman"/>
          <w:color w:val="auto"/>
          <w:highlight w:val="none"/>
        </w:rPr>
        <w:t>/h</w:t>
      </w:r>
      <w:r>
        <w:rPr>
          <w:color w:val="auto"/>
          <w:highlight w:val="none"/>
        </w:rPr>
        <w:t>的一体化</w:t>
      </w:r>
      <w:r>
        <w:rPr>
          <w:rFonts w:eastAsia="Times New Roman"/>
          <w:color w:val="auto"/>
          <w:highlight w:val="none"/>
        </w:rPr>
        <w:t>MBR</w:t>
      </w:r>
      <w:r>
        <w:rPr>
          <w:color w:val="auto"/>
          <w:highlight w:val="none"/>
        </w:rPr>
        <w:t>污水处理设施。</w:t>
      </w:r>
    </w:p>
    <w:p w14:paraId="270BF695">
      <w:pPr>
        <w:ind w:firstLine="480" w:firstLineChars="200"/>
        <w:rPr>
          <w:color w:val="auto"/>
          <w:highlight w:val="none"/>
        </w:rPr>
      </w:pPr>
      <w:r>
        <w:rPr>
          <w:color w:val="auto"/>
          <w:highlight w:val="none"/>
        </w:rPr>
        <w:t>膜生物反应器（</w:t>
      </w:r>
      <w:r>
        <w:rPr>
          <w:rFonts w:eastAsia="Times New Roman"/>
          <w:color w:val="auto"/>
          <w:highlight w:val="none"/>
        </w:rPr>
        <w:t>MBR</w:t>
      </w:r>
      <w:r>
        <w:rPr>
          <w:color w:val="auto"/>
          <w:highlight w:val="none"/>
        </w:rPr>
        <w:t>）工艺是高效膜分离技术与生化技术相结合的新型污水处理技术，它利用膜分离技术取代了二沉池进行固液分离；和传统生化处理技术相比，它具有高效节能、出水水质良好且稳定、占地小、投资省、抗水质负荷冲击能力强等特点。处理后的污水水质</w:t>
      </w:r>
      <w:r>
        <w:rPr>
          <w:rFonts w:hint="eastAsia"/>
          <w:color w:val="auto"/>
          <w:highlight w:val="none"/>
          <w:lang w:val="en-US" w:eastAsia="zh-CN"/>
        </w:rPr>
        <w:t>执行</w:t>
      </w:r>
      <w:r>
        <w:rPr>
          <w:color w:val="auto"/>
          <w:highlight w:val="none"/>
        </w:rPr>
        <w:t>《城市污水再生利用 城市杂用水水质》（GB/T18920-2020）中相应回用水水质标准。</w:t>
      </w:r>
    </w:p>
    <w:p w14:paraId="2D52279E">
      <w:pPr>
        <w:ind w:firstLine="480" w:firstLineChars="200"/>
        <w:rPr>
          <w:color w:val="auto"/>
          <w:highlight w:val="none"/>
        </w:rPr>
      </w:pPr>
      <w:r>
        <w:rPr>
          <w:color w:val="auto"/>
          <w:highlight w:val="none"/>
        </w:rPr>
        <w:t>机场污水处理工艺流程如图</w:t>
      </w:r>
      <w:r>
        <w:rPr>
          <w:rFonts w:hint="eastAsia" w:eastAsia="宋体"/>
          <w:color w:val="auto"/>
          <w:highlight w:val="none"/>
          <w:lang w:val="en-US" w:eastAsia="zh-CN"/>
        </w:rPr>
        <w:t>6.4</w:t>
      </w:r>
      <w:r>
        <w:rPr>
          <w:rFonts w:eastAsia="Times New Roman"/>
          <w:color w:val="auto"/>
          <w:highlight w:val="none"/>
        </w:rPr>
        <w:t>-1</w:t>
      </w:r>
      <w:r>
        <w:rPr>
          <w:color w:val="auto"/>
          <w:highlight w:val="none"/>
        </w:rPr>
        <w:t>所示。</w:t>
      </w:r>
    </w:p>
    <w:p w14:paraId="2E6B602F">
      <w:pPr>
        <w:ind w:firstLine="480" w:firstLineChars="200"/>
        <w:rPr>
          <w:color w:val="auto"/>
          <w:highlight w:val="none"/>
        </w:rPr>
      </w:pPr>
      <w:r>
        <w:rPr>
          <w:color w:val="auto"/>
          <w:highlight w:val="none"/>
        </w:rPr>
        <w:t>通过类比，机场污水处理站进出水水质情况详见表</w:t>
      </w:r>
      <w:r>
        <w:rPr>
          <w:rFonts w:hint="eastAsia" w:eastAsia="宋体"/>
          <w:color w:val="auto"/>
          <w:highlight w:val="none"/>
          <w:lang w:val="en-US" w:eastAsia="zh-CN"/>
        </w:rPr>
        <w:t>6.4</w:t>
      </w:r>
      <w:r>
        <w:rPr>
          <w:rFonts w:eastAsia="Times New Roman"/>
          <w:color w:val="auto"/>
          <w:highlight w:val="none"/>
        </w:rPr>
        <w:t>-2</w:t>
      </w:r>
      <w:r>
        <w:rPr>
          <w:color w:val="auto"/>
          <w:highlight w:val="none"/>
        </w:rPr>
        <w:t>。</w:t>
      </w:r>
    </w:p>
    <w:p w14:paraId="42FC2981">
      <w:pPr>
        <w:ind w:firstLine="0"/>
        <w:jc w:val="center"/>
        <w:rPr>
          <w:rFonts w:ascii="黑体" w:hAnsi="黑体" w:eastAsia="黑体"/>
          <w:color w:val="auto"/>
          <w:sz w:val="21"/>
          <w:highlight w:val="none"/>
        </w:rPr>
      </w:pPr>
      <w:r>
        <w:rPr>
          <w:rFonts w:ascii="黑体" w:hAnsi="黑体" w:eastAsia="黑体"/>
          <w:color w:val="auto"/>
          <w:sz w:val="21"/>
          <w:highlight w:val="none"/>
        </w:rPr>
        <w:t>表</w:t>
      </w:r>
      <w:r>
        <w:rPr>
          <w:rFonts w:hint="eastAsia" w:ascii="黑体" w:hAnsi="黑体" w:eastAsia="黑体"/>
          <w:color w:val="auto"/>
          <w:sz w:val="21"/>
          <w:highlight w:val="none"/>
          <w:lang w:val="en-US" w:eastAsia="zh-CN"/>
        </w:rPr>
        <w:t>6.4</w:t>
      </w:r>
      <w:r>
        <w:rPr>
          <w:rFonts w:ascii="黑体" w:hAnsi="黑体" w:eastAsia="黑体"/>
          <w:color w:val="auto"/>
          <w:sz w:val="21"/>
          <w:highlight w:val="none"/>
        </w:rPr>
        <w:t xml:space="preserve">-2 污水处理站进出水水质及处理效率 </w:t>
      </w:r>
    </w:p>
    <w:tbl>
      <w:tblPr>
        <w:tblStyle w:val="159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3"/>
        <w:gridCol w:w="1344"/>
        <w:gridCol w:w="1491"/>
        <w:gridCol w:w="2004"/>
        <w:gridCol w:w="1207"/>
      </w:tblGrid>
      <w:tr w14:paraId="29CC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533" w:type="pct"/>
            <w:vAlign w:val="center"/>
          </w:tcPr>
          <w:p w14:paraId="5879A7E8">
            <w:pPr>
              <w:keepNext w:val="0"/>
              <w:keepLines w:val="0"/>
              <w:suppressLineNumbers w:val="0"/>
              <w:spacing w:before="0" w:beforeAutospacing="0" w:after="0" w:afterAutospacing="0" w:line="240" w:lineRule="auto"/>
              <w:ind w:left="0" w:right="80" w:firstLine="0"/>
              <w:jc w:val="center"/>
              <w:rPr>
                <w:rFonts w:hint="default"/>
                <w:color w:val="auto"/>
                <w:kern w:val="0"/>
                <w:highlight w:val="none"/>
              </w:rPr>
            </w:pPr>
            <w:r>
              <w:rPr>
                <w:rFonts w:hint="default"/>
                <w:color w:val="auto"/>
                <w:kern w:val="0"/>
                <w:sz w:val="21"/>
                <w:highlight w:val="none"/>
              </w:rPr>
              <w:t>污染物</w:t>
            </w:r>
          </w:p>
        </w:tc>
        <w:tc>
          <w:tcPr>
            <w:tcW w:w="771" w:type="pct"/>
            <w:vAlign w:val="center"/>
          </w:tcPr>
          <w:p w14:paraId="120D8487">
            <w:pPr>
              <w:keepNext w:val="0"/>
              <w:keepLines w:val="0"/>
              <w:suppressLineNumbers w:val="0"/>
              <w:spacing w:before="0" w:beforeAutospacing="0" w:after="0" w:afterAutospacing="0" w:line="240" w:lineRule="auto"/>
              <w:ind w:left="0" w:right="89" w:firstLine="0"/>
              <w:jc w:val="center"/>
              <w:rPr>
                <w:rFonts w:hint="default"/>
                <w:color w:val="auto"/>
                <w:kern w:val="0"/>
                <w:highlight w:val="none"/>
              </w:rPr>
            </w:pPr>
            <w:r>
              <w:rPr>
                <w:rFonts w:hint="default" w:eastAsia="Times New Roman"/>
                <w:color w:val="auto"/>
                <w:kern w:val="0"/>
                <w:sz w:val="21"/>
                <w:highlight w:val="none"/>
              </w:rPr>
              <w:t>SS</w:t>
            </w:r>
          </w:p>
        </w:tc>
        <w:tc>
          <w:tcPr>
            <w:tcW w:w="855" w:type="pct"/>
            <w:vAlign w:val="center"/>
          </w:tcPr>
          <w:p w14:paraId="3A086899">
            <w:pPr>
              <w:keepNext w:val="0"/>
              <w:keepLines w:val="0"/>
              <w:suppressLineNumbers w:val="0"/>
              <w:spacing w:before="0" w:beforeAutospacing="0" w:after="0" w:afterAutospacing="0" w:line="240" w:lineRule="auto"/>
              <w:ind w:left="0" w:right="83" w:firstLine="0"/>
              <w:jc w:val="center"/>
              <w:rPr>
                <w:rFonts w:hint="default"/>
                <w:color w:val="auto"/>
                <w:kern w:val="0"/>
                <w:highlight w:val="none"/>
              </w:rPr>
            </w:pPr>
            <w:r>
              <w:rPr>
                <w:rFonts w:hint="default" w:eastAsia="Times New Roman"/>
                <w:color w:val="auto"/>
                <w:kern w:val="0"/>
                <w:sz w:val="21"/>
                <w:highlight w:val="none"/>
              </w:rPr>
              <w:t>COD</w:t>
            </w:r>
          </w:p>
        </w:tc>
        <w:tc>
          <w:tcPr>
            <w:tcW w:w="1149" w:type="pct"/>
            <w:vAlign w:val="center"/>
          </w:tcPr>
          <w:p w14:paraId="39DE607F">
            <w:pPr>
              <w:keepNext w:val="0"/>
              <w:keepLines w:val="0"/>
              <w:suppressLineNumbers w:val="0"/>
              <w:spacing w:before="0" w:beforeAutospacing="0" w:after="0" w:afterAutospacing="0" w:line="240" w:lineRule="auto"/>
              <w:ind w:left="0" w:right="84" w:firstLine="0"/>
              <w:jc w:val="center"/>
              <w:rPr>
                <w:rFonts w:hint="default"/>
                <w:color w:val="auto"/>
                <w:kern w:val="0"/>
                <w:highlight w:val="none"/>
              </w:rPr>
            </w:pPr>
            <w:r>
              <w:rPr>
                <w:rFonts w:hint="default" w:eastAsia="Times New Roman"/>
                <w:color w:val="auto"/>
                <w:kern w:val="0"/>
                <w:sz w:val="21"/>
                <w:highlight w:val="none"/>
              </w:rPr>
              <w:t>BOD</w:t>
            </w:r>
            <w:r>
              <w:rPr>
                <w:rFonts w:hint="default" w:eastAsia="Times New Roman"/>
                <w:color w:val="auto"/>
                <w:kern w:val="0"/>
                <w:sz w:val="21"/>
                <w:highlight w:val="none"/>
                <w:vertAlign w:val="subscript"/>
              </w:rPr>
              <w:t>5</w:t>
            </w:r>
          </w:p>
        </w:tc>
        <w:tc>
          <w:tcPr>
            <w:tcW w:w="692" w:type="pct"/>
            <w:vAlign w:val="center"/>
          </w:tcPr>
          <w:p w14:paraId="70711FA3">
            <w:pPr>
              <w:keepNext w:val="0"/>
              <w:keepLines w:val="0"/>
              <w:suppressLineNumbers w:val="0"/>
              <w:spacing w:before="0" w:beforeAutospacing="0" w:after="0" w:afterAutospacing="0" w:line="240" w:lineRule="auto"/>
              <w:ind w:left="0" w:right="85" w:firstLine="0"/>
              <w:jc w:val="center"/>
              <w:rPr>
                <w:rFonts w:hint="default"/>
                <w:color w:val="auto"/>
                <w:kern w:val="0"/>
                <w:highlight w:val="none"/>
              </w:rPr>
            </w:pPr>
            <w:r>
              <w:rPr>
                <w:rFonts w:hint="default"/>
                <w:color w:val="auto"/>
                <w:kern w:val="0"/>
                <w:sz w:val="21"/>
                <w:highlight w:val="none"/>
              </w:rPr>
              <w:t>氨氮</w:t>
            </w:r>
          </w:p>
        </w:tc>
      </w:tr>
      <w:tr w14:paraId="75AE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533" w:type="pct"/>
            <w:vAlign w:val="center"/>
          </w:tcPr>
          <w:p w14:paraId="08E248AE">
            <w:pPr>
              <w:keepNext w:val="0"/>
              <w:keepLines w:val="0"/>
              <w:suppressLineNumbers w:val="0"/>
              <w:spacing w:before="0" w:beforeAutospacing="0" w:after="0" w:afterAutospacing="0" w:line="240" w:lineRule="auto"/>
              <w:ind w:left="0" w:right="0" w:firstLine="0"/>
              <w:jc w:val="center"/>
              <w:rPr>
                <w:rFonts w:hint="default"/>
                <w:color w:val="auto"/>
                <w:kern w:val="0"/>
                <w:highlight w:val="none"/>
              </w:rPr>
            </w:pPr>
            <w:r>
              <w:rPr>
                <w:rFonts w:hint="default"/>
                <w:color w:val="auto"/>
                <w:kern w:val="0"/>
                <w:sz w:val="21"/>
                <w:highlight w:val="none"/>
              </w:rPr>
              <w:t>进水平均浓度（</w:t>
            </w:r>
            <w:r>
              <w:rPr>
                <w:rFonts w:hint="default" w:eastAsia="Times New Roman"/>
                <w:color w:val="auto"/>
                <w:kern w:val="0"/>
                <w:sz w:val="21"/>
                <w:highlight w:val="none"/>
              </w:rPr>
              <w:t>mg/L</w:t>
            </w:r>
            <w:r>
              <w:rPr>
                <w:rFonts w:hint="default"/>
                <w:color w:val="auto"/>
                <w:kern w:val="0"/>
                <w:sz w:val="21"/>
                <w:highlight w:val="none"/>
              </w:rPr>
              <w:t>）</w:t>
            </w:r>
          </w:p>
        </w:tc>
        <w:tc>
          <w:tcPr>
            <w:tcW w:w="771" w:type="pct"/>
            <w:vAlign w:val="center"/>
          </w:tcPr>
          <w:p w14:paraId="3DC86AD0">
            <w:pPr>
              <w:keepNext w:val="0"/>
              <w:keepLines w:val="0"/>
              <w:suppressLineNumbers w:val="0"/>
              <w:spacing w:before="0" w:beforeAutospacing="0" w:after="0" w:afterAutospacing="0" w:line="240" w:lineRule="auto"/>
              <w:ind w:left="0" w:right="82" w:firstLine="0"/>
              <w:jc w:val="center"/>
              <w:rPr>
                <w:rFonts w:hint="default"/>
                <w:color w:val="auto"/>
                <w:kern w:val="0"/>
                <w:highlight w:val="none"/>
              </w:rPr>
            </w:pPr>
            <w:r>
              <w:rPr>
                <w:rFonts w:hint="default" w:eastAsia="Times New Roman"/>
                <w:color w:val="auto"/>
                <w:kern w:val="0"/>
                <w:sz w:val="21"/>
                <w:highlight w:val="none"/>
              </w:rPr>
              <w:t>200~400</w:t>
            </w:r>
          </w:p>
        </w:tc>
        <w:tc>
          <w:tcPr>
            <w:tcW w:w="855" w:type="pct"/>
            <w:vAlign w:val="center"/>
          </w:tcPr>
          <w:p w14:paraId="7655A0DC">
            <w:pPr>
              <w:keepNext w:val="0"/>
              <w:keepLines w:val="0"/>
              <w:suppressLineNumbers w:val="0"/>
              <w:spacing w:before="0" w:beforeAutospacing="0" w:after="0" w:afterAutospacing="0" w:line="240" w:lineRule="auto"/>
              <w:ind w:left="0" w:right="87" w:firstLine="0"/>
              <w:jc w:val="center"/>
              <w:rPr>
                <w:rFonts w:hint="default"/>
                <w:color w:val="auto"/>
                <w:kern w:val="0"/>
                <w:highlight w:val="none"/>
              </w:rPr>
            </w:pPr>
            <w:r>
              <w:rPr>
                <w:rFonts w:hint="default" w:eastAsia="Times New Roman"/>
                <w:color w:val="auto"/>
                <w:kern w:val="0"/>
                <w:sz w:val="21"/>
                <w:highlight w:val="none"/>
              </w:rPr>
              <w:t>180~260</w:t>
            </w:r>
          </w:p>
        </w:tc>
        <w:tc>
          <w:tcPr>
            <w:tcW w:w="1149" w:type="pct"/>
            <w:vAlign w:val="center"/>
          </w:tcPr>
          <w:p w14:paraId="2720229B">
            <w:pPr>
              <w:keepNext w:val="0"/>
              <w:keepLines w:val="0"/>
              <w:suppressLineNumbers w:val="0"/>
              <w:spacing w:before="0" w:beforeAutospacing="0" w:after="0" w:afterAutospacing="0" w:line="240" w:lineRule="auto"/>
              <w:ind w:left="0" w:right="82" w:firstLine="0"/>
              <w:jc w:val="center"/>
              <w:rPr>
                <w:rFonts w:hint="default"/>
                <w:color w:val="auto"/>
                <w:kern w:val="0"/>
                <w:highlight w:val="none"/>
              </w:rPr>
            </w:pPr>
            <w:r>
              <w:rPr>
                <w:rFonts w:hint="default" w:eastAsia="Times New Roman"/>
                <w:color w:val="auto"/>
                <w:kern w:val="0"/>
                <w:sz w:val="21"/>
                <w:highlight w:val="none"/>
              </w:rPr>
              <w:t>100~150</w:t>
            </w:r>
          </w:p>
        </w:tc>
        <w:tc>
          <w:tcPr>
            <w:tcW w:w="692" w:type="pct"/>
            <w:vAlign w:val="center"/>
          </w:tcPr>
          <w:p w14:paraId="641AD960">
            <w:pPr>
              <w:keepNext w:val="0"/>
              <w:keepLines w:val="0"/>
              <w:suppressLineNumbers w:val="0"/>
              <w:spacing w:before="0" w:beforeAutospacing="0" w:after="0" w:afterAutospacing="0" w:line="240" w:lineRule="auto"/>
              <w:ind w:left="0" w:right="85" w:firstLine="0"/>
              <w:jc w:val="center"/>
              <w:rPr>
                <w:rFonts w:hint="default"/>
                <w:color w:val="auto"/>
                <w:kern w:val="0"/>
                <w:highlight w:val="none"/>
              </w:rPr>
            </w:pPr>
            <w:r>
              <w:rPr>
                <w:rFonts w:hint="default" w:eastAsia="Times New Roman"/>
                <w:color w:val="auto"/>
                <w:kern w:val="0"/>
                <w:sz w:val="21"/>
                <w:highlight w:val="none"/>
              </w:rPr>
              <w:t>20~40</w:t>
            </w:r>
          </w:p>
        </w:tc>
      </w:tr>
      <w:tr w14:paraId="1B23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33" w:type="pct"/>
            <w:vAlign w:val="center"/>
          </w:tcPr>
          <w:p w14:paraId="67E4A933">
            <w:pPr>
              <w:keepNext w:val="0"/>
              <w:keepLines w:val="0"/>
              <w:suppressLineNumbers w:val="0"/>
              <w:spacing w:before="0" w:beforeAutospacing="0" w:after="0" w:afterAutospacing="0" w:line="240" w:lineRule="auto"/>
              <w:ind w:left="0" w:right="0" w:firstLine="0"/>
              <w:jc w:val="center"/>
              <w:rPr>
                <w:rFonts w:hint="default"/>
                <w:color w:val="auto"/>
                <w:kern w:val="0"/>
                <w:highlight w:val="none"/>
              </w:rPr>
            </w:pPr>
            <w:r>
              <w:rPr>
                <w:rFonts w:hint="default"/>
                <w:color w:val="auto"/>
                <w:kern w:val="0"/>
                <w:sz w:val="21"/>
                <w:highlight w:val="none"/>
              </w:rPr>
              <w:t>出水平均浓度（</w:t>
            </w:r>
            <w:r>
              <w:rPr>
                <w:rFonts w:hint="default" w:eastAsia="Times New Roman"/>
                <w:color w:val="auto"/>
                <w:kern w:val="0"/>
                <w:sz w:val="21"/>
                <w:highlight w:val="none"/>
              </w:rPr>
              <w:t>mg/L</w:t>
            </w:r>
            <w:r>
              <w:rPr>
                <w:rFonts w:hint="default"/>
                <w:color w:val="auto"/>
                <w:kern w:val="0"/>
                <w:sz w:val="21"/>
                <w:highlight w:val="none"/>
              </w:rPr>
              <w:t>）</w:t>
            </w:r>
          </w:p>
        </w:tc>
        <w:tc>
          <w:tcPr>
            <w:tcW w:w="771" w:type="pct"/>
            <w:vAlign w:val="center"/>
          </w:tcPr>
          <w:p w14:paraId="308722D4">
            <w:pPr>
              <w:keepNext w:val="0"/>
              <w:keepLines w:val="0"/>
              <w:suppressLineNumbers w:val="0"/>
              <w:spacing w:before="0" w:beforeAutospacing="0" w:after="0" w:afterAutospacing="0" w:line="240" w:lineRule="auto"/>
              <w:ind w:left="0" w:right="92" w:firstLine="0"/>
              <w:jc w:val="center"/>
              <w:rPr>
                <w:rFonts w:hint="default"/>
                <w:color w:val="auto"/>
                <w:kern w:val="0"/>
                <w:highlight w:val="none"/>
              </w:rPr>
            </w:pPr>
            <w:r>
              <w:rPr>
                <w:rFonts w:hint="default" w:eastAsia="Times New Roman"/>
                <w:color w:val="auto"/>
                <w:kern w:val="0"/>
                <w:sz w:val="21"/>
                <w:highlight w:val="none"/>
              </w:rPr>
              <w:t>20</w:t>
            </w:r>
          </w:p>
        </w:tc>
        <w:tc>
          <w:tcPr>
            <w:tcW w:w="855" w:type="pct"/>
            <w:vAlign w:val="center"/>
          </w:tcPr>
          <w:p w14:paraId="1AE76200">
            <w:pPr>
              <w:keepNext w:val="0"/>
              <w:keepLines w:val="0"/>
              <w:suppressLineNumbers w:val="0"/>
              <w:spacing w:before="0" w:beforeAutospacing="0" w:after="0" w:afterAutospacing="0" w:line="240" w:lineRule="auto"/>
              <w:ind w:left="0" w:right="86" w:firstLine="0"/>
              <w:jc w:val="center"/>
              <w:rPr>
                <w:rFonts w:hint="default"/>
                <w:color w:val="auto"/>
                <w:kern w:val="0"/>
                <w:highlight w:val="none"/>
              </w:rPr>
            </w:pPr>
            <w:r>
              <w:rPr>
                <w:rFonts w:hint="default" w:eastAsia="Times New Roman"/>
                <w:color w:val="auto"/>
                <w:kern w:val="0"/>
                <w:sz w:val="21"/>
                <w:highlight w:val="none"/>
              </w:rPr>
              <w:t>26</w:t>
            </w:r>
          </w:p>
        </w:tc>
        <w:tc>
          <w:tcPr>
            <w:tcW w:w="1149" w:type="pct"/>
            <w:vAlign w:val="center"/>
          </w:tcPr>
          <w:p w14:paraId="207B7981">
            <w:pPr>
              <w:keepNext w:val="0"/>
              <w:keepLines w:val="0"/>
              <w:suppressLineNumbers w:val="0"/>
              <w:spacing w:before="0" w:beforeAutospacing="0" w:after="0" w:afterAutospacing="0" w:line="240" w:lineRule="auto"/>
              <w:ind w:left="0" w:right="86" w:firstLine="0"/>
              <w:jc w:val="center"/>
              <w:rPr>
                <w:rFonts w:hint="default"/>
                <w:color w:val="auto"/>
                <w:kern w:val="0"/>
                <w:highlight w:val="none"/>
              </w:rPr>
            </w:pPr>
            <w:r>
              <w:rPr>
                <w:rFonts w:hint="default" w:eastAsia="Times New Roman"/>
                <w:color w:val="auto"/>
                <w:kern w:val="0"/>
                <w:sz w:val="21"/>
                <w:highlight w:val="none"/>
              </w:rPr>
              <w:t>7.5</w:t>
            </w:r>
          </w:p>
        </w:tc>
        <w:tc>
          <w:tcPr>
            <w:tcW w:w="692" w:type="pct"/>
            <w:vAlign w:val="center"/>
          </w:tcPr>
          <w:p w14:paraId="1D12B635">
            <w:pPr>
              <w:keepNext w:val="0"/>
              <w:keepLines w:val="0"/>
              <w:suppressLineNumbers w:val="0"/>
              <w:spacing w:before="0" w:beforeAutospacing="0" w:after="0" w:afterAutospacing="0" w:line="240" w:lineRule="auto"/>
              <w:ind w:left="0" w:right="94" w:firstLine="0"/>
              <w:jc w:val="center"/>
              <w:rPr>
                <w:rFonts w:hint="default"/>
                <w:color w:val="auto"/>
                <w:kern w:val="0"/>
                <w:highlight w:val="none"/>
              </w:rPr>
            </w:pPr>
            <w:r>
              <w:rPr>
                <w:rFonts w:hint="default" w:eastAsia="Times New Roman"/>
                <w:color w:val="auto"/>
                <w:kern w:val="0"/>
                <w:sz w:val="21"/>
                <w:highlight w:val="none"/>
              </w:rPr>
              <w:t>8</w:t>
            </w:r>
          </w:p>
        </w:tc>
      </w:tr>
      <w:tr w14:paraId="08A0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533" w:type="pct"/>
            <w:vAlign w:val="center"/>
          </w:tcPr>
          <w:p w14:paraId="4945938F">
            <w:pPr>
              <w:keepNext w:val="0"/>
              <w:keepLines w:val="0"/>
              <w:suppressLineNumbers w:val="0"/>
              <w:spacing w:before="0" w:beforeAutospacing="0" w:after="0" w:afterAutospacing="0" w:line="240" w:lineRule="auto"/>
              <w:ind w:left="0" w:right="80" w:firstLine="0"/>
              <w:jc w:val="center"/>
              <w:rPr>
                <w:rFonts w:hint="default"/>
                <w:color w:val="auto"/>
                <w:kern w:val="0"/>
                <w:highlight w:val="none"/>
              </w:rPr>
            </w:pPr>
            <w:r>
              <w:rPr>
                <w:rFonts w:hint="default"/>
                <w:color w:val="auto"/>
                <w:kern w:val="0"/>
                <w:sz w:val="21"/>
                <w:highlight w:val="none"/>
              </w:rPr>
              <w:t>去除效率</w:t>
            </w:r>
          </w:p>
        </w:tc>
        <w:tc>
          <w:tcPr>
            <w:tcW w:w="771" w:type="pct"/>
            <w:vAlign w:val="center"/>
          </w:tcPr>
          <w:p w14:paraId="5C3C1C4C">
            <w:pPr>
              <w:keepNext w:val="0"/>
              <w:keepLines w:val="0"/>
              <w:suppressLineNumbers w:val="0"/>
              <w:spacing w:before="0" w:beforeAutospacing="0" w:after="0" w:afterAutospacing="0" w:line="240" w:lineRule="auto"/>
              <w:ind w:left="0" w:right="92" w:firstLine="0"/>
              <w:jc w:val="center"/>
              <w:rPr>
                <w:rFonts w:hint="default"/>
                <w:color w:val="auto"/>
                <w:kern w:val="0"/>
                <w:highlight w:val="none"/>
              </w:rPr>
            </w:pPr>
            <w:r>
              <w:rPr>
                <w:rFonts w:hint="default" w:eastAsia="Times New Roman"/>
                <w:color w:val="auto"/>
                <w:kern w:val="0"/>
                <w:sz w:val="21"/>
                <w:highlight w:val="none"/>
              </w:rPr>
              <w:t>95</w:t>
            </w:r>
          </w:p>
        </w:tc>
        <w:tc>
          <w:tcPr>
            <w:tcW w:w="855" w:type="pct"/>
            <w:vAlign w:val="center"/>
          </w:tcPr>
          <w:p w14:paraId="7235EFAC">
            <w:pPr>
              <w:keepNext w:val="0"/>
              <w:keepLines w:val="0"/>
              <w:suppressLineNumbers w:val="0"/>
              <w:spacing w:before="0" w:beforeAutospacing="0" w:after="0" w:afterAutospacing="0" w:line="240" w:lineRule="auto"/>
              <w:ind w:left="0" w:right="86" w:firstLine="0"/>
              <w:jc w:val="center"/>
              <w:rPr>
                <w:rFonts w:hint="default"/>
                <w:color w:val="auto"/>
                <w:kern w:val="0"/>
                <w:highlight w:val="none"/>
              </w:rPr>
            </w:pPr>
            <w:r>
              <w:rPr>
                <w:rFonts w:hint="default" w:eastAsia="Times New Roman"/>
                <w:color w:val="auto"/>
                <w:kern w:val="0"/>
                <w:sz w:val="21"/>
                <w:highlight w:val="none"/>
              </w:rPr>
              <w:t>90</w:t>
            </w:r>
          </w:p>
        </w:tc>
        <w:tc>
          <w:tcPr>
            <w:tcW w:w="1149" w:type="pct"/>
            <w:vAlign w:val="center"/>
          </w:tcPr>
          <w:p w14:paraId="5F679BE8">
            <w:pPr>
              <w:keepNext w:val="0"/>
              <w:keepLines w:val="0"/>
              <w:suppressLineNumbers w:val="0"/>
              <w:spacing w:before="0" w:beforeAutospacing="0" w:after="0" w:afterAutospacing="0" w:line="240" w:lineRule="auto"/>
              <w:ind w:left="0" w:right="91" w:firstLine="0"/>
              <w:jc w:val="center"/>
              <w:rPr>
                <w:rFonts w:hint="default"/>
                <w:color w:val="auto"/>
                <w:kern w:val="0"/>
                <w:highlight w:val="none"/>
              </w:rPr>
            </w:pPr>
            <w:r>
              <w:rPr>
                <w:rFonts w:hint="default" w:eastAsia="Times New Roman"/>
                <w:color w:val="auto"/>
                <w:kern w:val="0"/>
                <w:sz w:val="21"/>
                <w:highlight w:val="none"/>
              </w:rPr>
              <w:t>95</w:t>
            </w:r>
          </w:p>
        </w:tc>
        <w:tc>
          <w:tcPr>
            <w:tcW w:w="692" w:type="pct"/>
            <w:vAlign w:val="center"/>
          </w:tcPr>
          <w:p w14:paraId="409A88B8">
            <w:pPr>
              <w:keepNext w:val="0"/>
              <w:keepLines w:val="0"/>
              <w:suppressLineNumbers w:val="0"/>
              <w:spacing w:before="0" w:beforeAutospacing="0" w:after="0" w:afterAutospacing="0" w:line="240" w:lineRule="auto"/>
              <w:ind w:left="0" w:right="94" w:firstLine="0"/>
              <w:jc w:val="center"/>
              <w:rPr>
                <w:rFonts w:hint="default"/>
                <w:color w:val="auto"/>
                <w:kern w:val="0"/>
                <w:highlight w:val="none"/>
              </w:rPr>
            </w:pPr>
            <w:r>
              <w:rPr>
                <w:rFonts w:hint="default" w:eastAsia="Times New Roman"/>
                <w:color w:val="auto"/>
                <w:kern w:val="0"/>
                <w:sz w:val="21"/>
                <w:highlight w:val="none"/>
              </w:rPr>
              <w:t>80</w:t>
            </w:r>
          </w:p>
        </w:tc>
      </w:tr>
      <w:tr w14:paraId="678E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533" w:type="pct"/>
            <w:vAlign w:val="center"/>
          </w:tcPr>
          <w:p w14:paraId="0E02D49F">
            <w:pPr>
              <w:keepNext w:val="0"/>
              <w:keepLines w:val="0"/>
              <w:suppressLineNumbers w:val="0"/>
              <w:spacing w:before="0" w:beforeAutospacing="0" w:after="0" w:afterAutospacing="0" w:line="240" w:lineRule="auto"/>
              <w:ind w:left="0" w:right="85" w:firstLine="0"/>
              <w:jc w:val="center"/>
              <w:rPr>
                <w:rFonts w:hint="default"/>
                <w:color w:val="auto"/>
                <w:kern w:val="0"/>
                <w:highlight w:val="none"/>
              </w:rPr>
            </w:pPr>
            <w:r>
              <w:rPr>
                <w:rFonts w:hint="default"/>
                <w:color w:val="auto"/>
                <w:kern w:val="0"/>
                <w:sz w:val="21"/>
                <w:highlight w:val="none"/>
              </w:rPr>
              <w:t>标准值（</w:t>
            </w:r>
            <w:r>
              <w:rPr>
                <w:rFonts w:hint="default" w:eastAsia="Times New Roman"/>
                <w:color w:val="auto"/>
                <w:kern w:val="0"/>
                <w:sz w:val="21"/>
                <w:highlight w:val="none"/>
              </w:rPr>
              <w:t>mg/L</w:t>
            </w:r>
            <w:r>
              <w:rPr>
                <w:rFonts w:hint="default"/>
                <w:color w:val="auto"/>
                <w:kern w:val="0"/>
                <w:sz w:val="21"/>
                <w:highlight w:val="none"/>
              </w:rPr>
              <w:t>）</w:t>
            </w:r>
          </w:p>
        </w:tc>
        <w:tc>
          <w:tcPr>
            <w:tcW w:w="771" w:type="pct"/>
            <w:vAlign w:val="center"/>
          </w:tcPr>
          <w:p w14:paraId="7CEDEDDA">
            <w:pPr>
              <w:keepNext w:val="0"/>
              <w:keepLines w:val="0"/>
              <w:suppressLineNumbers w:val="0"/>
              <w:spacing w:before="0" w:beforeAutospacing="0" w:after="0" w:afterAutospacing="0" w:line="240" w:lineRule="auto"/>
              <w:ind w:left="0" w:right="92" w:firstLine="0"/>
              <w:jc w:val="center"/>
              <w:rPr>
                <w:rFonts w:hint="eastAsia" w:eastAsia="宋体"/>
                <w:color w:val="auto"/>
                <w:kern w:val="0"/>
                <w:highlight w:val="none"/>
                <w:lang w:val="en-US" w:eastAsia="zh-CN"/>
              </w:rPr>
            </w:pPr>
            <w:r>
              <w:rPr>
                <w:rFonts w:hint="eastAsia"/>
                <w:color w:val="auto"/>
                <w:kern w:val="0"/>
                <w:highlight w:val="none"/>
                <w:lang w:val="en-US" w:eastAsia="zh-CN"/>
              </w:rPr>
              <w:t>/</w:t>
            </w:r>
          </w:p>
        </w:tc>
        <w:tc>
          <w:tcPr>
            <w:tcW w:w="855" w:type="pct"/>
            <w:vAlign w:val="center"/>
          </w:tcPr>
          <w:p w14:paraId="0F95E22E">
            <w:pPr>
              <w:keepNext w:val="0"/>
              <w:keepLines w:val="0"/>
              <w:suppressLineNumbers w:val="0"/>
              <w:spacing w:before="0" w:beforeAutospacing="0" w:after="0" w:afterAutospacing="0" w:line="240" w:lineRule="auto"/>
              <w:ind w:left="0" w:right="86" w:firstLine="0"/>
              <w:jc w:val="center"/>
              <w:rPr>
                <w:rFonts w:hint="eastAsia" w:eastAsia="宋体"/>
                <w:color w:val="auto"/>
                <w:kern w:val="0"/>
                <w:highlight w:val="none"/>
                <w:lang w:val="en-US" w:eastAsia="zh-CN"/>
              </w:rPr>
            </w:pPr>
            <w:r>
              <w:rPr>
                <w:rFonts w:hint="eastAsia"/>
                <w:color w:val="auto"/>
                <w:kern w:val="0"/>
                <w:highlight w:val="none"/>
                <w:lang w:val="en-US" w:eastAsia="zh-CN"/>
              </w:rPr>
              <w:t>/</w:t>
            </w:r>
          </w:p>
        </w:tc>
        <w:tc>
          <w:tcPr>
            <w:tcW w:w="1149" w:type="pct"/>
            <w:vAlign w:val="center"/>
          </w:tcPr>
          <w:p w14:paraId="2BB6D376">
            <w:pPr>
              <w:keepNext w:val="0"/>
              <w:keepLines w:val="0"/>
              <w:suppressLineNumbers w:val="0"/>
              <w:spacing w:before="0" w:beforeAutospacing="0" w:after="0" w:afterAutospacing="0" w:line="240" w:lineRule="auto"/>
              <w:ind w:left="0" w:right="91" w:firstLine="0"/>
              <w:jc w:val="center"/>
              <w:rPr>
                <w:rFonts w:hint="default" w:eastAsia="宋体"/>
                <w:color w:val="auto"/>
                <w:kern w:val="0"/>
                <w:highlight w:val="none"/>
                <w:lang w:val="en-US" w:eastAsia="zh-CN"/>
              </w:rPr>
            </w:pPr>
            <w:r>
              <w:rPr>
                <w:rFonts w:hint="eastAsia"/>
                <w:color w:val="auto"/>
                <w:kern w:val="0"/>
                <w:highlight w:val="none"/>
                <w:lang w:val="en-US" w:eastAsia="zh-CN"/>
              </w:rPr>
              <w:t>10</w:t>
            </w:r>
          </w:p>
        </w:tc>
        <w:tc>
          <w:tcPr>
            <w:tcW w:w="692" w:type="pct"/>
            <w:vAlign w:val="center"/>
          </w:tcPr>
          <w:p w14:paraId="00DBA595">
            <w:pPr>
              <w:keepNext w:val="0"/>
              <w:keepLines w:val="0"/>
              <w:suppressLineNumbers w:val="0"/>
              <w:spacing w:before="0" w:beforeAutospacing="0" w:after="0" w:afterAutospacing="0" w:line="240" w:lineRule="auto"/>
              <w:ind w:left="0" w:right="94" w:firstLine="0"/>
              <w:jc w:val="center"/>
              <w:rPr>
                <w:rFonts w:hint="eastAsia" w:eastAsia="宋体"/>
                <w:color w:val="auto"/>
                <w:kern w:val="0"/>
                <w:highlight w:val="none"/>
                <w:lang w:val="en-US" w:eastAsia="zh-CN"/>
              </w:rPr>
            </w:pPr>
            <w:r>
              <w:rPr>
                <w:rFonts w:hint="eastAsia"/>
                <w:color w:val="auto"/>
                <w:kern w:val="0"/>
                <w:highlight w:val="none"/>
                <w:lang w:val="en-US" w:eastAsia="zh-CN"/>
              </w:rPr>
              <w:t>8</w:t>
            </w:r>
          </w:p>
        </w:tc>
      </w:tr>
    </w:tbl>
    <w:p w14:paraId="12D3D976">
      <w:pPr>
        <w:pageBreakBefore w:val="0"/>
        <w:widowControl/>
        <w:kinsoku/>
        <w:wordWrap/>
        <w:overflowPunct/>
        <w:bidi w:val="0"/>
        <w:ind w:firstLine="480" w:firstLineChars="200"/>
        <w:jc w:val="both"/>
        <w:rPr>
          <w:color w:val="auto"/>
          <w:highlight w:val="none"/>
        </w:rPr>
      </w:pPr>
      <w:r>
        <w:rPr>
          <w:color w:val="auto"/>
          <w:highlight w:val="none"/>
        </w:rPr>
        <w:t>经MBR工艺处理后的污水采用二氧化氯进行消毒后，其水质达到杂用水水质标准后作为中水进入中</w:t>
      </w:r>
      <w:r>
        <w:rPr>
          <w:rFonts w:hint="eastAsia" w:eastAsia="宋体"/>
          <w:color w:val="auto"/>
          <w:highlight w:val="none"/>
          <w:lang w:eastAsia="zh-CN"/>
        </w:rPr>
        <w:t>水池</w:t>
      </w:r>
      <w:r>
        <w:rPr>
          <w:color w:val="auto"/>
          <w:highlight w:val="none"/>
        </w:rPr>
        <w:t>（</w:t>
      </w:r>
      <w:r>
        <w:rPr>
          <w:rFonts w:hint="eastAsia"/>
          <w:color w:val="auto"/>
          <w:highlight w:val="none"/>
          <w:lang w:val="en-US" w:eastAsia="zh-CN"/>
        </w:rPr>
        <w:t>1</w:t>
      </w:r>
      <w:r>
        <w:rPr>
          <w:color w:val="auto"/>
          <w:highlight w:val="none"/>
        </w:rPr>
        <w:t>座2000m</w:t>
      </w:r>
      <w:r>
        <w:rPr>
          <w:color w:val="auto"/>
          <w:highlight w:val="none"/>
          <w:vertAlign w:val="superscript"/>
        </w:rPr>
        <w:t>3</w:t>
      </w:r>
      <w:r>
        <w:rPr>
          <w:color w:val="auto"/>
          <w:highlight w:val="none"/>
        </w:rPr>
        <w:t>），并通过洒水车将水供给机场浇洒道路或者绿化浇灌；冬季处理后的中水储存于中水</w:t>
      </w:r>
      <w:r>
        <w:rPr>
          <w:rFonts w:hint="eastAsia" w:ascii="Times New Roman" w:eastAsia="宋体"/>
          <w:color w:val="auto"/>
          <w:highlight w:val="none"/>
          <w:lang w:val="en-US" w:eastAsia="zh-CN"/>
        </w:rPr>
        <w:t>池</w:t>
      </w:r>
      <w:r>
        <w:rPr>
          <w:color w:val="auto"/>
          <w:highlight w:val="none"/>
        </w:rPr>
        <w:t>中，待到下一年春夏季节进行使用，所有污水不外排。</w:t>
      </w:r>
    </w:p>
    <w:p w14:paraId="52A8A1C0">
      <w:pPr>
        <w:pageBreakBefore w:val="0"/>
        <w:widowControl/>
        <w:kinsoku/>
        <w:wordWrap/>
        <w:overflowPunct/>
        <w:bidi w:val="0"/>
        <w:ind w:firstLine="480" w:firstLineChars="200"/>
        <w:jc w:val="both"/>
        <w:rPr>
          <w:rFonts w:hint="eastAsia" w:ascii="Times New Roman" w:hAnsi="Times New Roman" w:eastAsia="宋体" w:cs="Times New Roman"/>
          <w:color w:val="auto"/>
          <w:szCs w:val="21"/>
          <w:highlight w:val="none"/>
          <w:lang w:val="en-US" w:eastAsia="zh-CN"/>
        </w:rPr>
      </w:pPr>
      <w:r>
        <w:rPr>
          <w:rFonts w:hint="eastAsia"/>
          <w:color w:val="auto"/>
          <w:highlight w:val="none"/>
          <w:lang w:val="en-US" w:eastAsia="zh-CN"/>
        </w:rPr>
        <w:t>综上，地表水污染防治措施可行</w:t>
      </w:r>
      <w:r>
        <w:rPr>
          <w:rFonts w:hint="eastAsia"/>
          <w:color w:val="auto"/>
          <w:highlight w:val="none"/>
          <w:lang w:eastAsia="zh-CN"/>
        </w:rPr>
        <w:t>。</w:t>
      </w:r>
    </w:p>
    <w:p w14:paraId="70710394">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07" w:name="_Toc32556"/>
      <w:bookmarkStart w:id="308" w:name="_Toc135735462"/>
      <w:r>
        <w:rPr>
          <w:rFonts w:hint="eastAsia" w:ascii="Times New Roman" w:hAnsi="Times New Roman" w:eastAsia="黑体" w:cs="Times New Roman"/>
          <w:bCs/>
          <w:color w:val="auto"/>
          <w:spacing w:val="0"/>
          <w:w w:val="100"/>
          <w:kern w:val="28"/>
          <w:sz w:val="30"/>
          <w:szCs w:val="30"/>
          <w:highlight w:val="none"/>
          <w:lang w:val="en-US" w:eastAsia="zh-CN" w:bidi="ar-SA"/>
        </w:rPr>
        <w:t>地下水污染防治措施及可行性论证</w:t>
      </w:r>
      <w:bookmarkEnd w:id="307"/>
    </w:p>
    <w:bookmarkEnd w:id="308"/>
    <w:p w14:paraId="583D673A">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施工期地下水污染防治措施</w:t>
      </w:r>
    </w:p>
    <w:p w14:paraId="5E40F2DA">
      <w:pPr>
        <w:widowControl/>
        <w:ind w:firstLine="480" w:firstLineChars="200"/>
        <w:rPr>
          <w:color w:val="auto"/>
          <w:szCs w:val="22"/>
          <w:highlight w:val="none"/>
        </w:rPr>
      </w:pPr>
      <w:r>
        <w:rPr>
          <w:color w:val="auto"/>
          <w:szCs w:val="22"/>
          <w:highlight w:val="none"/>
        </w:rPr>
        <w:t>机场施工过程对地下水的影响主要</w:t>
      </w:r>
      <w:r>
        <w:rPr>
          <w:rFonts w:hint="eastAsia"/>
          <w:color w:val="auto"/>
          <w:szCs w:val="22"/>
          <w:highlight w:val="none"/>
          <w:lang w:eastAsia="zh-CN"/>
        </w:rPr>
        <w:t>来自</w:t>
      </w:r>
      <w:r>
        <w:rPr>
          <w:color w:val="auto"/>
          <w:szCs w:val="22"/>
          <w:highlight w:val="none"/>
        </w:rPr>
        <w:t>施工过程中的生活废水，机械施工漏油，化学泥浆渗漏，管道施工的含油污水等。施工过程中应设防渗漏的环保厕所并及时清掏，禁止生活污水排放；做好施工机械的维护工作，及时清理机械漏油在废渣堆放场地修建挡墙，将废渣和废弃泥浆收集后集中处理；建立临时性的隔油池和沉淀池，对含油污水和含沙污水加以处理，达标后排放。</w:t>
      </w:r>
    </w:p>
    <w:p w14:paraId="18020DC1">
      <w:pPr>
        <w:widowControl/>
        <w:ind w:firstLine="480" w:firstLineChars="200"/>
        <w:rPr>
          <w:color w:val="auto"/>
          <w:szCs w:val="22"/>
          <w:highlight w:val="none"/>
        </w:rPr>
      </w:pPr>
      <w:r>
        <w:rPr>
          <w:color w:val="auto"/>
          <w:szCs w:val="22"/>
          <w:highlight w:val="none"/>
        </w:rPr>
        <w:t>施工过程中需做好地表排水工作，相应设置排水沟，避免地表水下渗引起地下水污染。</w:t>
      </w:r>
    </w:p>
    <w:p w14:paraId="3B3E0D55">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运营期地下水污染防治措施</w:t>
      </w:r>
    </w:p>
    <w:p w14:paraId="1E82C459">
      <w:pPr>
        <w:widowControl/>
        <w:ind w:firstLine="480"/>
        <w:rPr>
          <w:color w:val="auto"/>
          <w:highlight w:val="none"/>
          <w:lang w:bidi="en-US"/>
        </w:rPr>
      </w:pPr>
      <w:r>
        <w:rPr>
          <w:color w:val="auto"/>
          <w:highlight w:val="none"/>
          <w:lang w:bidi="en-US"/>
        </w:rPr>
        <w:t>基于</w:t>
      </w:r>
      <w:r>
        <w:rPr>
          <w:rFonts w:hint="eastAsia"/>
          <w:color w:val="auto"/>
          <w:highlight w:val="none"/>
          <w:lang w:val="en-US" w:eastAsia="zh-CN" w:bidi="en-US"/>
        </w:rPr>
        <w:t>前文</w:t>
      </w:r>
      <w:r>
        <w:rPr>
          <w:color w:val="auto"/>
          <w:highlight w:val="none"/>
          <w:lang w:bidi="en-US"/>
        </w:rPr>
        <w:t>地下水环境影响预测和评价，拟建项目在正常工况下，对</w:t>
      </w:r>
      <w:r>
        <w:rPr>
          <w:rFonts w:hint="eastAsia"/>
          <w:color w:val="auto"/>
          <w:highlight w:val="none"/>
          <w:lang w:val="en-US" w:eastAsia="zh-CN" w:bidi="en-US"/>
        </w:rPr>
        <w:t>区域</w:t>
      </w:r>
      <w:r>
        <w:rPr>
          <w:color w:val="auto"/>
          <w:highlight w:val="none"/>
          <w:lang w:bidi="en-US"/>
        </w:rPr>
        <w:t>地下水环境影响</w:t>
      </w:r>
      <w:r>
        <w:rPr>
          <w:rFonts w:hint="eastAsia"/>
          <w:color w:val="auto"/>
          <w:highlight w:val="none"/>
          <w:lang w:val="en-US" w:eastAsia="zh-CN" w:bidi="en-US"/>
        </w:rPr>
        <w:t>较</w:t>
      </w:r>
      <w:r>
        <w:rPr>
          <w:color w:val="auto"/>
          <w:highlight w:val="none"/>
          <w:lang w:bidi="en-US"/>
        </w:rPr>
        <w:t>小；在非正常工况下，对当地地下水环境构成潜在威胁，可能会对地下水水质产生不良影响。因此，为确保当地地下水环境安全，需采取一些保护管理措施。下面结合拟建项目特点和当地自然环境特征，提出地下水环境保护管理的原则和措施。</w:t>
      </w:r>
    </w:p>
    <w:p w14:paraId="0E4E3372">
      <w:pPr>
        <w:widowControl/>
        <w:ind w:firstLine="480" w:firstLineChars="200"/>
        <w:rPr>
          <w:color w:val="auto"/>
          <w:highlight w:val="none"/>
        </w:rPr>
      </w:pPr>
      <w:r>
        <w:rPr>
          <w:color w:val="auto"/>
          <w:highlight w:val="none"/>
        </w:rPr>
        <w:t>本项目地下水污染防治措施遵循原则：</w:t>
      </w:r>
    </w:p>
    <w:p w14:paraId="57FE43B9">
      <w:pPr>
        <w:widowControl/>
        <w:ind w:firstLine="480" w:firstLineChars="200"/>
        <w:rPr>
          <w:color w:val="auto"/>
          <w:highlight w:val="none"/>
        </w:rPr>
      </w:pPr>
      <w:r>
        <w:rPr>
          <w:color w:val="auto"/>
          <w:highlight w:val="none"/>
        </w:rPr>
        <w:t>（1）地下水污染防治措施坚持“源头控制、分区防治、污染监控、应急响应相结合”的原则，即采取主动控制和被动控制相结合的措施，从污染物的产生、入渗、扩散、应急响应全方位进行控制。</w:t>
      </w:r>
    </w:p>
    <w:p w14:paraId="05661A19">
      <w:pPr>
        <w:widowControl/>
        <w:ind w:firstLine="480" w:firstLineChars="200"/>
        <w:rPr>
          <w:color w:val="auto"/>
          <w:highlight w:val="none"/>
        </w:rPr>
      </w:pPr>
      <w:r>
        <w:rPr>
          <w:rFonts w:hint="eastAsia" w:ascii="宋体" w:hAnsi="宋体" w:cs="宋体"/>
          <w:color w:val="auto"/>
          <w:highlight w:val="none"/>
        </w:rPr>
        <w:t>①</w:t>
      </w:r>
      <w:r>
        <w:rPr>
          <w:color w:val="auto"/>
          <w:highlight w:val="none"/>
        </w:rPr>
        <w:t>源头控制：主要包括在工艺、管道、设备、污水储存及处理构筑物采取相应措施，防止和降低污染物跑、冒、滴、漏，将污染物泄漏的环境风险事故降到最低程度；管线敷设尽量采用“可视化”原则，即管道尽可能地上敷设，做到污染物“早发现、早处理”，减少由于埋地管道泄漏而造成的地下水污染。</w:t>
      </w:r>
    </w:p>
    <w:p w14:paraId="3DEBD88D">
      <w:pPr>
        <w:widowControl/>
        <w:ind w:firstLine="480" w:firstLineChars="200"/>
        <w:rPr>
          <w:color w:val="auto"/>
          <w:szCs w:val="22"/>
          <w:highlight w:val="none"/>
        </w:rPr>
      </w:pPr>
      <w:r>
        <w:rPr>
          <w:rFonts w:hint="eastAsia" w:ascii="宋体" w:hAnsi="宋体" w:cs="宋体"/>
          <w:color w:val="auto"/>
          <w:highlight w:val="none"/>
        </w:rPr>
        <w:t>②</w:t>
      </w:r>
      <w:r>
        <w:rPr>
          <w:color w:val="auto"/>
          <w:szCs w:val="22"/>
          <w:highlight w:val="none"/>
        </w:rPr>
        <w:t>分区防治：结合机场设备、管道、污染物储存等布局，实行分区防渗。主要包括场内污染区地面的防渗措施和泄漏、渗漏污染物收集措施，即在污染区地面进行防渗处理，防止洒落地面的污染物渗入地下。</w:t>
      </w:r>
    </w:p>
    <w:p w14:paraId="506860A1">
      <w:pPr>
        <w:widowControl/>
        <w:ind w:firstLine="480" w:firstLineChars="200"/>
        <w:rPr>
          <w:color w:val="auto"/>
          <w:highlight w:val="none"/>
        </w:rPr>
      </w:pPr>
      <w:r>
        <w:rPr>
          <w:rFonts w:hint="eastAsia" w:ascii="宋体" w:hAnsi="宋体" w:cs="宋体"/>
          <w:color w:val="auto"/>
          <w:highlight w:val="none"/>
        </w:rPr>
        <w:t>③</w:t>
      </w:r>
      <w:r>
        <w:rPr>
          <w:color w:val="auto"/>
          <w:highlight w:val="none"/>
        </w:rPr>
        <w:t>污染监控体系：实施地下水污染监控系统，包括建立完善的监测制度、配备先进的检测仪器和设备、科学、合理设置地下水污染监控井，及时发现污染、及时控制；</w:t>
      </w:r>
    </w:p>
    <w:p w14:paraId="049A0DB8">
      <w:pPr>
        <w:widowControl/>
        <w:ind w:firstLine="480" w:firstLineChars="200"/>
        <w:rPr>
          <w:color w:val="auto"/>
          <w:highlight w:val="none"/>
        </w:rPr>
      </w:pPr>
      <w:r>
        <w:rPr>
          <w:rFonts w:hint="eastAsia" w:ascii="宋体" w:hAnsi="宋体" w:cs="宋体"/>
          <w:color w:val="auto"/>
          <w:highlight w:val="none"/>
        </w:rPr>
        <w:t>④</w:t>
      </w:r>
      <w:r>
        <w:rPr>
          <w:color w:val="auto"/>
          <w:highlight w:val="none"/>
        </w:rPr>
        <w:t>应急响应：包括一旦发现地下水污染事故，立即启动应急预案、采取应急措施控制地下水污染，并使污染得到治理。</w:t>
      </w:r>
      <w:bookmarkStart w:id="309" w:name="_Toc298158669"/>
      <w:bookmarkStart w:id="310" w:name="_Toc312679104"/>
      <w:bookmarkStart w:id="311" w:name="_Toc305232454"/>
    </w:p>
    <w:bookmarkEnd w:id="309"/>
    <w:bookmarkEnd w:id="310"/>
    <w:bookmarkEnd w:id="311"/>
    <w:p w14:paraId="2744B283">
      <w:pPr>
        <w:widowControl/>
        <w:ind w:firstLine="480" w:firstLineChars="200"/>
        <w:rPr>
          <w:color w:val="auto"/>
          <w:highlight w:val="none"/>
        </w:rPr>
      </w:pPr>
      <w:r>
        <w:rPr>
          <w:color w:val="auto"/>
          <w:highlight w:val="none"/>
        </w:rPr>
        <w:t>（2）结合本项目工程特点，参照《石油化工防渗工程技术规范》（GB/T50934-2013），提出本项目地下水污染防治措施建议。</w:t>
      </w:r>
    </w:p>
    <w:p w14:paraId="63321B3B">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源头控制措施</w:t>
      </w:r>
    </w:p>
    <w:p w14:paraId="798DF03A">
      <w:pPr>
        <w:ind w:firstLine="480" w:firstLineChars="200"/>
        <w:rPr>
          <w:color w:val="auto"/>
          <w:highlight w:val="none"/>
        </w:rPr>
      </w:pPr>
      <w:r>
        <w:rPr>
          <w:color w:val="auto"/>
          <w:highlight w:val="none"/>
        </w:rPr>
        <w:t>源头控制措施是直接减少污染泄漏机会、降低污染物进入地下水体数量，从而杜绝污染、保护地下水环境的根本措施。</w:t>
      </w:r>
    </w:p>
    <w:p w14:paraId="21718752">
      <w:pPr>
        <w:ind w:firstLine="480" w:firstLineChars="200"/>
        <w:rPr>
          <w:color w:val="auto"/>
          <w:highlight w:val="none"/>
        </w:rPr>
      </w:pPr>
      <w:r>
        <w:rPr>
          <w:color w:val="auto"/>
          <w:highlight w:val="none"/>
        </w:rPr>
        <w:t>（1）使用质量良好的管道、设备和污水储存设施，对航站区、</w:t>
      </w:r>
      <w:r>
        <w:rPr>
          <w:rFonts w:hint="eastAsia"/>
          <w:color w:val="auto"/>
          <w:highlight w:val="none"/>
          <w:lang w:val="en-US" w:eastAsia="zh-CN"/>
        </w:rPr>
        <w:t>油车棚</w:t>
      </w:r>
      <w:r>
        <w:rPr>
          <w:color w:val="auto"/>
          <w:highlight w:val="none"/>
        </w:rPr>
        <w:t>、工作区、生活区和机场内食堂等处排放的污水进行分类收集，并通过</w:t>
      </w:r>
      <w:r>
        <w:rPr>
          <w:rFonts w:hint="eastAsia" w:ascii="Times New Roman" w:eastAsia="宋体"/>
          <w:color w:val="auto"/>
          <w:highlight w:val="none"/>
          <w:lang w:val="en-US" w:eastAsia="zh-CN"/>
        </w:rPr>
        <w:t>机场</w:t>
      </w:r>
      <w:r>
        <w:rPr>
          <w:color w:val="auto"/>
          <w:highlight w:val="none"/>
        </w:rPr>
        <w:t>污水处理站处理后冬储夏灌。</w:t>
      </w:r>
    </w:p>
    <w:p w14:paraId="04D67AEC">
      <w:pPr>
        <w:ind w:firstLine="480" w:firstLineChars="200"/>
        <w:rPr>
          <w:color w:val="auto"/>
          <w:highlight w:val="none"/>
        </w:rPr>
      </w:pPr>
      <w:r>
        <w:rPr>
          <w:color w:val="auto"/>
          <w:highlight w:val="none"/>
        </w:rPr>
        <w:t>（2）对产生的废水进行合理的治理和综合利用，尽可能从源头上减少污染物产生；</w:t>
      </w:r>
    </w:p>
    <w:p w14:paraId="0F6C33A5">
      <w:pPr>
        <w:ind w:firstLine="480" w:firstLineChars="200"/>
        <w:rPr>
          <w:color w:val="auto"/>
          <w:highlight w:val="none"/>
        </w:rPr>
      </w:pPr>
      <w:r>
        <w:rPr>
          <w:color w:val="auto"/>
          <w:highlight w:val="none"/>
        </w:rPr>
        <w:t>（3）输油管线、污水收集设施处于地下或半地下的构筑物均须严格按照防渗、防漏、有监控装置的要求设计施工；对拟建项目有可能发生废水</w:t>
      </w:r>
      <w:r>
        <w:rPr>
          <w:rFonts w:hint="eastAsia"/>
          <w:color w:val="auto"/>
          <w:highlight w:val="none"/>
          <w:lang w:eastAsia="zh-CN"/>
        </w:rPr>
        <w:t>泄漏</w:t>
      </w:r>
      <w:r>
        <w:rPr>
          <w:color w:val="auto"/>
          <w:highlight w:val="none"/>
        </w:rPr>
        <w:t>的地方，例如</w:t>
      </w:r>
      <w:r>
        <w:rPr>
          <w:rFonts w:hint="eastAsia"/>
          <w:color w:val="auto"/>
          <w:highlight w:val="none"/>
          <w:lang w:val="en-US" w:eastAsia="zh-CN"/>
        </w:rPr>
        <w:t>油车棚</w:t>
      </w:r>
      <w:r>
        <w:rPr>
          <w:color w:val="auto"/>
          <w:highlight w:val="none"/>
        </w:rPr>
        <w:t>、污水管道等地点要经常巡查，杜绝“跑、冒、滴、漏”等事故的发生，从源头上防止污水进入地下水含水层之中。</w:t>
      </w:r>
    </w:p>
    <w:p w14:paraId="6B810F39">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分区防渗措施</w:t>
      </w:r>
    </w:p>
    <w:p w14:paraId="6A71C1DA">
      <w:pPr>
        <w:widowControl/>
        <w:ind w:firstLine="480" w:firstLineChars="200"/>
        <w:rPr>
          <w:color w:val="auto"/>
          <w:szCs w:val="22"/>
          <w:highlight w:val="none"/>
        </w:rPr>
      </w:pPr>
      <w:r>
        <w:rPr>
          <w:color w:val="auto"/>
          <w:szCs w:val="22"/>
          <w:highlight w:val="none"/>
        </w:rPr>
        <w:t>针对</w:t>
      </w:r>
      <w:r>
        <w:rPr>
          <w:rFonts w:hint="eastAsia"/>
          <w:color w:val="auto"/>
          <w:szCs w:val="22"/>
          <w:highlight w:val="none"/>
          <w:lang w:val="en-US" w:eastAsia="zh-CN"/>
        </w:rPr>
        <w:t>油车棚</w:t>
      </w:r>
      <w:r>
        <w:rPr>
          <w:color w:val="auto"/>
          <w:szCs w:val="22"/>
          <w:highlight w:val="none"/>
        </w:rPr>
        <w:t>的防渗措施，根据污染情况，分为重点防渗区、一般防渗区，采取不同等级的防渗方案。分区防渗布置见图</w:t>
      </w:r>
      <w:r>
        <w:rPr>
          <w:rFonts w:hint="eastAsia" w:eastAsia="宋体"/>
          <w:color w:val="auto"/>
          <w:szCs w:val="22"/>
          <w:highlight w:val="none"/>
          <w:lang w:val="en-US" w:eastAsia="zh-CN"/>
        </w:rPr>
        <w:t>6.5</w:t>
      </w:r>
      <w:r>
        <w:rPr>
          <w:rFonts w:eastAsia="Times New Roman"/>
          <w:color w:val="auto"/>
          <w:szCs w:val="22"/>
          <w:highlight w:val="none"/>
        </w:rPr>
        <w:t>-1</w:t>
      </w:r>
      <w:r>
        <w:rPr>
          <w:color w:val="auto"/>
          <w:szCs w:val="22"/>
          <w:highlight w:val="none"/>
        </w:rPr>
        <w:t>。</w:t>
      </w:r>
    </w:p>
    <w:p w14:paraId="6331FCFC">
      <w:pPr>
        <w:widowControl/>
        <w:ind w:firstLine="480" w:firstLineChars="200"/>
        <w:rPr>
          <w:color w:val="auto"/>
          <w:szCs w:val="22"/>
          <w:highlight w:val="none"/>
        </w:rPr>
      </w:pPr>
      <w:r>
        <w:rPr>
          <w:rFonts w:hint="eastAsia" w:ascii="宋体" w:hAnsi="宋体" w:cs="宋体"/>
          <w:color w:val="auto"/>
          <w:szCs w:val="22"/>
          <w:highlight w:val="none"/>
        </w:rPr>
        <w:t>①</w:t>
      </w:r>
      <w:r>
        <w:rPr>
          <w:color w:val="auto"/>
          <w:szCs w:val="22"/>
          <w:highlight w:val="none"/>
        </w:rPr>
        <w:t>重点防渗区：</w:t>
      </w:r>
      <w:r>
        <w:rPr>
          <w:color w:val="auto"/>
          <w:highlight w:val="none"/>
        </w:rPr>
        <w:t>主要是指位于地下或半地下的生产功能单元，污染地下水环境的物料或污染物泄漏后，不易及时发现和处理的区域或部位。</w:t>
      </w:r>
      <w:r>
        <w:rPr>
          <w:color w:val="auto"/>
          <w:szCs w:val="22"/>
          <w:highlight w:val="none"/>
        </w:rPr>
        <w:t>包括事故池、污水收集池</w:t>
      </w:r>
      <w:r>
        <w:rPr>
          <w:rFonts w:hint="eastAsia"/>
          <w:color w:val="auto"/>
          <w:szCs w:val="22"/>
          <w:highlight w:val="none"/>
          <w:lang w:eastAsia="zh-CN"/>
        </w:rPr>
        <w:t>、</w:t>
      </w:r>
      <w:r>
        <w:rPr>
          <w:rFonts w:hint="eastAsia"/>
          <w:color w:val="auto"/>
          <w:szCs w:val="22"/>
          <w:highlight w:val="none"/>
        </w:rPr>
        <w:t>危废贮存点</w:t>
      </w:r>
      <w:r>
        <w:rPr>
          <w:color w:val="auto"/>
          <w:szCs w:val="22"/>
          <w:highlight w:val="none"/>
        </w:rPr>
        <w:t>、</w:t>
      </w:r>
      <w:r>
        <w:rPr>
          <w:rFonts w:hint="eastAsia"/>
          <w:color w:val="auto"/>
          <w:szCs w:val="22"/>
          <w:highlight w:val="none"/>
          <w:lang w:val="en-US" w:eastAsia="zh-CN"/>
        </w:rPr>
        <w:t>油车棚</w:t>
      </w:r>
      <w:r>
        <w:rPr>
          <w:color w:val="auto"/>
          <w:szCs w:val="22"/>
          <w:highlight w:val="none"/>
        </w:rPr>
        <w:t>等区域。</w:t>
      </w:r>
      <w:r>
        <w:rPr>
          <w:color w:val="auto"/>
          <w:highlight w:val="none"/>
        </w:rPr>
        <w:t>防渗层的防渗性能不应低于6.0m厚渗透系数为1.0×10</w:t>
      </w:r>
      <w:r>
        <w:rPr>
          <w:color w:val="auto"/>
          <w:highlight w:val="none"/>
          <w:vertAlign w:val="superscript"/>
        </w:rPr>
        <w:t>-7</w:t>
      </w:r>
      <w:r>
        <w:rPr>
          <w:color w:val="auto"/>
          <w:highlight w:val="none"/>
        </w:rPr>
        <w:t>cm/s的黏土层的防渗性能。</w:t>
      </w:r>
    </w:p>
    <w:p w14:paraId="77D8EB95">
      <w:pPr>
        <w:widowControl/>
        <w:ind w:firstLine="480" w:firstLineChars="200"/>
        <w:rPr>
          <w:color w:val="auto"/>
          <w:highlight w:val="none"/>
        </w:rPr>
      </w:pPr>
      <w:r>
        <w:rPr>
          <w:rFonts w:hint="eastAsia" w:ascii="宋体" w:hAnsi="宋体" w:cs="宋体"/>
          <w:color w:val="auto"/>
          <w:szCs w:val="22"/>
          <w:highlight w:val="none"/>
        </w:rPr>
        <w:t>②</w:t>
      </w:r>
      <w:r>
        <w:rPr>
          <w:color w:val="auto"/>
          <w:szCs w:val="22"/>
          <w:highlight w:val="none"/>
        </w:rPr>
        <w:t>一般防渗区：</w:t>
      </w:r>
      <w:r>
        <w:rPr>
          <w:color w:val="auto"/>
          <w:highlight w:val="none"/>
        </w:rPr>
        <w:t>主要是指位于地面以上的生产功能单元，污染地下水环境的物料或污染物泄漏后，可及时发现和处理的区域或部位。</w:t>
      </w:r>
      <w:r>
        <w:rPr>
          <w:color w:val="auto"/>
          <w:szCs w:val="22"/>
          <w:highlight w:val="none"/>
        </w:rPr>
        <w:t>包括排水沟、垃圾</w:t>
      </w:r>
      <w:r>
        <w:rPr>
          <w:rFonts w:hint="eastAsia"/>
          <w:color w:val="auto"/>
          <w:szCs w:val="22"/>
          <w:highlight w:val="none"/>
          <w:lang w:val="en-US" w:eastAsia="zh-CN"/>
        </w:rPr>
        <w:t>站</w:t>
      </w:r>
      <w:r>
        <w:rPr>
          <w:color w:val="auto"/>
          <w:szCs w:val="22"/>
          <w:highlight w:val="none"/>
        </w:rPr>
        <w:t>等区域。</w:t>
      </w:r>
      <w:r>
        <w:rPr>
          <w:color w:val="auto"/>
          <w:highlight w:val="none"/>
        </w:rPr>
        <w:t>一般污染防治区防渗层的防渗性能不应低于1.5m厚</w:t>
      </w:r>
      <w:r>
        <w:rPr>
          <w:rFonts w:hint="eastAsia" w:eastAsia="宋体"/>
          <w:color w:val="auto"/>
          <w:highlight w:val="none"/>
          <w:lang w:eastAsia="zh-CN"/>
        </w:rPr>
        <w:t>，</w:t>
      </w:r>
      <w:r>
        <w:rPr>
          <w:color w:val="auto"/>
          <w:highlight w:val="none"/>
        </w:rPr>
        <w:t>渗透系数为1.0×10</w:t>
      </w:r>
      <w:r>
        <w:rPr>
          <w:color w:val="auto"/>
          <w:highlight w:val="none"/>
          <w:vertAlign w:val="superscript"/>
        </w:rPr>
        <w:t>-7</w:t>
      </w:r>
      <w:r>
        <w:rPr>
          <w:color w:val="auto"/>
          <w:highlight w:val="none"/>
        </w:rPr>
        <w:t>cm/s的黏土层的防渗性。</w:t>
      </w:r>
    </w:p>
    <w:p w14:paraId="7EC4E21D">
      <w:pPr>
        <w:widowControl/>
        <w:ind w:firstLine="480" w:firstLineChars="200"/>
        <w:rPr>
          <w:color w:val="auto"/>
          <w:szCs w:val="22"/>
          <w:highlight w:val="none"/>
        </w:rPr>
      </w:pPr>
      <w:r>
        <w:rPr>
          <w:rFonts w:hint="eastAsia" w:ascii="宋体" w:hAnsi="宋体" w:cs="宋体"/>
          <w:color w:val="auto"/>
          <w:szCs w:val="22"/>
          <w:highlight w:val="none"/>
        </w:rPr>
        <w:t>③</w:t>
      </w:r>
      <w:r>
        <w:rPr>
          <w:color w:val="auto"/>
          <w:szCs w:val="22"/>
          <w:highlight w:val="none"/>
        </w:rPr>
        <w:t>简单防渗区：除重点防渗区、一般防渗区外，其他区域只需做一般地面硬化。</w:t>
      </w:r>
    </w:p>
    <w:p w14:paraId="36AB2E12">
      <w:pPr>
        <w:widowControl/>
        <w:ind w:firstLine="480" w:firstLineChars="200"/>
        <w:rPr>
          <w:color w:val="auto"/>
          <w:szCs w:val="22"/>
          <w:highlight w:val="none"/>
        </w:rPr>
      </w:pPr>
      <w:r>
        <w:rPr>
          <w:color w:val="auto"/>
          <w:szCs w:val="22"/>
          <w:highlight w:val="none"/>
        </w:rPr>
        <w:t>通过以上环保措施，可以控制对地下水的不利影响。</w:t>
      </w:r>
    </w:p>
    <w:p w14:paraId="53AAE61E">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防渗防腐施工管理</w:t>
      </w:r>
    </w:p>
    <w:p w14:paraId="21E6BB15">
      <w:pPr>
        <w:widowControl/>
        <w:numPr>
          <w:ilvl w:val="0"/>
          <w:numId w:val="26"/>
        </w:numPr>
        <w:ind w:firstLine="480"/>
        <w:rPr>
          <w:color w:val="auto"/>
          <w:szCs w:val="22"/>
          <w:highlight w:val="none"/>
        </w:rPr>
      </w:pPr>
      <w:r>
        <w:rPr>
          <w:color w:val="auto"/>
          <w:szCs w:val="22"/>
          <w:highlight w:val="none"/>
        </w:rPr>
        <w:t>各建筑防渗方法和防渗材料选用要经过专业设计，并符合本次环评的分区类别，所有建筑物防渗的设计使用年限不低于其主体的设计使用年限。通过采取以上措施，本项目对可能产生地下水影响的各项途径均进行有效地预防</w:t>
      </w:r>
      <w:r>
        <w:rPr>
          <w:rFonts w:hint="eastAsia"/>
          <w:color w:val="auto"/>
          <w:szCs w:val="22"/>
          <w:highlight w:val="none"/>
          <w:lang w:eastAsia="zh-CN"/>
        </w:rPr>
        <w:t>，</w:t>
      </w:r>
      <w:r>
        <w:rPr>
          <w:color w:val="auto"/>
          <w:szCs w:val="22"/>
          <w:highlight w:val="none"/>
        </w:rPr>
        <w:t>确保各项防渗措施得以落实，并加强维护，在厂区环境管理的前提下，可以有效</w:t>
      </w:r>
      <w:r>
        <w:rPr>
          <w:rFonts w:hint="eastAsia"/>
          <w:color w:val="auto"/>
          <w:szCs w:val="22"/>
          <w:highlight w:val="none"/>
          <w:lang w:eastAsia="zh-CN"/>
        </w:rPr>
        <w:t>地</w:t>
      </w:r>
      <w:r>
        <w:rPr>
          <w:color w:val="auto"/>
          <w:szCs w:val="22"/>
          <w:highlight w:val="none"/>
        </w:rPr>
        <w:t>控制场内废水污染物的下渗现象，避免污染地下水。</w:t>
      </w:r>
    </w:p>
    <w:p w14:paraId="15647ACF">
      <w:pPr>
        <w:widowControl/>
        <w:numPr>
          <w:ilvl w:val="0"/>
          <w:numId w:val="26"/>
        </w:numPr>
        <w:ind w:firstLine="480" w:firstLineChars="200"/>
        <w:rPr>
          <w:color w:val="auto"/>
          <w:szCs w:val="22"/>
          <w:highlight w:val="none"/>
        </w:rPr>
      </w:pPr>
      <w:r>
        <w:rPr>
          <w:color w:val="auto"/>
          <w:szCs w:val="22"/>
          <w:highlight w:val="none"/>
        </w:rPr>
        <w:t>结合实际现场情况，建议采用水泥土搅拌压实防渗措施，即利用常规标号水泥与天然土壤进行</w:t>
      </w:r>
      <w:r>
        <w:rPr>
          <w:rFonts w:hint="eastAsia"/>
          <w:color w:val="auto"/>
          <w:szCs w:val="22"/>
          <w:highlight w:val="none"/>
          <w:lang w:eastAsia="zh-CN"/>
        </w:rPr>
        <w:t>拌合</w:t>
      </w:r>
      <w:r>
        <w:rPr>
          <w:color w:val="auto"/>
          <w:szCs w:val="22"/>
          <w:highlight w:val="none"/>
        </w:rPr>
        <w:t>，然后利用轧路机进行碾压，在地表形成一层不透水层，达到地基防渗之功效，上面再采用高压聚乙烯膜覆盖。</w:t>
      </w:r>
    </w:p>
    <w:p w14:paraId="213F82B1">
      <w:pPr>
        <w:widowControl/>
        <w:numPr>
          <w:ilvl w:val="0"/>
          <w:numId w:val="26"/>
        </w:numPr>
        <w:ind w:firstLine="480" w:firstLineChars="200"/>
        <w:rPr>
          <w:color w:val="auto"/>
          <w:szCs w:val="22"/>
          <w:highlight w:val="none"/>
        </w:rPr>
      </w:pPr>
      <w:r>
        <w:rPr>
          <w:color w:val="auto"/>
          <w:szCs w:val="22"/>
          <w:highlight w:val="none"/>
        </w:rPr>
        <w:t>混凝土地面施工过程中加强质量控制管理，确保混凝土的防渗、抗侵蚀性能。</w:t>
      </w:r>
    </w:p>
    <w:p w14:paraId="68017561">
      <w:pPr>
        <w:widowControl/>
        <w:numPr>
          <w:ilvl w:val="0"/>
          <w:numId w:val="26"/>
        </w:numPr>
        <w:ind w:firstLine="480" w:firstLineChars="200"/>
        <w:rPr>
          <w:color w:val="auto"/>
          <w:szCs w:val="22"/>
          <w:highlight w:val="none"/>
        </w:rPr>
      </w:pPr>
      <w:r>
        <w:rPr>
          <w:color w:val="auto"/>
          <w:szCs w:val="22"/>
          <w:highlight w:val="none"/>
        </w:rPr>
        <w:t>防渗施工过程中，应委托专门监理单位进行工程监理，加强各中间过程检查验收，确保施工质量。</w:t>
      </w:r>
    </w:p>
    <w:p w14:paraId="55D7FE17">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地下水定期监测</w:t>
      </w:r>
    </w:p>
    <w:p w14:paraId="21738EDD">
      <w:pPr>
        <w:widowControl/>
        <w:ind w:firstLine="480" w:firstLineChars="200"/>
        <w:rPr>
          <w:rFonts w:eastAsia="Times New Roman"/>
          <w:color w:val="auto"/>
          <w:szCs w:val="22"/>
          <w:highlight w:val="none"/>
        </w:rPr>
      </w:pPr>
      <w:r>
        <w:rPr>
          <w:color w:val="auto"/>
          <w:szCs w:val="22"/>
          <w:highlight w:val="none"/>
        </w:rPr>
        <w:t>设置地下水监控井。本项目周边无其他排污企业，地下水环境未受外界污染物影响；结合机场所在区域的水文地质条件和《环境影响评价技术导则</w:t>
      </w:r>
      <w:r>
        <w:rPr>
          <w:rFonts w:hint="eastAsia"/>
          <w:color w:val="auto"/>
          <w:szCs w:val="22"/>
          <w:highlight w:val="none"/>
          <w:lang w:val="en-US" w:eastAsia="zh-CN"/>
        </w:rPr>
        <w:t xml:space="preserve"> </w:t>
      </w:r>
      <w:r>
        <w:rPr>
          <w:color w:val="auto"/>
          <w:szCs w:val="22"/>
          <w:highlight w:val="none"/>
        </w:rPr>
        <w:t>地下水环境》（HJ610-2016）中要求</w:t>
      </w:r>
      <w:r>
        <w:rPr>
          <w:snapToGrid w:val="0"/>
          <w:color w:val="auto"/>
          <w:szCs w:val="22"/>
          <w:highlight w:val="none"/>
        </w:rPr>
        <w:t>，</w:t>
      </w:r>
      <w:r>
        <w:rPr>
          <w:color w:val="auto"/>
          <w:szCs w:val="22"/>
          <w:highlight w:val="none"/>
        </w:rPr>
        <w:t>本项目须在</w:t>
      </w:r>
      <w:r>
        <w:rPr>
          <w:rFonts w:hint="eastAsia"/>
          <w:color w:val="auto"/>
          <w:szCs w:val="22"/>
          <w:highlight w:val="none"/>
          <w:lang w:val="en-US" w:eastAsia="zh-CN"/>
        </w:rPr>
        <w:t>油车棚</w:t>
      </w:r>
      <w:r>
        <w:rPr>
          <w:color w:val="auto"/>
          <w:szCs w:val="22"/>
          <w:highlight w:val="none"/>
        </w:rPr>
        <w:t>周边设置3口水井，作为跟踪监测井，定期采集地下水水样，采样频率为</w:t>
      </w:r>
      <w:r>
        <w:rPr>
          <w:rFonts w:eastAsia="Times New Roman"/>
          <w:color w:val="auto"/>
          <w:szCs w:val="22"/>
          <w:highlight w:val="none"/>
        </w:rPr>
        <w:t>1</w:t>
      </w:r>
      <w:r>
        <w:rPr>
          <w:color w:val="auto"/>
          <w:szCs w:val="22"/>
          <w:highlight w:val="none"/>
        </w:rPr>
        <w:t>次</w:t>
      </w:r>
      <w:r>
        <w:rPr>
          <w:rFonts w:eastAsia="Times New Roman"/>
          <w:color w:val="auto"/>
          <w:szCs w:val="22"/>
          <w:highlight w:val="none"/>
        </w:rPr>
        <w:t>/</w:t>
      </w:r>
      <w:r>
        <w:rPr>
          <w:color w:val="auto"/>
          <w:szCs w:val="22"/>
          <w:highlight w:val="none"/>
        </w:rPr>
        <w:t>半年，对所采水样中的石油类和耗氧量等污染因子进行监测，一旦发现异常，立即排查泄漏点，及时采取封堵措施。</w:t>
      </w:r>
    </w:p>
    <w:p w14:paraId="4F249093">
      <w:pPr>
        <w:ind w:firstLine="480" w:firstLineChars="200"/>
        <w:rPr>
          <w:snapToGrid w:val="0"/>
          <w:color w:val="auto"/>
          <w:highlight w:val="none"/>
        </w:rPr>
      </w:pPr>
      <w:r>
        <w:rPr>
          <w:color w:val="auto"/>
          <w:highlight w:val="none"/>
        </w:rPr>
        <w:t>监测井滤水管要求，丰水期间需要有1m的滤水管位于水面以上；枯水期需有1m的滤水管位于地下水面以下；井管内径以能够满足洗井和取水要求的口径为准；监测井建设完成后必须进行洗井，保证监测井出水水清砂净。</w:t>
      </w:r>
    </w:p>
    <w:p w14:paraId="46A2EF56">
      <w:pPr>
        <w:spacing w:before="120" w:beforeLines="50" w:after="120" w:afterLines="50" w:line="240" w:lineRule="auto"/>
        <w:ind w:firstLine="0"/>
        <w:jc w:val="center"/>
        <w:rPr>
          <w:rFonts w:eastAsia="黑体"/>
          <w:color w:val="auto"/>
          <w:sz w:val="21"/>
          <w:szCs w:val="18"/>
          <w:highlight w:val="none"/>
        </w:rPr>
      </w:pPr>
      <w:r>
        <w:rPr>
          <w:rFonts w:eastAsia="黑体"/>
          <w:color w:val="auto"/>
          <w:sz w:val="21"/>
          <w:szCs w:val="18"/>
          <w:highlight w:val="none"/>
        </w:rPr>
        <w:t>表</w:t>
      </w:r>
      <w:r>
        <w:rPr>
          <w:rFonts w:hint="eastAsia" w:eastAsia="黑体"/>
          <w:color w:val="auto"/>
          <w:sz w:val="21"/>
          <w:szCs w:val="18"/>
          <w:highlight w:val="none"/>
          <w:lang w:val="en-US" w:eastAsia="zh-CN"/>
        </w:rPr>
        <w:t>6.5</w:t>
      </w:r>
      <w:r>
        <w:rPr>
          <w:rFonts w:eastAsia="黑体"/>
          <w:color w:val="auto"/>
          <w:sz w:val="21"/>
          <w:szCs w:val="18"/>
          <w:highlight w:val="none"/>
        </w:rPr>
        <w:t>-1 地下水监测计划</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216"/>
        <w:gridCol w:w="1411"/>
        <w:gridCol w:w="992"/>
        <w:gridCol w:w="1701"/>
        <w:gridCol w:w="2374"/>
      </w:tblGrid>
      <w:tr w14:paraId="48DD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7" w:type="dxa"/>
            <w:shd w:val="clear" w:color="auto" w:fill="auto"/>
            <w:vAlign w:val="center"/>
          </w:tcPr>
          <w:p w14:paraId="59791F46">
            <w:pPr>
              <w:keepNext w:val="0"/>
              <w:keepLines w:val="0"/>
              <w:suppressLineNumbers w:val="0"/>
              <w:spacing w:before="0" w:beforeAutospacing="0" w:after="0" w:afterAutospacing="0" w:line="240" w:lineRule="auto"/>
              <w:ind w:left="-120" w:leftChars="-50" w:right="-120" w:rightChars="-50" w:firstLine="0"/>
              <w:jc w:val="center"/>
              <w:rPr>
                <w:rFonts w:hint="default"/>
                <w:color w:val="auto"/>
                <w:sz w:val="21"/>
                <w:szCs w:val="21"/>
                <w:highlight w:val="none"/>
              </w:rPr>
            </w:pPr>
            <w:r>
              <w:rPr>
                <w:rFonts w:hint="default"/>
                <w:color w:val="auto"/>
                <w:sz w:val="21"/>
                <w:szCs w:val="21"/>
                <w:highlight w:val="none"/>
              </w:rPr>
              <w:t>孔号</w:t>
            </w:r>
          </w:p>
        </w:tc>
        <w:tc>
          <w:tcPr>
            <w:tcW w:w="1216" w:type="dxa"/>
            <w:shd w:val="clear" w:color="auto" w:fill="auto"/>
            <w:vAlign w:val="center"/>
          </w:tcPr>
          <w:p w14:paraId="4D620A0F">
            <w:pPr>
              <w:keepNext w:val="0"/>
              <w:keepLines w:val="0"/>
              <w:suppressLineNumbers w:val="0"/>
              <w:spacing w:before="0" w:beforeAutospacing="0" w:after="0" w:afterAutospacing="0" w:line="240" w:lineRule="auto"/>
              <w:ind w:left="-120" w:leftChars="-50" w:right="-120" w:rightChars="-50" w:firstLine="0"/>
              <w:jc w:val="center"/>
              <w:rPr>
                <w:rFonts w:hint="default"/>
                <w:color w:val="auto"/>
                <w:sz w:val="21"/>
                <w:szCs w:val="21"/>
                <w:highlight w:val="none"/>
              </w:rPr>
            </w:pPr>
            <w:r>
              <w:rPr>
                <w:rFonts w:hint="default"/>
                <w:color w:val="auto"/>
                <w:sz w:val="21"/>
                <w:szCs w:val="21"/>
                <w:highlight w:val="none"/>
              </w:rPr>
              <w:t>监测点位</w:t>
            </w:r>
          </w:p>
        </w:tc>
        <w:tc>
          <w:tcPr>
            <w:tcW w:w="1411" w:type="dxa"/>
          </w:tcPr>
          <w:p w14:paraId="681A167A">
            <w:pPr>
              <w:keepNext w:val="0"/>
              <w:keepLines w:val="0"/>
              <w:suppressLineNumbers w:val="0"/>
              <w:spacing w:before="0" w:beforeAutospacing="0" w:after="0" w:afterAutospacing="0" w:line="240" w:lineRule="auto"/>
              <w:ind w:left="-120" w:leftChars="-50" w:right="-120" w:rightChars="-50" w:firstLine="0"/>
              <w:jc w:val="center"/>
              <w:rPr>
                <w:rFonts w:hint="default"/>
                <w:color w:val="auto"/>
                <w:sz w:val="21"/>
                <w:szCs w:val="21"/>
                <w:highlight w:val="none"/>
              </w:rPr>
            </w:pPr>
            <w:r>
              <w:rPr>
                <w:rFonts w:hint="eastAsia"/>
                <w:color w:val="auto"/>
                <w:sz w:val="21"/>
                <w:szCs w:val="21"/>
                <w:highlight w:val="none"/>
              </w:rPr>
              <w:t>井深</w:t>
            </w:r>
          </w:p>
        </w:tc>
        <w:tc>
          <w:tcPr>
            <w:tcW w:w="992" w:type="dxa"/>
          </w:tcPr>
          <w:p w14:paraId="47E4B37C">
            <w:pPr>
              <w:keepNext w:val="0"/>
              <w:keepLines w:val="0"/>
              <w:suppressLineNumbers w:val="0"/>
              <w:spacing w:before="0" w:beforeAutospacing="0" w:after="0" w:afterAutospacing="0" w:line="240" w:lineRule="auto"/>
              <w:ind w:left="-120" w:leftChars="-50" w:right="-120" w:rightChars="-50" w:firstLine="0"/>
              <w:jc w:val="center"/>
              <w:rPr>
                <w:rFonts w:hint="default"/>
                <w:color w:val="auto"/>
                <w:sz w:val="21"/>
                <w:szCs w:val="21"/>
                <w:highlight w:val="none"/>
              </w:rPr>
            </w:pPr>
            <w:r>
              <w:rPr>
                <w:rFonts w:hint="default"/>
                <w:color w:val="auto"/>
                <w:sz w:val="21"/>
                <w:szCs w:val="21"/>
                <w:highlight w:val="none"/>
              </w:rPr>
              <w:t>监测层位/结构</w:t>
            </w:r>
          </w:p>
        </w:tc>
        <w:tc>
          <w:tcPr>
            <w:tcW w:w="1701" w:type="dxa"/>
            <w:shd w:val="clear" w:color="auto" w:fill="auto"/>
            <w:vAlign w:val="center"/>
          </w:tcPr>
          <w:p w14:paraId="5A7E6CC0">
            <w:pPr>
              <w:keepNext w:val="0"/>
              <w:keepLines w:val="0"/>
              <w:suppressLineNumbers w:val="0"/>
              <w:spacing w:before="0" w:beforeAutospacing="0" w:after="0" w:afterAutospacing="0" w:line="240" w:lineRule="auto"/>
              <w:ind w:left="-120" w:leftChars="-50" w:right="-120" w:rightChars="-50" w:firstLine="0"/>
              <w:jc w:val="center"/>
              <w:rPr>
                <w:rFonts w:hint="default"/>
                <w:color w:val="auto"/>
                <w:sz w:val="21"/>
                <w:szCs w:val="21"/>
                <w:highlight w:val="none"/>
              </w:rPr>
            </w:pPr>
            <w:r>
              <w:rPr>
                <w:rFonts w:hint="default"/>
                <w:color w:val="auto"/>
                <w:sz w:val="21"/>
                <w:szCs w:val="21"/>
                <w:highlight w:val="none"/>
              </w:rPr>
              <w:t>监测频率</w:t>
            </w:r>
          </w:p>
        </w:tc>
        <w:tc>
          <w:tcPr>
            <w:tcW w:w="2374" w:type="dxa"/>
            <w:shd w:val="clear" w:color="auto" w:fill="auto"/>
            <w:vAlign w:val="center"/>
          </w:tcPr>
          <w:p w14:paraId="5D8C2CBE">
            <w:pPr>
              <w:keepNext w:val="0"/>
              <w:keepLines w:val="0"/>
              <w:suppressLineNumbers w:val="0"/>
              <w:spacing w:before="0" w:beforeAutospacing="0" w:after="0" w:afterAutospacing="0" w:line="240" w:lineRule="auto"/>
              <w:ind w:left="-120" w:leftChars="-50" w:right="-120" w:rightChars="-50" w:firstLine="0"/>
              <w:jc w:val="center"/>
              <w:rPr>
                <w:rFonts w:hint="default"/>
                <w:color w:val="auto"/>
                <w:sz w:val="21"/>
                <w:szCs w:val="21"/>
                <w:highlight w:val="none"/>
              </w:rPr>
            </w:pPr>
            <w:r>
              <w:rPr>
                <w:rFonts w:hint="default"/>
                <w:color w:val="auto"/>
                <w:sz w:val="21"/>
                <w:szCs w:val="21"/>
                <w:highlight w:val="none"/>
              </w:rPr>
              <w:t>主要监测项目</w:t>
            </w:r>
          </w:p>
        </w:tc>
      </w:tr>
      <w:tr w14:paraId="4618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7" w:type="dxa"/>
            <w:shd w:val="clear" w:color="auto" w:fill="auto"/>
            <w:vAlign w:val="center"/>
          </w:tcPr>
          <w:p w14:paraId="2665ED69">
            <w:pPr>
              <w:keepNext w:val="0"/>
              <w:keepLines w:val="0"/>
              <w:suppressLineNumbers w:val="0"/>
              <w:spacing w:before="0" w:beforeAutospacing="0" w:after="0" w:afterAutospacing="0" w:line="240" w:lineRule="auto"/>
              <w:ind w:left="-120" w:leftChars="-50" w:right="-120" w:rightChars="-50" w:firstLine="0"/>
              <w:jc w:val="center"/>
              <w:rPr>
                <w:rFonts w:hint="default"/>
                <w:bCs/>
                <w:color w:val="auto"/>
                <w:sz w:val="21"/>
                <w:szCs w:val="21"/>
                <w:highlight w:val="none"/>
              </w:rPr>
            </w:pPr>
            <w:r>
              <w:rPr>
                <w:rFonts w:hint="default"/>
                <w:bCs/>
                <w:color w:val="auto"/>
                <w:sz w:val="21"/>
                <w:szCs w:val="21"/>
                <w:highlight w:val="none"/>
              </w:rPr>
              <w:t>G1</w:t>
            </w:r>
          </w:p>
        </w:tc>
        <w:tc>
          <w:tcPr>
            <w:tcW w:w="1216" w:type="dxa"/>
            <w:shd w:val="clear" w:color="auto" w:fill="auto"/>
            <w:vAlign w:val="center"/>
          </w:tcPr>
          <w:p w14:paraId="770B8035">
            <w:pPr>
              <w:keepNext w:val="0"/>
              <w:keepLines w:val="0"/>
              <w:suppressLineNumbers w:val="0"/>
              <w:spacing w:before="0" w:beforeAutospacing="0" w:after="0" w:afterAutospacing="0" w:line="240" w:lineRule="auto"/>
              <w:ind w:left="-120" w:leftChars="-50" w:right="-120" w:rightChars="-50" w:firstLine="0"/>
              <w:jc w:val="center"/>
              <w:rPr>
                <w:rFonts w:hint="default"/>
                <w:bCs/>
                <w:color w:val="auto"/>
                <w:sz w:val="21"/>
                <w:szCs w:val="21"/>
                <w:highlight w:val="none"/>
              </w:rPr>
            </w:pPr>
            <w:r>
              <w:rPr>
                <w:rFonts w:hint="eastAsia"/>
                <w:bCs/>
                <w:color w:val="auto"/>
                <w:sz w:val="21"/>
                <w:szCs w:val="21"/>
                <w:highlight w:val="none"/>
              </w:rPr>
              <w:t>油车棚</w:t>
            </w:r>
            <w:r>
              <w:rPr>
                <w:rFonts w:hint="default"/>
                <w:bCs/>
                <w:color w:val="auto"/>
                <w:sz w:val="21"/>
                <w:szCs w:val="21"/>
                <w:highlight w:val="none"/>
              </w:rPr>
              <w:t>上游</w:t>
            </w:r>
          </w:p>
        </w:tc>
        <w:tc>
          <w:tcPr>
            <w:tcW w:w="1411" w:type="dxa"/>
            <w:vAlign w:val="center"/>
          </w:tcPr>
          <w:p w14:paraId="4CFECB85">
            <w:pPr>
              <w:keepNext w:val="0"/>
              <w:keepLines w:val="0"/>
              <w:suppressLineNumbers w:val="0"/>
              <w:spacing w:before="0" w:beforeAutospacing="0" w:after="0" w:afterAutospacing="0" w:line="240" w:lineRule="auto"/>
              <w:ind w:left="-120" w:leftChars="-50" w:right="-120" w:rightChars="-50" w:firstLine="0"/>
              <w:jc w:val="center"/>
              <w:rPr>
                <w:rFonts w:hint="default"/>
                <w:bCs/>
                <w:color w:val="auto"/>
                <w:sz w:val="21"/>
                <w:szCs w:val="21"/>
                <w:highlight w:val="none"/>
              </w:rPr>
            </w:pPr>
            <w:r>
              <w:rPr>
                <w:rFonts w:hint="eastAsia"/>
                <w:bCs/>
                <w:color w:val="auto"/>
                <w:sz w:val="21"/>
                <w:szCs w:val="21"/>
                <w:highlight w:val="none"/>
              </w:rPr>
              <w:t>10m</w:t>
            </w:r>
          </w:p>
        </w:tc>
        <w:tc>
          <w:tcPr>
            <w:tcW w:w="992" w:type="dxa"/>
            <w:vMerge w:val="restart"/>
            <w:vAlign w:val="center"/>
          </w:tcPr>
          <w:p w14:paraId="06AC8C70">
            <w:pPr>
              <w:keepNext w:val="0"/>
              <w:keepLines w:val="0"/>
              <w:suppressLineNumbers w:val="0"/>
              <w:spacing w:before="0" w:beforeAutospacing="0" w:after="0" w:afterAutospacing="0" w:line="240" w:lineRule="auto"/>
              <w:ind w:left="-120" w:leftChars="-50" w:right="-120" w:rightChars="-50" w:firstLine="0"/>
              <w:jc w:val="center"/>
              <w:rPr>
                <w:rFonts w:hint="default"/>
                <w:bCs/>
                <w:color w:val="auto"/>
                <w:sz w:val="21"/>
                <w:szCs w:val="21"/>
                <w:highlight w:val="none"/>
              </w:rPr>
            </w:pPr>
            <w:r>
              <w:rPr>
                <w:rFonts w:hint="default"/>
                <w:bCs/>
                <w:color w:val="auto"/>
                <w:sz w:val="21"/>
                <w:szCs w:val="21"/>
                <w:highlight w:val="none"/>
              </w:rPr>
              <w:t>潜水/单管单层</w:t>
            </w:r>
          </w:p>
        </w:tc>
        <w:tc>
          <w:tcPr>
            <w:tcW w:w="1701" w:type="dxa"/>
            <w:vMerge w:val="restart"/>
            <w:shd w:val="clear" w:color="auto" w:fill="auto"/>
            <w:vAlign w:val="center"/>
          </w:tcPr>
          <w:p w14:paraId="21FC935A">
            <w:pPr>
              <w:keepNext w:val="0"/>
              <w:keepLines w:val="0"/>
              <w:suppressLineNumbers w:val="0"/>
              <w:spacing w:before="0" w:beforeAutospacing="0" w:after="0" w:afterAutospacing="0" w:line="240" w:lineRule="auto"/>
              <w:ind w:left="-120" w:leftChars="-50" w:right="-120" w:rightChars="-50" w:firstLine="0"/>
              <w:jc w:val="center"/>
              <w:rPr>
                <w:rFonts w:hint="default"/>
                <w:bCs/>
                <w:color w:val="auto"/>
                <w:sz w:val="21"/>
                <w:szCs w:val="21"/>
                <w:highlight w:val="none"/>
              </w:rPr>
            </w:pPr>
            <w:r>
              <w:rPr>
                <w:rFonts w:hint="default"/>
                <w:bCs/>
                <w:color w:val="auto"/>
                <w:sz w:val="21"/>
                <w:szCs w:val="21"/>
                <w:highlight w:val="none"/>
              </w:rPr>
              <w:t>宜不少于每年2次。发生事故时加大取样频率。</w:t>
            </w:r>
          </w:p>
        </w:tc>
        <w:tc>
          <w:tcPr>
            <w:tcW w:w="2374" w:type="dxa"/>
            <w:vMerge w:val="restart"/>
            <w:shd w:val="clear" w:color="auto" w:fill="auto"/>
            <w:vAlign w:val="center"/>
          </w:tcPr>
          <w:p w14:paraId="5F46BD9C">
            <w:pPr>
              <w:keepNext w:val="0"/>
              <w:keepLines w:val="0"/>
              <w:suppressLineNumbers w:val="0"/>
              <w:autoSpaceDE w:val="0"/>
              <w:autoSpaceDN w:val="0"/>
              <w:adjustRightInd w:val="0"/>
              <w:spacing w:before="0" w:beforeAutospacing="0" w:after="0" w:afterAutospacing="0" w:line="240" w:lineRule="auto"/>
              <w:ind w:left="0" w:right="0" w:firstLine="0"/>
              <w:jc w:val="center"/>
              <w:rPr>
                <w:rFonts w:hint="default"/>
                <w:color w:val="auto"/>
                <w:kern w:val="0"/>
                <w:sz w:val="21"/>
                <w:szCs w:val="21"/>
                <w:highlight w:val="none"/>
              </w:rPr>
            </w:pPr>
            <w:r>
              <w:rPr>
                <w:rFonts w:hint="default"/>
                <w:color w:val="auto"/>
                <w:sz w:val="21"/>
                <w:szCs w:val="21"/>
                <w:highlight w:val="none"/>
              </w:rPr>
              <w:t>水位、pH、氨氮、耗氧量、石油类、总大肠群菌、细菌总数、阴离子表面活性剂等。</w:t>
            </w:r>
          </w:p>
        </w:tc>
      </w:tr>
      <w:tr w14:paraId="52FD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7" w:type="dxa"/>
            <w:shd w:val="clear" w:color="auto" w:fill="auto"/>
            <w:vAlign w:val="center"/>
          </w:tcPr>
          <w:p w14:paraId="6CEC6A51">
            <w:pPr>
              <w:keepNext w:val="0"/>
              <w:keepLines w:val="0"/>
              <w:suppressLineNumbers w:val="0"/>
              <w:spacing w:before="0" w:beforeAutospacing="0" w:after="0" w:afterAutospacing="0" w:line="240" w:lineRule="auto"/>
              <w:ind w:left="-120" w:leftChars="-50" w:right="-120" w:rightChars="-50" w:firstLine="0"/>
              <w:jc w:val="center"/>
              <w:rPr>
                <w:rFonts w:hint="default"/>
                <w:bCs/>
                <w:color w:val="auto"/>
                <w:sz w:val="21"/>
                <w:szCs w:val="21"/>
                <w:highlight w:val="none"/>
              </w:rPr>
            </w:pPr>
            <w:r>
              <w:rPr>
                <w:rFonts w:hint="default"/>
                <w:bCs/>
                <w:color w:val="auto"/>
                <w:sz w:val="21"/>
                <w:szCs w:val="21"/>
                <w:highlight w:val="none"/>
              </w:rPr>
              <w:t>G2</w:t>
            </w:r>
          </w:p>
        </w:tc>
        <w:tc>
          <w:tcPr>
            <w:tcW w:w="1216" w:type="dxa"/>
            <w:shd w:val="clear" w:color="auto" w:fill="auto"/>
            <w:vAlign w:val="center"/>
          </w:tcPr>
          <w:p w14:paraId="7BFF292C">
            <w:pPr>
              <w:keepNext w:val="0"/>
              <w:keepLines w:val="0"/>
              <w:suppressLineNumbers w:val="0"/>
              <w:spacing w:before="0" w:beforeAutospacing="0" w:after="0" w:afterAutospacing="0" w:line="240" w:lineRule="auto"/>
              <w:ind w:left="-120" w:leftChars="-50" w:right="-120" w:rightChars="-50" w:firstLine="0"/>
              <w:jc w:val="center"/>
              <w:rPr>
                <w:rFonts w:hint="default"/>
                <w:bCs/>
                <w:color w:val="auto"/>
                <w:sz w:val="21"/>
                <w:szCs w:val="21"/>
                <w:highlight w:val="none"/>
              </w:rPr>
            </w:pPr>
            <w:r>
              <w:rPr>
                <w:rFonts w:hint="eastAsia"/>
                <w:bCs/>
                <w:color w:val="auto"/>
                <w:sz w:val="21"/>
                <w:szCs w:val="21"/>
                <w:highlight w:val="none"/>
              </w:rPr>
              <w:t>油车棚周边</w:t>
            </w:r>
          </w:p>
        </w:tc>
        <w:tc>
          <w:tcPr>
            <w:tcW w:w="1411" w:type="dxa"/>
            <w:vAlign w:val="center"/>
          </w:tcPr>
          <w:p w14:paraId="0AD8DD4F">
            <w:pPr>
              <w:keepNext w:val="0"/>
              <w:keepLines w:val="0"/>
              <w:widowControl/>
              <w:suppressLineNumbers w:val="0"/>
              <w:spacing w:before="0" w:beforeAutospacing="0" w:after="0" w:afterAutospacing="0" w:line="240" w:lineRule="auto"/>
              <w:ind w:left="-120" w:leftChars="-50" w:right="-120" w:rightChars="-50" w:firstLine="0"/>
              <w:jc w:val="center"/>
              <w:rPr>
                <w:rFonts w:hint="default"/>
                <w:bCs/>
                <w:color w:val="auto"/>
                <w:sz w:val="21"/>
                <w:szCs w:val="22"/>
                <w:highlight w:val="none"/>
              </w:rPr>
            </w:pPr>
            <w:r>
              <w:rPr>
                <w:rFonts w:hint="eastAsia"/>
                <w:bCs/>
                <w:color w:val="auto"/>
                <w:sz w:val="21"/>
                <w:szCs w:val="22"/>
                <w:highlight w:val="none"/>
              </w:rPr>
              <w:t>10m</w:t>
            </w:r>
          </w:p>
        </w:tc>
        <w:tc>
          <w:tcPr>
            <w:tcW w:w="992" w:type="dxa"/>
            <w:vMerge w:val="continue"/>
            <w:vAlign w:val="center"/>
          </w:tcPr>
          <w:p w14:paraId="23960E54">
            <w:pPr>
              <w:keepNext w:val="0"/>
              <w:keepLines w:val="0"/>
              <w:suppressLineNumbers w:val="0"/>
              <w:spacing w:before="0" w:beforeAutospacing="0" w:after="0" w:afterAutospacing="0" w:line="240" w:lineRule="auto"/>
              <w:ind w:left="-120" w:leftChars="-50" w:right="-120" w:rightChars="-50" w:firstLine="0"/>
              <w:jc w:val="center"/>
              <w:rPr>
                <w:rFonts w:hint="default"/>
                <w:bCs/>
                <w:color w:val="auto"/>
                <w:sz w:val="21"/>
                <w:szCs w:val="21"/>
                <w:highlight w:val="none"/>
              </w:rPr>
            </w:pPr>
          </w:p>
        </w:tc>
        <w:tc>
          <w:tcPr>
            <w:tcW w:w="1701" w:type="dxa"/>
            <w:vMerge w:val="continue"/>
            <w:shd w:val="clear" w:color="auto" w:fill="auto"/>
            <w:vAlign w:val="center"/>
          </w:tcPr>
          <w:p w14:paraId="71D50593">
            <w:pPr>
              <w:keepNext w:val="0"/>
              <w:keepLines w:val="0"/>
              <w:suppressLineNumbers w:val="0"/>
              <w:spacing w:before="0" w:beforeAutospacing="0" w:after="0" w:afterAutospacing="0" w:line="240" w:lineRule="auto"/>
              <w:ind w:left="-120" w:leftChars="-50" w:right="-120" w:rightChars="-50" w:firstLine="0"/>
              <w:jc w:val="center"/>
              <w:rPr>
                <w:rFonts w:hint="default"/>
                <w:bCs/>
                <w:color w:val="auto"/>
                <w:sz w:val="21"/>
                <w:szCs w:val="21"/>
                <w:highlight w:val="none"/>
              </w:rPr>
            </w:pPr>
          </w:p>
        </w:tc>
        <w:tc>
          <w:tcPr>
            <w:tcW w:w="2374" w:type="dxa"/>
            <w:vMerge w:val="continue"/>
            <w:shd w:val="clear" w:color="auto" w:fill="auto"/>
            <w:vAlign w:val="center"/>
          </w:tcPr>
          <w:p w14:paraId="2E44B55C">
            <w:pPr>
              <w:keepNext w:val="0"/>
              <w:keepLines w:val="0"/>
              <w:suppressLineNumbers w:val="0"/>
              <w:autoSpaceDE w:val="0"/>
              <w:autoSpaceDN w:val="0"/>
              <w:adjustRightInd w:val="0"/>
              <w:spacing w:before="0" w:beforeAutospacing="0" w:after="0" w:afterAutospacing="0" w:line="240" w:lineRule="auto"/>
              <w:ind w:left="0" w:right="0" w:firstLine="0"/>
              <w:jc w:val="center"/>
              <w:rPr>
                <w:rFonts w:hint="default"/>
                <w:color w:val="auto"/>
                <w:kern w:val="0"/>
                <w:sz w:val="21"/>
                <w:szCs w:val="21"/>
                <w:highlight w:val="none"/>
              </w:rPr>
            </w:pPr>
          </w:p>
        </w:tc>
      </w:tr>
      <w:tr w14:paraId="3F62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7" w:type="dxa"/>
            <w:shd w:val="clear" w:color="auto" w:fill="auto"/>
            <w:vAlign w:val="center"/>
          </w:tcPr>
          <w:p w14:paraId="60001E11">
            <w:pPr>
              <w:keepNext w:val="0"/>
              <w:keepLines w:val="0"/>
              <w:suppressLineNumbers w:val="0"/>
              <w:spacing w:before="0" w:beforeAutospacing="0" w:after="0" w:afterAutospacing="0" w:line="240" w:lineRule="auto"/>
              <w:ind w:left="-120" w:leftChars="-50" w:right="-120" w:rightChars="-50" w:firstLine="0"/>
              <w:jc w:val="center"/>
              <w:rPr>
                <w:rFonts w:hint="default"/>
                <w:bCs/>
                <w:color w:val="auto"/>
                <w:sz w:val="21"/>
                <w:szCs w:val="21"/>
                <w:highlight w:val="none"/>
              </w:rPr>
            </w:pPr>
            <w:r>
              <w:rPr>
                <w:rFonts w:hint="default"/>
                <w:bCs/>
                <w:color w:val="auto"/>
                <w:sz w:val="21"/>
                <w:szCs w:val="21"/>
                <w:highlight w:val="none"/>
              </w:rPr>
              <w:t>G3</w:t>
            </w:r>
          </w:p>
        </w:tc>
        <w:tc>
          <w:tcPr>
            <w:tcW w:w="1216" w:type="dxa"/>
            <w:shd w:val="clear" w:color="auto" w:fill="auto"/>
            <w:vAlign w:val="center"/>
          </w:tcPr>
          <w:p w14:paraId="40FC7AEB">
            <w:pPr>
              <w:keepNext w:val="0"/>
              <w:keepLines w:val="0"/>
              <w:suppressLineNumbers w:val="0"/>
              <w:spacing w:before="0" w:beforeAutospacing="0" w:after="0" w:afterAutospacing="0" w:line="240" w:lineRule="auto"/>
              <w:ind w:left="-120" w:leftChars="-50" w:right="-120" w:rightChars="-50" w:firstLine="0"/>
              <w:jc w:val="center"/>
              <w:rPr>
                <w:rFonts w:hint="default"/>
                <w:bCs/>
                <w:color w:val="auto"/>
                <w:sz w:val="21"/>
                <w:szCs w:val="21"/>
                <w:highlight w:val="none"/>
              </w:rPr>
            </w:pPr>
            <w:r>
              <w:rPr>
                <w:rFonts w:hint="eastAsia"/>
                <w:bCs/>
                <w:color w:val="auto"/>
                <w:sz w:val="21"/>
                <w:szCs w:val="21"/>
                <w:highlight w:val="none"/>
              </w:rPr>
              <w:t>油车棚下游</w:t>
            </w:r>
          </w:p>
        </w:tc>
        <w:tc>
          <w:tcPr>
            <w:tcW w:w="1411" w:type="dxa"/>
            <w:vAlign w:val="center"/>
          </w:tcPr>
          <w:p w14:paraId="1F30F638">
            <w:pPr>
              <w:keepNext w:val="0"/>
              <w:keepLines w:val="0"/>
              <w:widowControl/>
              <w:suppressLineNumbers w:val="0"/>
              <w:spacing w:before="0" w:beforeAutospacing="0" w:after="0" w:afterAutospacing="0" w:line="240" w:lineRule="auto"/>
              <w:ind w:left="-120" w:leftChars="-50" w:right="-120" w:rightChars="-50" w:firstLine="0"/>
              <w:jc w:val="center"/>
              <w:rPr>
                <w:rFonts w:hint="default"/>
                <w:bCs/>
                <w:color w:val="auto"/>
                <w:sz w:val="21"/>
                <w:szCs w:val="22"/>
                <w:highlight w:val="none"/>
              </w:rPr>
            </w:pPr>
            <w:r>
              <w:rPr>
                <w:rFonts w:hint="eastAsia"/>
                <w:bCs/>
                <w:color w:val="auto"/>
                <w:sz w:val="21"/>
                <w:szCs w:val="22"/>
                <w:highlight w:val="none"/>
              </w:rPr>
              <w:t>10m</w:t>
            </w:r>
          </w:p>
        </w:tc>
        <w:tc>
          <w:tcPr>
            <w:tcW w:w="992" w:type="dxa"/>
            <w:vMerge w:val="continue"/>
            <w:vAlign w:val="center"/>
          </w:tcPr>
          <w:p w14:paraId="647CCAE8">
            <w:pPr>
              <w:keepNext w:val="0"/>
              <w:keepLines w:val="0"/>
              <w:suppressLineNumbers w:val="0"/>
              <w:spacing w:before="0" w:beforeAutospacing="0" w:after="0" w:afterAutospacing="0" w:line="240" w:lineRule="auto"/>
              <w:ind w:left="-120" w:leftChars="-50" w:right="-120" w:rightChars="-50" w:firstLine="0"/>
              <w:jc w:val="center"/>
              <w:rPr>
                <w:rFonts w:hint="default"/>
                <w:bCs/>
                <w:color w:val="auto"/>
                <w:sz w:val="21"/>
                <w:szCs w:val="21"/>
                <w:highlight w:val="none"/>
              </w:rPr>
            </w:pPr>
          </w:p>
        </w:tc>
        <w:tc>
          <w:tcPr>
            <w:tcW w:w="1701" w:type="dxa"/>
            <w:vMerge w:val="continue"/>
            <w:shd w:val="clear" w:color="auto" w:fill="auto"/>
            <w:vAlign w:val="center"/>
          </w:tcPr>
          <w:p w14:paraId="69C30BB1">
            <w:pPr>
              <w:keepNext w:val="0"/>
              <w:keepLines w:val="0"/>
              <w:suppressLineNumbers w:val="0"/>
              <w:spacing w:before="0" w:beforeAutospacing="0" w:after="0" w:afterAutospacing="0" w:line="240" w:lineRule="auto"/>
              <w:ind w:left="-120" w:leftChars="-50" w:right="-120" w:rightChars="-50" w:firstLine="0"/>
              <w:jc w:val="center"/>
              <w:rPr>
                <w:rFonts w:hint="default"/>
                <w:bCs/>
                <w:color w:val="auto"/>
                <w:sz w:val="21"/>
                <w:szCs w:val="21"/>
                <w:highlight w:val="none"/>
              </w:rPr>
            </w:pPr>
          </w:p>
        </w:tc>
        <w:tc>
          <w:tcPr>
            <w:tcW w:w="2374" w:type="dxa"/>
            <w:vMerge w:val="continue"/>
            <w:shd w:val="clear" w:color="auto" w:fill="auto"/>
            <w:vAlign w:val="center"/>
          </w:tcPr>
          <w:p w14:paraId="5F7E0599">
            <w:pPr>
              <w:keepNext w:val="0"/>
              <w:keepLines w:val="0"/>
              <w:suppressLineNumbers w:val="0"/>
              <w:autoSpaceDE w:val="0"/>
              <w:autoSpaceDN w:val="0"/>
              <w:adjustRightInd w:val="0"/>
              <w:spacing w:before="0" w:beforeAutospacing="0" w:after="0" w:afterAutospacing="0" w:line="240" w:lineRule="auto"/>
              <w:ind w:left="0" w:right="0" w:firstLine="0"/>
              <w:jc w:val="center"/>
              <w:rPr>
                <w:rFonts w:hint="default"/>
                <w:color w:val="auto"/>
                <w:kern w:val="0"/>
                <w:sz w:val="21"/>
                <w:szCs w:val="21"/>
                <w:highlight w:val="none"/>
              </w:rPr>
            </w:pPr>
          </w:p>
        </w:tc>
      </w:tr>
    </w:tbl>
    <w:p w14:paraId="712A9144">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应急治理措施</w:t>
      </w:r>
    </w:p>
    <w:p w14:paraId="63C2CDB9">
      <w:pPr>
        <w:widowControl/>
        <w:ind w:firstLine="480" w:firstLineChars="200"/>
        <w:rPr>
          <w:color w:val="auto"/>
          <w:szCs w:val="22"/>
          <w:highlight w:val="none"/>
        </w:rPr>
      </w:pPr>
      <w:r>
        <w:rPr>
          <w:color w:val="auto"/>
          <w:szCs w:val="22"/>
          <w:highlight w:val="none"/>
        </w:rPr>
        <w:t>制定风险事故应急预案的</w:t>
      </w:r>
      <w:r>
        <w:rPr>
          <w:rFonts w:hint="eastAsia"/>
          <w:color w:val="auto"/>
          <w:szCs w:val="22"/>
          <w:highlight w:val="none"/>
          <w:lang w:eastAsia="zh-CN"/>
        </w:rPr>
        <w:t>目的是</w:t>
      </w:r>
      <w:r>
        <w:rPr>
          <w:color w:val="auto"/>
          <w:szCs w:val="22"/>
          <w:highlight w:val="none"/>
        </w:rPr>
        <w:t>在发生风险事故时，能以最快的速度发挥最大的效能，有序地实施救援，尽快控制事态的发展，降低事故对含水层的污染。针对应急工作需要，参照相关技术导则，结合地下水污染治理的技术特点，制定地下水污染应急治理程序</w:t>
      </w:r>
      <w:r>
        <w:rPr>
          <w:rFonts w:hint="eastAsia"/>
          <w:color w:val="auto"/>
          <w:szCs w:val="22"/>
          <w:highlight w:val="none"/>
        </w:rPr>
        <w:t>：</w:t>
      </w:r>
    </w:p>
    <w:p w14:paraId="558A6ABE">
      <w:pPr>
        <w:widowControl/>
        <w:ind w:firstLine="480" w:firstLineChars="200"/>
        <w:rPr>
          <w:color w:val="auto"/>
          <w:szCs w:val="22"/>
          <w:highlight w:val="none"/>
        </w:rPr>
      </w:pPr>
      <w:r>
        <w:rPr>
          <w:rFonts w:hint="eastAsia" w:ascii="宋体" w:hAnsi="宋体" w:cs="宋体"/>
          <w:color w:val="auto"/>
          <w:szCs w:val="22"/>
          <w:highlight w:val="none"/>
        </w:rPr>
        <w:t>①</w:t>
      </w:r>
      <w:r>
        <w:rPr>
          <w:color w:val="auto"/>
          <w:szCs w:val="22"/>
          <w:highlight w:val="none"/>
        </w:rPr>
        <w:t>一旦发生地下水污染事故，应立即启动应急预案。</w:t>
      </w:r>
    </w:p>
    <w:p w14:paraId="7B2DDD46">
      <w:pPr>
        <w:widowControl/>
        <w:ind w:firstLine="480" w:firstLineChars="200"/>
        <w:rPr>
          <w:color w:val="auto"/>
          <w:szCs w:val="22"/>
          <w:highlight w:val="none"/>
        </w:rPr>
      </w:pPr>
      <w:r>
        <w:rPr>
          <w:rFonts w:hint="eastAsia" w:ascii="宋体" w:hAnsi="宋体" w:cs="宋体"/>
          <w:color w:val="auto"/>
          <w:szCs w:val="22"/>
          <w:highlight w:val="none"/>
        </w:rPr>
        <w:t>②</w:t>
      </w:r>
      <w:r>
        <w:rPr>
          <w:color w:val="auto"/>
          <w:szCs w:val="22"/>
          <w:highlight w:val="none"/>
        </w:rPr>
        <w:t>查明并切断污染源，切断排水系统与外部水力联系。</w:t>
      </w:r>
    </w:p>
    <w:p w14:paraId="53C311B4">
      <w:pPr>
        <w:widowControl/>
        <w:ind w:firstLine="480" w:firstLineChars="200"/>
        <w:rPr>
          <w:color w:val="auto"/>
          <w:szCs w:val="22"/>
          <w:highlight w:val="none"/>
        </w:rPr>
      </w:pPr>
      <w:r>
        <w:rPr>
          <w:rFonts w:hint="eastAsia" w:ascii="宋体" w:hAnsi="宋体" w:cs="宋体"/>
          <w:color w:val="auto"/>
          <w:szCs w:val="22"/>
          <w:highlight w:val="none"/>
        </w:rPr>
        <w:t>③</w:t>
      </w:r>
      <w:r>
        <w:rPr>
          <w:color w:val="auto"/>
          <w:szCs w:val="22"/>
          <w:highlight w:val="none"/>
        </w:rPr>
        <w:t>探明地下水污染深度、范围和污染程度。</w:t>
      </w:r>
    </w:p>
    <w:p w14:paraId="0F61D809">
      <w:pPr>
        <w:widowControl/>
        <w:ind w:firstLine="480" w:firstLineChars="200"/>
        <w:rPr>
          <w:color w:val="auto"/>
          <w:szCs w:val="22"/>
          <w:highlight w:val="none"/>
        </w:rPr>
      </w:pPr>
      <w:r>
        <w:rPr>
          <w:rFonts w:hint="eastAsia" w:ascii="宋体" w:hAnsi="宋体" w:cs="宋体"/>
          <w:color w:val="auto"/>
          <w:szCs w:val="22"/>
          <w:highlight w:val="none"/>
        </w:rPr>
        <w:t>④</w:t>
      </w:r>
      <w:r>
        <w:rPr>
          <w:color w:val="auto"/>
          <w:szCs w:val="22"/>
          <w:highlight w:val="none"/>
        </w:rPr>
        <w:t>依据探明的地下水污染情况，根据钻孔所布设的抽水井，进行试抽工作。</w:t>
      </w:r>
    </w:p>
    <w:p w14:paraId="0932E646">
      <w:pPr>
        <w:widowControl/>
        <w:ind w:firstLine="480" w:firstLineChars="200"/>
        <w:rPr>
          <w:color w:val="auto"/>
          <w:szCs w:val="22"/>
          <w:highlight w:val="none"/>
        </w:rPr>
      </w:pPr>
      <w:r>
        <w:rPr>
          <w:rFonts w:hint="eastAsia" w:ascii="宋体" w:hAnsi="宋体" w:cs="宋体"/>
          <w:color w:val="auto"/>
          <w:szCs w:val="22"/>
          <w:highlight w:val="none"/>
        </w:rPr>
        <w:t>⑤</w:t>
      </w:r>
      <w:r>
        <w:rPr>
          <w:color w:val="auto"/>
          <w:szCs w:val="22"/>
          <w:highlight w:val="none"/>
        </w:rPr>
        <w:t>依据抽水设计方案进行施工，抽取被污染的地下水体，并依据各井孔出水情况进行调整。</w:t>
      </w:r>
    </w:p>
    <w:p w14:paraId="10B8F4DC">
      <w:pPr>
        <w:widowControl/>
        <w:ind w:firstLine="480" w:firstLineChars="200"/>
        <w:rPr>
          <w:color w:val="auto"/>
          <w:szCs w:val="22"/>
          <w:highlight w:val="none"/>
        </w:rPr>
      </w:pPr>
      <w:r>
        <w:rPr>
          <w:rFonts w:hint="eastAsia" w:ascii="宋体" w:hAnsi="宋体" w:cs="宋体"/>
          <w:color w:val="auto"/>
          <w:szCs w:val="22"/>
          <w:highlight w:val="none"/>
        </w:rPr>
        <w:t>⑥</w:t>
      </w:r>
      <w:r>
        <w:rPr>
          <w:color w:val="auto"/>
          <w:szCs w:val="22"/>
          <w:highlight w:val="none"/>
        </w:rPr>
        <w:t>将抽取的地下水进行集中收集处理，并送实验室进行化验分析。</w:t>
      </w:r>
    </w:p>
    <w:p w14:paraId="01D760FB">
      <w:pPr>
        <w:widowControl/>
        <w:ind w:firstLine="480" w:firstLineChars="200"/>
        <w:rPr>
          <w:color w:val="auto"/>
          <w:szCs w:val="22"/>
          <w:highlight w:val="none"/>
        </w:rPr>
      </w:pPr>
      <w:r>
        <w:rPr>
          <w:rFonts w:hint="eastAsia" w:ascii="宋体" w:hAnsi="宋体" w:cs="宋体"/>
          <w:color w:val="auto"/>
          <w:szCs w:val="22"/>
          <w:highlight w:val="none"/>
        </w:rPr>
        <w:t>⑦</w:t>
      </w:r>
      <w:r>
        <w:rPr>
          <w:color w:val="auto"/>
          <w:szCs w:val="22"/>
          <w:highlight w:val="none"/>
        </w:rPr>
        <w:t>当地下水中的特征污染物浓度满足地下水功能区划的标准后，逐步停止抽水，恢复至正常工况下状态。</w:t>
      </w:r>
    </w:p>
    <w:p w14:paraId="4E85E7C0">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地下水污染防治措施可行性论证</w:t>
      </w:r>
    </w:p>
    <w:p w14:paraId="3DCFBB0D">
      <w:pPr>
        <w:widowControl/>
        <w:numPr>
          <w:ilvl w:val="0"/>
          <w:numId w:val="27"/>
        </w:numPr>
        <w:ind w:left="0" w:right="6" w:firstLine="482"/>
        <w:jc w:val="left"/>
        <w:rPr>
          <w:color w:val="auto"/>
          <w:szCs w:val="22"/>
          <w:highlight w:val="none"/>
        </w:rPr>
      </w:pPr>
      <w:r>
        <w:rPr>
          <w:color w:val="auto"/>
          <w:szCs w:val="22"/>
          <w:highlight w:val="none"/>
        </w:rPr>
        <w:t>施工期</w:t>
      </w:r>
    </w:p>
    <w:p w14:paraId="19A5517E">
      <w:pPr>
        <w:widowControl/>
        <w:ind w:firstLine="480" w:firstLineChars="200"/>
        <w:rPr>
          <w:color w:val="auto"/>
          <w:szCs w:val="22"/>
          <w:highlight w:val="none"/>
        </w:rPr>
      </w:pPr>
      <w:r>
        <w:rPr>
          <w:color w:val="auto"/>
          <w:szCs w:val="22"/>
          <w:highlight w:val="none"/>
        </w:rPr>
        <w:t>评价对项目施工期提出的地下水环境影响减缓措施均属于临时性的污废水、废油、废渣的暂存和处置措施，要求暂存场地的防渗性能，并且要求所有废物不得向外环境排放，由环卫部门及时清运。施工期暂存场地要求硬化，隔油池、沉淀池等通常为砖砌，水泥砂浆砌筑、粉刷，按照相应的技术规范可以满足防渗要求。在施工技术及经济上可行。</w:t>
      </w:r>
    </w:p>
    <w:p w14:paraId="51C091B6">
      <w:pPr>
        <w:widowControl/>
        <w:numPr>
          <w:ilvl w:val="0"/>
          <w:numId w:val="27"/>
        </w:numPr>
        <w:ind w:left="0" w:right="6" w:firstLine="482"/>
        <w:jc w:val="left"/>
        <w:rPr>
          <w:color w:val="auto"/>
          <w:szCs w:val="22"/>
          <w:highlight w:val="none"/>
        </w:rPr>
      </w:pPr>
      <w:r>
        <w:rPr>
          <w:color w:val="auto"/>
          <w:szCs w:val="22"/>
          <w:highlight w:val="none"/>
        </w:rPr>
        <w:t>运营期</w:t>
      </w:r>
    </w:p>
    <w:p w14:paraId="7C772C66">
      <w:pPr>
        <w:widowControl/>
        <w:ind w:firstLine="480" w:firstLineChars="200"/>
        <w:rPr>
          <w:color w:val="auto"/>
          <w:szCs w:val="22"/>
          <w:highlight w:val="none"/>
        </w:rPr>
      </w:pPr>
      <w:r>
        <w:rPr>
          <w:color w:val="auto"/>
          <w:szCs w:val="22"/>
          <w:highlight w:val="none"/>
        </w:rPr>
        <w:t>本次评价对项目运营期提出的地下水环境影响减缓措施主要包括源头控制措施、分区防渗措施、污染监控措施、应急响应措施。</w:t>
      </w:r>
    </w:p>
    <w:p w14:paraId="4BDF96AD">
      <w:pPr>
        <w:widowControl/>
        <w:ind w:firstLine="480" w:firstLineChars="200"/>
        <w:rPr>
          <w:color w:val="auto"/>
          <w:szCs w:val="22"/>
          <w:highlight w:val="none"/>
        </w:rPr>
      </w:pPr>
      <w:r>
        <w:rPr>
          <w:rFonts w:hint="eastAsia" w:ascii="宋体" w:hAnsi="宋体" w:cs="宋体"/>
          <w:color w:val="auto"/>
          <w:szCs w:val="22"/>
          <w:highlight w:val="none"/>
        </w:rPr>
        <w:t>①</w:t>
      </w:r>
      <w:r>
        <w:rPr>
          <w:color w:val="auto"/>
          <w:szCs w:val="22"/>
          <w:highlight w:val="none"/>
        </w:rPr>
        <w:t>源头控制措施：做好污水管网定期检修工作可以长期稳定运行，污水、废油等不外排，不对环境质量产生影响。</w:t>
      </w:r>
    </w:p>
    <w:p w14:paraId="5C1DD9B5">
      <w:pPr>
        <w:widowControl/>
        <w:ind w:firstLine="480" w:firstLineChars="200"/>
        <w:rPr>
          <w:color w:val="auto"/>
          <w:szCs w:val="22"/>
          <w:highlight w:val="none"/>
        </w:rPr>
      </w:pPr>
      <w:r>
        <w:rPr>
          <w:rFonts w:hint="eastAsia" w:ascii="宋体" w:hAnsi="宋体" w:cs="宋体"/>
          <w:color w:val="auto"/>
          <w:szCs w:val="22"/>
          <w:highlight w:val="none"/>
        </w:rPr>
        <w:t>②</w:t>
      </w:r>
      <w:r>
        <w:rPr>
          <w:color w:val="auto"/>
          <w:szCs w:val="22"/>
          <w:highlight w:val="none"/>
        </w:rPr>
        <w:t>分区防渗措施：重点区域和一般区域要求不同防渗性能的措施，做好防渗层日常检修工作可以长期稳定运行。</w:t>
      </w:r>
    </w:p>
    <w:p w14:paraId="2406F026">
      <w:pPr>
        <w:widowControl/>
        <w:ind w:firstLine="480" w:firstLineChars="200"/>
        <w:rPr>
          <w:color w:val="auto"/>
          <w:szCs w:val="22"/>
          <w:highlight w:val="none"/>
        </w:rPr>
      </w:pPr>
      <w:r>
        <w:rPr>
          <w:rFonts w:hint="eastAsia" w:ascii="宋体" w:hAnsi="宋体" w:cs="宋体"/>
          <w:color w:val="auto"/>
          <w:szCs w:val="22"/>
          <w:highlight w:val="none"/>
        </w:rPr>
        <w:t>③</w:t>
      </w:r>
      <w:r>
        <w:rPr>
          <w:color w:val="auto"/>
          <w:szCs w:val="22"/>
          <w:highlight w:val="none"/>
        </w:rPr>
        <w:t>污染监控措施：设置监控井进行污染扩散监控，委托有资质的监测单位定期监测，是检验防渗措施有效性的手段。</w:t>
      </w:r>
    </w:p>
    <w:p w14:paraId="164C5568">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ascii="宋体" w:hAnsi="宋体" w:cs="宋体"/>
          <w:color w:val="auto"/>
          <w:szCs w:val="22"/>
          <w:highlight w:val="none"/>
        </w:rPr>
        <w:t>④</w:t>
      </w:r>
      <w:r>
        <w:rPr>
          <w:color w:val="auto"/>
          <w:szCs w:val="22"/>
          <w:highlight w:val="none"/>
        </w:rPr>
        <w:t>应急响应措施：制定污染风险应急预案，并定期进行环境风险事故应急预案的演习和完善</w:t>
      </w:r>
      <w:r>
        <w:rPr>
          <w:rFonts w:hint="eastAsia"/>
          <w:color w:val="auto"/>
          <w:szCs w:val="22"/>
          <w:highlight w:val="none"/>
          <w:lang w:eastAsia="zh-CN"/>
        </w:rPr>
        <w:t>，</w:t>
      </w:r>
      <w:r>
        <w:rPr>
          <w:color w:val="auto"/>
          <w:szCs w:val="22"/>
          <w:highlight w:val="none"/>
        </w:rPr>
        <w:t>保证应急预案的有效性</w:t>
      </w:r>
      <w:r>
        <w:rPr>
          <w:rFonts w:ascii="Times New Roman" w:hAnsi="Times New Roman" w:eastAsia="宋体" w:cs="Times New Roman"/>
          <w:color w:val="auto"/>
          <w:szCs w:val="21"/>
          <w:highlight w:val="none"/>
        </w:rPr>
        <w:t>。</w:t>
      </w:r>
    </w:p>
    <w:p w14:paraId="690CE7A3">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12" w:name="_Toc7454"/>
      <w:r>
        <w:rPr>
          <w:rFonts w:hint="eastAsia" w:ascii="Times New Roman" w:hAnsi="Times New Roman" w:eastAsia="黑体" w:cs="Times New Roman"/>
          <w:bCs/>
          <w:color w:val="auto"/>
          <w:spacing w:val="0"/>
          <w:w w:val="100"/>
          <w:kern w:val="28"/>
          <w:sz w:val="30"/>
          <w:szCs w:val="30"/>
          <w:highlight w:val="none"/>
          <w:lang w:val="en-US" w:eastAsia="zh-CN" w:bidi="ar-SA"/>
        </w:rPr>
        <w:t>土壤环境保护措施及可行性论证</w:t>
      </w:r>
      <w:bookmarkEnd w:id="312"/>
    </w:p>
    <w:p w14:paraId="67751ADB">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施工期土壤环境保护措施</w:t>
      </w:r>
    </w:p>
    <w:p w14:paraId="0B25B621">
      <w:pPr>
        <w:pStyle w:val="86"/>
        <w:spacing w:after="0"/>
        <w:ind w:firstLine="480"/>
        <w:rPr>
          <w:rFonts w:ascii="Times New Roman" w:hAnsi="Times New Roman"/>
          <w:color w:val="auto"/>
          <w:spacing w:val="0"/>
          <w:highlight w:val="none"/>
        </w:rPr>
      </w:pPr>
      <w:r>
        <w:rPr>
          <w:rFonts w:ascii="Times New Roman" w:hAnsi="Times New Roman"/>
          <w:color w:val="auto"/>
          <w:spacing w:val="0"/>
          <w:highlight w:val="none"/>
        </w:rPr>
        <w:t>（1）应严格控制施工期临时占地面积，按设计及规划的施工范围进行施工作业，减少土壤扰动。</w:t>
      </w:r>
    </w:p>
    <w:p w14:paraId="665C0E8D">
      <w:pPr>
        <w:pStyle w:val="86"/>
        <w:spacing w:after="0"/>
        <w:ind w:firstLine="480"/>
        <w:rPr>
          <w:rFonts w:ascii="Times New Roman" w:hAnsi="Times New Roman"/>
          <w:color w:val="auto"/>
          <w:spacing w:val="0"/>
          <w:highlight w:val="none"/>
        </w:rPr>
      </w:pPr>
      <w:r>
        <w:rPr>
          <w:rFonts w:ascii="Times New Roman" w:hAnsi="Times New Roman"/>
          <w:color w:val="auto"/>
          <w:spacing w:val="0"/>
          <w:highlight w:val="none"/>
        </w:rPr>
        <w:t>（2）施工机械及运输车辆应按规定的道路行驶，减少对土壤的碾压，减少碾压造成的土壤紧实度增加及养分流失。</w:t>
      </w:r>
    </w:p>
    <w:p w14:paraId="1961643E">
      <w:pPr>
        <w:pStyle w:val="86"/>
        <w:spacing w:after="0"/>
        <w:ind w:firstLine="480"/>
        <w:rPr>
          <w:rFonts w:ascii="Times New Roman" w:hAnsi="Times New Roman"/>
          <w:color w:val="auto"/>
          <w:spacing w:val="0"/>
          <w:highlight w:val="none"/>
        </w:rPr>
      </w:pPr>
      <w:r>
        <w:rPr>
          <w:rFonts w:ascii="Times New Roman" w:hAnsi="Times New Roman"/>
          <w:color w:val="auto"/>
          <w:spacing w:val="0"/>
          <w:highlight w:val="none"/>
        </w:rPr>
        <w:t>（3）施工产生的建筑垃圾不得随意抛洒，应集中收集并及时清运，防止污染物进入土壤环境造成污染。</w:t>
      </w:r>
    </w:p>
    <w:p w14:paraId="3663C383">
      <w:pPr>
        <w:pStyle w:val="86"/>
        <w:spacing w:after="0"/>
        <w:ind w:firstLine="480"/>
        <w:rPr>
          <w:rFonts w:ascii="Times New Roman" w:hAnsi="Times New Roman"/>
          <w:color w:val="auto"/>
          <w:spacing w:val="0"/>
          <w:highlight w:val="none"/>
        </w:rPr>
      </w:pPr>
      <w:r>
        <w:rPr>
          <w:rFonts w:ascii="Times New Roman" w:hAnsi="Times New Roman"/>
          <w:color w:val="auto"/>
          <w:spacing w:val="0"/>
          <w:highlight w:val="none"/>
        </w:rPr>
        <w:t>（4）项目区需要严格采取各项水土流失防治措施，落实地面硬化和绿化工程，施工完毕后对临时</w:t>
      </w:r>
      <w:r>
        <w:rPr>
          <w:rFonts w:hint="eastAsia" w:ascii="Times New Roman" w:hAnsi="Times New Roman"/>
          <w:color w:val="auto"/>
          <w:spacing w:val="0"/>
          <w:highlight w:val="none"/>
          <w:lang w:val="en-US" w:eastAsia="zh-CN"/>
        </w:rPr>
        <w:t>用</w:t>
      </w:r>
      <w:r>
        <w:rPr>
          <w:rFonts w:ascii="Times New Roman" w:hAnsi="Times New Roman"/>
          <w:color w:val="auto"/>
          <w:spacing w:val="0"/>
          <w:highlight w:val="none"/>
        </w:rPr>
        <w:t>地进行平整。</w:t>
      </w:r>
    </w:p>
    <w:p w14:paraId="1967EED7">
      <w:pPr>
        <w:pStyle w:val="86"/>
        <w:spacing w:after="0"/>
        <w:ind w:firstLine="480"/>
        <w:rPr>
          <w:rFonts w:ascii="Times New Roman" w:hAnsi="Times New Roman"/>
          <w:color w:val="auto"/>
          <w:spacing w:val="0"/>
          <w:highlight w:val="none"/>
        </w:rPr>
      </w:pPr>
      <w:r>
        <w:rPr>
          <w:rFonts w:ascii="Times New Roman" w:hAnsi="Times New Roman"/>
          <w:color w:val="auto"/>
          <w:spacing w:val="0"/>
          <w:highlight w:val="none"/>
        </w:rPr>
        <w:t>（5）线性工程施工前对管沟开挖的土壤做分层开挖、分层堆放，分层回填压实，降低对土壤养分的影响，尽快使土壤恢复生产力，同时减少水土流失。</w:t>
      </w:r>
    </w:p>
    <w:p w14:paraId="6670B806">
      <w:pPr>
        <w:ind w:firstLine="480" w:firstLineChars="200"/>
        <w:rPr>
          <w:color w:val="auto"/>
          <w:highlight w:val="none"/>
        </w:rPr>
      </w:pPr>
      <w:r>
        <w:rPr>
          <w:color w:val="auto"/>
          <w:highlight w:val="none"/>
        </w:rPr>
        <w:t>综上所述，在落实上述施工期土壤污染防治措施的情况下，可降低本项目施工期对土壤理化性质及土壤沙化的影响，本项目施工期土壤污染防治措施可行。</w:t>
      </w:r>
    </w:p>
    <w:p w14:paraId="42A84A62">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运营期土壤环境保护措施</w:t>
      </w:r>
    </w:p>
    <w:p w14:paraId="7C5257FC">
      <w:pPr>
        <w:pStyle w:val="729"/>
        <w:rPr>
          <w:color w:val="auto"/>
          <w:highlight w:val="none"/>
        </w:rPr>
      </w:pPr>
      <w:r>
        <w:rPr>
          <w:color w:val="auto"/>
          <w:highlight w:val="none"/>
        </w:rPr>
        <w:t>（1）源头控制</w:t>
      </w:r>
    </w:p>
    <w:p w14:paraId="4BDE7623">
      <w:pPr>
        <w:pStyle w:val="729"/>
        <w:rPr>
          <w:color w:val="auto"/>
          <w:highlight w:val="none"/>
        </w:rPr>
      </w:pPr>
      <w:r>
        <w:rPr>
          <w:rFonts w:hint="eastAsia" w:ascii="宋体" w:hAnsi="宋体" w:cs="宋体"/>
          <w:color w:val="auto"/>
          <w:highlight w:val="none"/>
        </w:rPr>
        <w:t>①</w:t>
      </w:r>
      <w:r>
        <w:rPr>
          <w:color w:val="auto"/>
          <w:highlight w:val="none"/>
        </w:rPr>
        <w:t>项目</w:t>
      </w:r>
      <w:r>
        <w:rPr>
          <w:rFonts w:hint="eastAsia"/>
          <w:color w:val="auto"/>
          <w:highlight w:val="none"/>
          <w:lang w:val="en-US" w:eastAsia="zh-CN"/>
        </w:rPr>
        <w:t>油车棚</w:t>
      </w:r>
      <w:r>
        <w:rPr>
          <w:color w:val="auto"/>
          <w:highlight w:val="none"/>
        </w:rPr>
        <w:t>、污水处理站等区域应严格按照相关规范进行防渗设计和施工。</w:t>
      </w:r>
    </w:p>
    <w:p w14:paraId="13F5E27B">
      <w:pPr>
        <w:pStyle w:val="729"/>
        <w:rPr>
          <w:color w:val="auto"/>
          <w:highlight w:val="none"/>
        </w:rPr>
      </w:pPr>
      <w:r>
        <w:rPr>
          <w:rFonts w:hint="eastAsia" w:ascii="宋体" w:hAnsi="宋体" w:cs="宋体"/>
          <w:color w:val="auto"/>
          <w:highlight w:val="none"/>
        </w:rPr>
        <w:t>②</w:t>
      </w:r>
      <w:r>
        <w:rPr>
          <w:color w:val="auto"/>
          <w:highlight w:val="none"/>
        </w:rPr>
        <w:t>危险废物严格按要求进行处理处置，严禁随意倾倒、丢弃；企业应及时联系危废处理厂家进行处理，危废在厂内暂存期间应集中收集，专人管理，集中贮存，各类危险废物按性质不同分类进行贮存。</w:t>
      </w:r>
    </w:p>
    <w:p w14:paraId="161721D3">
      <w:pPr>
        <w:pStyle w:val="729"/>
        <w:rPr>
          <w:color w:val="auto"/>
          <w:highlight w:val="none"/>
        </w:rPr>
      </w:pPr>
      <w:r>
        <w:rPr>
          <w:rFonts w:hint="eastAsia" w:ascii="宋体" w:hAnsi="宋体" w:cs="宋体"/>
          <w:color w:val="auto"/>
          <w:highlight w:val="none"/>
        </w:rPr>
        <w:t>③</w:t>
      </w:r>
      <w:r>
        <w:rPr>
          <w:color w:val="auto"/>
          <w:highlight w:val="none"/>
        </w:rPr>
        <w:t>危险废物临时贮存设施应满足</w:t>
      </w:r>
      <w:r>
        <w:rPr>
          <w:rFonts w:hint="eastAsia"/>
          <w:color w:val="auto"/>
          <w:highlight w:val="none"/>
        </w:rPr>
        <w:t>《危险废物贮存污染控制标准》</w:t>
      </w:r>
      <w:r>
        <w:rPr>
          <w:rFonts w:hint="eastAsia"/>
          <w:color w:val="auto"/>
          <w:highlight w:val="none"/>
          <w:lang w:eastAsia="zh-CN"/>
        </w:rPr>
        <w:t>（</w:t>
      </w:r>
      <w:r>
        <w:rPr>
          <w:rFonts w:hint="eastAsia"/>
          <w:color w:val="auto"/>
          <w:highlight w:val="none"/>
        </w:rPr>
        <w:t>GB 18597-2023</w:t>
      </w:r>
      <w:r>
        <w:rPr>
          <w:rFonts w:hint="eastAsia"/>
          <w:color w:val="auto"/>
          <w:highlight w:val="none"/>
          <w:lang w:eastAsia="zh-CN"/>
        </w:rPr>
        <w:t>）</w:t>
      </w:r>
      <w:r>
        <w:rPr>
          <w:color w:val="auto"/>
          <w:highlight w:val="none"/>
        </w:rPr>
        <w:t>要求，防风、防雨、防腐、防晒，并建设导流系统、泄漏液体收集装置。</w:t>
      </w:r>
    </w:p>
    <w:p w14:paraId="762D646F">
      <w:pPr>
        <w:pStyle w:val="729"/>
        <w:rPr>
          <w:color w:val="auto"/>
          <w:highlight w:val="none"/>
        </w:rPr>
      </w:pPr>
      <w:r>
        <w:rPr>
          <w:rFonts w:hint="eastAsia" w:ascii="宋体" w:hAnsi="宋体" w:cs="宋体"/>
          <w:color w:val="auto"/>
          <w:highlight w:val="none"/>
        </w:rPr>
        <w:t>④</w:t>
      </w:r>
      <w:r>
        <w:rPr>
          <w:color w:val="auto"/>
          <w:highlight w:val="none"/>
        </w:rPr>
        <w:t>为防止项目对当地土壤产生不利影响，采取措施具体如下：对厂区的道路等进行硬化处理，防止废水发生“跑、冒、滴、漏”现象时污染地下水环境，另外，严格按照厂区的绿化方案进行喷洒绿化，对于所有的污水管道、事故水池、废水处理设施、</w:t>
      </w:r>
      <w:r>
        <w:rPr>
          <w:rFonts w:hint="eastAsia"/>
          <w:color w:val="auto"/>
          <w:highlight w:val="none"/>
        </w:rPr>
        <w:t>危废贮存点</w:t>
      </w:r>
      <w:r>
        <w:rPr>
          <w:color w:val="auto"/>
          <w:highlight w:val="none"/>
        </w:rPr>
        <w:t>等均采取防渗措施，如对地面进行碾压、夯实，并在地下设置防渗层等，管道材料使用防腐材料，防止具有腐蚀性的液体泄漏污染地下水，以保护厂址附近的土壤。</w:t>
      </w:r>
    </w:p>
    <w:p w14:paraId="010D2CAC">
      <w:pPr>
        <w:pStyle w:val="729"/>
        <w:rPr>
          <w:color w:val="auto"/>
          <w:highlight w:val="none"/>
        </w:rPr>
      </w:pPr>
      <w:r>
        <w:rPr>
          <w:color w:val="auto"/>
          <w:highlight w:val="none"/>
        </w:rPr>
        <w:t>（2）过程防控</w:t>
      </w:r>
    </w:p>
    <w:p w14:paraId="2ADAF9AE">
      <w:pPr>
        <w:ind w:firstLine="480"/>
        <w:rPr>
          <w:color w:val="auto"/>
          <w:highlight w:val="none"/>
        </w:rPr>
      </w:pPr>
      <w:r>
        <w:rPr>
          <w:color w:val="auto"/>
          <w:highlight w:val="none"/>
        </w:rPr>
        <w:t>本项目</w:t>
      </w:r>
      <w:r>
        <w:rPr>
          <w:rFonts w:hint="eastAsia"/>
          <w:color w:val="auto"/>
          <w:highlight w:val="none"/>
          <w:lang w:val="en-US" w:eastAsia="zh-CN"/>
        </w:rPr>
        <w:t>油车棚</w:t>
      </w:r>
      <w:r>
        <w:rPr>
          <w:color w:val="auto"/>
          <w:highlight w:val="none"/>
        </w:rPr>
        <w:t>按《通用航空供油工程建设规范》MH/T5030-2014进行配置，四周设围堰，正常情况下不会对土壤环境造成影响。</w:t>
      </w:r>
    </w:p>
    <w:p w14:paraId="5A410EE5">
      <w:pPr>
        <w:ind w:firstLine="480"/>
        <w:rPr>
          <w:color w:val="auto"/>
          <w:highlight w:val="none"/>
        </w:rPr>
      </w:pPr>
      <w:r>
        <w:rPr>
          <w:color w:val="auto"/>
          <w:highlight w:val="none"/>
        </w:rPr>
        <w:t>一旦</w:t>
      </w:r>
      <w:r>
        <w:rPr>
          <w:rFonts w:hint="eastAsia"/>
          <w:color w:val="auto"/>
          <w:highlight w:val="none"/>
          <w:lang w:val="en-US" w:eastAsia="zh-CN"/>
        </w:rPr>
        <w:t>罐式加油车</w:t>
      </w:r>
      <w:r>
        <w:rPr>
          <w:color w:val="auto"/>
          <w:highlight w:val="none"/>
        </w:rPr>
        <w:t>、加油装置等发生泄漏事故，企业应及时通知有关部门并采取必要的安全措施，减少事故损失，防止事故蔓延、扩大。</w:t>
      </w:r>
    </w:p>
    <w:p w14:paraId="056D665D">
      <w:pPr>
        <w:pStyle w:val="729"/>
        <w:rPr>
          <w:color w:val="auto"/>
          <w:highlight w:val="none"/>
        </w:rPr>
      </w:pPr>
      <w:r>
        <w:rPr>
          <w:color w:val="auto"/>
          <w:highlight w:val="none"/>
        </w:rPr>
        <w:t>（3）跟踪监测</w:t>
      </w:r>
    </w:p>
    <w:p w14:paraId="62DFBCFD">
      <w:pPr>
        <w:pStyle w:val="729"/>
        <w:rPr>
          <w:color w:val="auto"/>
          <w:highlight w:val="none"/>
        </w:rPr>
      </w:pPr>
      <w:r>
        <w:rPr>
          <w:color w:val="auto"/>
          <w:highlight w:val="none"/>
        </w:rPr>
        <w:t>本项目实施后应根据《环境影响评价技术导则 土壤环境（试行）》（HJ 964-2018）土壤二级评价的跟踪监测要求，制定跟踪监测计划。具体如下：</w:t>
      </w:r>
    </w:p>
    <w:p w14:paraId="43B617F9">
      <w:pPr>
        <w:pStyle w:val="729"/>
        <w:rPr>
          <w:color w:val="auto"/>
          <w:highlight w:val="none"/>
        </w:rPr>
      </w:pPr>
      <w:r>
        <w:rPr>
          <w:rFonts w:hint="eastAsia" w:ascii="宋体" w:hAnsi="宋体" w:cs="宋体"/>
          <w:color w:val="auto"/>
          <w:highlight w:val="none"/>
        </w:rPr>
        <w:t>①</w:t>
      </w:r>
      <w:r>
        <w:rPr>
          <w:color w:val="auto"/>
          <w:highlight w:val="none"/>
        </w:rPr>
        <w:t>监测点位布设：对可能影响区域进行跟踪监测，在占地范围内设1个柱状样、1个表层样，占地范围外设1个表层样。</w:t>
      </w:r>
    </w:p>
    <w:p w14:paraId="30737802">
      <w:pPr>
        <w:pStyle w:val="729"/>
        <w:rPr>
          <w:color w:val="auto"/>
          <w:highlight w:val="none"/>
        </w:rPr>
      </w:pPr>
      <w:r>
        <w:rPr>
          <w:rFonts w:hint="eastAsia" w:ascii="宋体" w:hAnsi="宋体" w:cs="宋体"/>
          <w:color w:val="auto"/>
          <w:highlight w:val="none"/>
        </w:rPr>
        <w:t>②</w:t>
      </w:r>
      <w:r>
        <w:rPr>
          <w:color w:val="auto"/>
          <w:highlight w:val="none"/>
        </w:rPr>
        <w:t>监测因子：石油烃</w:t>
      </w:r>
    </w:p>
    <w:p w14:paraId="442A14AA">
      <w:pPr>
        <w:pStyle w:val="729"/>
        <w:rPr>
          <w:color w:val="auto"/>
          <w:highlight w:val="none"/>
        </w:rPr>
      </w:pPr>
      <w:r>
        <w:rPr>
          <w:rFonts w:hint="eastAsia" w:ascii="宋体" w:hAnsi="宋体" w:cs="宋体"/>
          <w:color w:val="auto"/>
          <w:highlight w:val="none"/>
        </w:rPr>
        <w:t>③</w:t>
      </w:r>
      <w:r>
        <w:rPr>
          <w:color w:val="auto"/>
          <w:highlight w:val="none"/>
        </w:rPr>
        <w:t>监测频率：每5年监测1次。</w:t>
      </w:r>
    </w:p>
    <w:p w14:paraId="201C14F7">
      <w:pPr>
        <w:pStyle w:val="729"/>
        <w:rPr>
          <w:color w:val="auto"/>
          <w:highlight w:val="none"/>
        </w:rPr>
      </w:pPr>
      <w:r>
        <w:rPr>
          <w:rFonts w:hint="eastAsia" w:ascii="宋体" w:hAnsi="宋体" w:cs="宋体"/>
          <w:color w:val="auto"/>
          <w:highlight w:val="none"/>
        </w:rPr>
        <w:t>④</w:t>
      </w:r>
      <w:r>
        <w:rPr>
          <w:color w:val="auto"/>
          <w:highlight w:val="none"/>
        </w:rPr>
        <w:t>执行标准：占地范围内执行《土壤环境质量 建设用地土壤污染风险管控标准（试行）》（GB36600-2018）第二类用地风险筛选值要求；项目区占地范围外执行《土壤环境质量 农用地土壤污染风险管控标准（试行）》（GB156 18-2018）中的相关要求。</w:t>
      </w:r>
    </w:p>
    <w:p w14:paraId="416D3CE0">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土壤环境保护措施可行性论证</w:t>
      </w:r>
    </w:p>
    <w:p w14:paraId="307C509D">
      <w:pPr>
        <w:pageBreakBefore w:val="0"/>
        <w:widowControl/>
        <w:kinsoku/>
        <w:wordWrap/>
        <w:overflowPunct/>
        <w:bidi w:val="0"/>
        <w:ind w:firstLine="480" w:firstLineChars="200"/>
        <w:jc w:val="both"/>
        <w:rPr>
          <w:rFonts w:hint="eastAsia" w:cs="Times New Roman"/>
          <w:color w:val="auto"/>
          <w:szCs w:val="21"/>
          <w:highlight w:val="none"/>
          <w:lang w:eastAsia="zh-CN"/>
        </w:rPr>
      </w:pPr>
      <w:r>
        <w:rPr>
          <w:color w:val="auto"/>
          <w:highlight w:val="none"/>
        </w:rPr>
        <w:t>正常情况下，本项目不会污染土壤环境，非正常情况下，采取有效措施后可减轻对土壤环境的影响。在做好源头控制、过程防控等措施的前提下，可避免项目实施对土壤环境产生污染影响</w:t>
      </w:r>
      <w:r>
        <w:rPr>
          <w:rFonts w:hint="eastAsia"/>
          <w:color w:val="auto"/>
          <w:highlight w:val="none"/>
          <w:lang w:eastAsia="zh-CN"/>
        </w:rPr>
        <w:t>。</w:t>
      </w:r>
    </w:p>
    <w:p w14:paraId="45A60D00">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13" w:name="_Toc16553"/>
      <w:r>
        <w:rPr>
          <w:rFonts w:hint="eastAsia" w:ascii="Times New Roman" w:hAnsi="Times New Roman" w:eastAsia="黑体" w:cs="Times New Roman"/>
          <w:bCs/>
          <w:color w:val="auto"/>
          <w:spacing w:val="0"/>
          <w:w w:val="100"/>
          <w:kern w:val="28"/>
          <w:sz w:val="30"/>
          <w:szCs w:val="30"/>
          <w:highlight w:val="none"/>
          <w:lang w:val="en-US" w:eastAsia="zh-CN" w:bidi="ar-SA"/>
        </w:rPr>
        <w:t>固体废物污染防治措施及可行性论证</w:t>
      </w:r>
      <w:bookmarkEnd w:id="313"/>
    </w:p>
    <w:p w14:paraId="761E449A">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施工期固体废物处置措施</w:t>
      </w:r>
    </w:p>
    <w:p w14:paraId="7C686698">
      <w:pPr>
        <w:ind w:firstLine="480" w:firstLineChars="200"/>
        <w:rPr>
          <w:color w:val="auto"/>
          <w:highlight w:val="none"/>
        </w:rPr>
      </w:pPr>
      <w:r>
        <w:rPr>
          <w:color w:val="auto"/>
          <w:highlight w:val="none"/>
        </w:rPr>
        <w:t>项目施工期固体废物处置措施如下：</w:t>
      </w:r>
    </w:p>
    <w:p w14:paraId="3D9D20EB">
      <w:pPr>
        <w:ind w:firstLine="480" w:firstLineChars="200"/>
        <w:rPr>
          <w:color w:val="auto"/>
          <w:highlight w:val="none"/>
        </w:rPr>
      </w:pPr>
      <w:r>
        <w:rPr>
          <w:rFonts w:hint="eastAsia"/>
          <w:color w:val="auto"/>
          <w:highlight w:val="none"/>
        </w:rPr>
        <w:t>（1）</w:t>
      </w:r>
      <w:r>
        <w:rPr>
          <w:color w:val="auto"/>
          <w:highlight w:val="none"/>
        </w:rPr>
        <w:t>在施工人员生活营地设置垃圾箱，及时收集、装袋，定期由</w:t>
      </w:r>
      <w:r>
        <w:rPr>
          <w:rFonts w:hint="eastAsia"/>
          <w:color w:val="auto"/>
          <w:highlight w:val="none"/>
        </w:rPr>
        <w:t>精河县</w:t>
      </w:r>
      <w:r>
        <w:rPr>
          <w:color w:val="auto"/>
          <w:highlight w:val="none"/>
        </w:rPr>
        <w:t>环卫管理部门统一收集清运</w:t>
      </w:r>
      <w:r>
        <w:rPr>
          <w:rFonts w:hint="eastAsia"/>
          <w:color w:val="auto"/>
          <w:highlight w:val="none"/>
          <w:lang w:eastAsia="zh-CN"/>
        </w:rPr>
        <w:t>、</w:t>
      </w:r>
      <w:r>
        <w:rPr>
          <w:rFonts w:hint="eastAsia"/>
          <w:color w:val="auto"/>
          <w:highlight w:val="none"/>
          <w:lang w:val="en-US" w:eastAsia="zh-CN"/>
        </w:rPr>
        <w:t>处置</w:t>
      </w:r>
      <w:r>
        <w:rPr>
          <w:color w:val="auto"/>
          <w:highlight w:val="none"/>
        </w:rPr>
        <w:t>。</w:t>
      </w:r>
    </w:p>
    <w:p w14:paraId="2BB1BC91">
      <w:pPr>
        <w:ind w:firstLine="480" w:firstLineChars="200"/>
        <w:rPr>
          <w:color w:val="auto"/>
          <w:highlight w:val="none"/>
        </w:rPr>
      </w:pPr>
      <w:r>
        <w:rPr>
          <w:rFonts w:hint="eastAsia"/>
          <w:color w:val="auto"/>
          <w:highlight w:val="none"/>
        </w:rPr>
        <w:t>（2）</w:t>
      </w:r>
      <w:r>
        <w:rPr>
          <w:color w:val="auto"/>
          <w:highlight w:val="none"/>
        </w:rPr>
        <w:t>施工期对废弃的固体废物若不能</w:t>
      </w:r>
      <w:r>
        <w:rPr>
          <w:rFonts w:hint="eastAsia"/>
          <w:color w:val="auto"/>
          <w:highlight w:val="none"/>
          <w:lang w:val="en-US" w:eastAsia="zh-CN"/>
        </w:rPr>
        <w:t>回收利用的</w:t>
      </w:r>
      <w:r>
        <w:rPr>
          <w:color w:val="auto"/>
          <w:highlight w:val="none"/>
        </w:rPr>
        <w:t>，要及时清理、收集，由环卫部门清运。施工安装工程产生的废金属材料，应回收归库或集中处置。施工结束后，应及时清理场地</w:t>
      </w:r>
      <w:r>
        <w:rPr>
          <w:rFonts w:hint="eastAsia"/>
          <w:color w:val="auto"/>
          <w:highlight w:val="none"/>
          <w:lang w:eastAsia="zh-CN"/>
        </w:rPr>
        <w:t>，</w:t>
      </w:r>
      <w:r>
        <w:rPr>
          <w:rFonts w:hint="eastAsia"/>
          <w:color w:val="auto"/>
          <w:highlight w:val="none"/>
          <w:lang w:val="en-US" w:eastAsia="zh-CN"/>
        </w:rPr>
        <w:t>做到“工完、料尽、场地清”</w:t>
      </w:r>
      <w:r>
        <w:rPr>
          <w:color w:val="auto"/>
          <w:highlight w:val="none"/>
        </w:rPr>
        <w:t>。</w:t>
      </w:r>
    </w:p>
    <w:p w14:paraId="3C21EE42">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运营期固体废物处置措施</w:t>
      </w:r>
    </w:p>
    <w:p w14:paraId="4BFFE0BD">
      <w:pPr>
        <w:ind w:left="482" w:right="6" w:firstLine="0"/>
        <w:rPr>
          <w:color w:val="auto"/>
          <w:highlight w:val="none"/>
        </w:rPr>
      </w:pPr>
      <w:r>
        <w:rPr>
          <w:rFonts w:hint="eastAsia"/>
          <w:color w:val="auto"/>
          <w:highlight w:val="none"/>
        </w:rPr>
        <w:t>（1）</w:t>
      </w:r>
      <w:r>
        <w:rPr>
          <w:color w:val="auto"/>
          <w:highlight w:val="none"/>
        </w:rPr>
        <w:t>航空垃圾和生活垃圾处理措施</w:t>
      </w:r>
      <w:r>
        <w:rPr>
          <w:rFonts w:eastAsia="Times New Roman"/>
          <w:color w:val="auto"/>
          <w:highlight w:val="none"/>
        </w:rPr>
        <w:t xml:space="preserve"> </w:t>
      </w:r>
    </w:p>
    <w:p w14:paraId="1B1BEB04">
      <w:pPr>
        <w:ind w:firstLine="480" w:firstLineChars="200"/>
        <w:rPr>
          <w:color w:val="auto"/>
          <w:highlight w:val="none"/>
        </w:rPr>
      </w:pPr>
      <w:r>
        <w:rPr>
          <w:color w:val="auto"/>
          <w:highlight w:val="none"/>
        </w:rPr>
        <w:t>航空垃圾主要成分组成与生活垃圾相同，从环境资源化效益方面考虑，航空垃圾中有很多可利用成分，由于这些垃圾可回收部分（废纸、塑料、金属和玻璃瓶）高达 88%～99%，其回收的价值甚高，因此机场在处理航空垃圾时可考虑回收利用。分拣后不可回收的航空垃圾和生活垃圾采用垃圾箱收集，</w:t>
      </w:r>
      <w:r>
        <w:rPr>
          <w:rFonts w:hint="eastAsia"/>
          <w:color w:val="auto"/>
          <w:highlight w:val="none"/>
          <w:lang w:val="en-US" w:eastAsia="zh-CN"/>
        </w:rPr>
        <w:t>定期</w:t>
      </w:r>
      <w:r>
        <w:rPr>
          <w:color w:val="auto"/>
          <w:highlight w:val="none"/>
        </w:rPr>
        <w:t>由精河县环卫管理部门</w:t>
      </w:r>
      <w:r>
        <w:rPr>
          <w:rFonts w:hint="eastAsia"/>
          <w:color w:val="auto"/>
          <w:highlight w:val="none"/>
        </w:rPr>
        <w:t>收集清运</w:t>
      </w:r>
      <w:r>
        <w:rPr>
          <w:rFonts w:hint="eastAsia"/>
          <w:color w:val="auto"/>
          <w:highlight w:val="none"/>
          <w:lang w:val="en-US" w:eastAsia="zh-CN"/>
        </w:rPr>
        <w:t>处置</w:t>
      </w:r>
      <w:r>
        <w:rPr>
          <w:color w:val="auto"/>
          <w:highlight w:val="none"/>
        </w:rPr>
        <w:t>。</w:t>
      </w:r>
    </w:p>
    <w:p w14:paraId="2A9699A9">
      <w:pPr>
        <w:ind w:firstLine="480" w:firstLineChars="200"/>
        <w:rPr>
          <w:color w:val="auto"/>
          <w:highlight w:val="none"/>
        </w:rPr>
      </w:pPr>
      <w:r>
        <w:rPr>
          <w:color w:val="auto"/>
          <w:highlight w:val="none"/>
        </w:rPr>
        <w:t>机场</w:t>
      </w:r>
      <w:r>
        <w:rPr>
          <w:rFonts w:hint="eastAsia"/>
          <w:color w:val="auto"/>
          <w:highlight w:val="none"/>
          <w:lang w:val="en-US" w:eastAsia="zh-CN"/>
        </w:rPr>
        <w:t>运营</w:t>
      </w:r>
      <w:r>
        <w:rPr>
          <w:color w:val="auto"/>
          <w:highlight w:val="none"/>
        </w:rPr>
        <w:t>部门应加强管理，对生活垃圾计量统计，</w:t>
      </w:r>
      <w:r>
        <w:rPr>
          <w:rFonts w:hint="eastAsia"/>
          <w:color w:val="auto"/>
          <w:highlight w:val="none"/>
          <w:lang w:val="en-US" w:eastAsia="zh-CN"/>
        </w:rPr>
        <w:t>并</w:t>
      </w:r>
      <w:r>
        <w:rPr>
          <w:color w:val="auto"/>
          <w:highlight w:val="none"/>
        </w:rPr>
        <w:t>及时清运；垃圾</w:t>
      </w:r>
      <w:r>
        <w:rPr>
          <w:rFonts w:hint="eastAsia"/>
          <w:color w:val="auto"/>
          <w:highlight w:val="none"/>
          <w:lang w:val="en-US" w:eastAsia="zh-CN"/>
        </w:rPr>
        <w:t>站</w:t>
      </w:r>
      <w:r>
        <w:rPr>
          <w:color w:val="auto"/>
          <w:highlight w:val="none"/>
        </w:rPr>
        <w:t>内干、湿垃圾分开贮存，在天气较热时，减少垃圾停留时间，尽量避免臭气的产生。</w:t>
      </w:r>
    </w:p>
    <w:p w14:paraId="39762F4D">
      <w:pPr>
        <w:numPr>
          <w:ilvl w:val="0"/>
          <w:numId w:val="0"/>
        </w:numPr>
        <w:ind w:left="482" w:leftChars="0" w:right="6" w:rightChars="0"/>
        <w:rPr>
          <w:color w:val="auto"/>
          <w:highlight w:val="none"/>
        </w:rPr>
      </w:pPr>
      <w:r>
        <w:rPr>
          <w:rFonts w:hint="eastAsia" w:eastAsia="宋体"/>
          <w:color w:val="auto"/>
          <w:highlight w:val="none"/>
          <w:lang w:eastAsia="zh-CN"/>
        </w:rPr>
        <w:t>（</w:t>
      </w:r>
      <w:r>
        <w:rPr>
          <w:rFonts w:hint="eastAsia" w:ascii="Times New Roman" w:eastAsia="宋体"/>
          <w:color w:val="auto"/>
          <w:highlight w:val="none"/>
          <w:lang w:val="en-US" w:eastAsia="zh-CN"/>
        </w:rPr>
        <w:t>2</w:t>
      </w:r>
      <w:r>
        <w:rPr>
          <w:rFonts w:hint="eastAsia" w:eastAsia="宋体"/>
          <w:color w:val="auto"/>
          <w:highlight w:val="none"/>
          <w:lang w:eastAsia="zh-CN"/>
        </w:rPr>
        <w:t>）</w:t>
      </w:r>
      <w:r>
        <w:rPr>
          <w:color w:val="auto"/>
          <w:highlight w:val="none"/>
        </w:rPr>
        <w:t>污油处理处置</w:t>
      </w:r>
    </w:p>
    <w:p w14:paraId="3DCB2284">
      <w:pPr>
        <w:ind w:firstLine="480" w:firstLineChars="200"/>
        <w:rPr>
          <w:color w:val="auto"/>
          <w:highlight w:val="none"/>
        </w:rPr>
      </w:pPr>
      <w:r>
        <w:rPr>
          <w:rFonts w:hint="eastAsia"/>
          <w:color w:val="auto"/>
          <w:highlight w:val="none"/>
          <w:lang w:val="en-US" w:eastAsia="zh-CN"/>
        </w:rPr>
        <w:t>油车棚</w:t>
      </w:r>
      <w:r>
        <w:rPr>
          <w:color w:val="auto"/>
          <w:highlight w:val="none"/>
        </w:rPr>
        <w:t>产生的污油、油泥属于危险废物，必须按照《危险废物贮存污染控制标准》（GB18597-2023）的要求进行单独收集，暂存于</w:t>
      </w:r>
      <w:r>
        <w:rPr>
          <w:rFonts w:hint="eastAsia"/>
          <w:color w:val="auto"/>
          <w:highlight w:val="none"/>
        </w:rPr>
        <w:t>危废贮存点</w:t>
      </w:r>
      <w:r>
        <w:rPr>
          <w:color w:val="auto"/>
          <w:highlight w:val="none"/>
        </w:rPr>
        <w:t>，最终交由具有相应危险废物经营许可资质的单位回收处置。</w:t>
      </w:r>
      <w:r>
        <w:rPr>
          <w:rFonts w:eastAsia="Times New Roman"/>
          <w:color w:val="auto"/>
          <w:highlight w:val="none"/>
        </w:rPr>
        <w:t xml:space="preserve"> </w:t>
      </w:r>
    </w:p>
    <w:p w14:paraId="1ED9DD42">
      <w:pPr>
        <w:ind w:firstLine="480" w:firstLineChars="200"/>
        <w:rPr>
          <w:color w:val="auto"/>
          <w:highlight w:val="none"/>
        </w:rPr>
      </w:pPr>
      <w:r>
        <w:rPr>
          <w:color w:val="auto"/>
          <w:highlight w:val="none"/>
        </w:rPr>
        <w:t>维修间维修会产生少量废机油，属于危险废物，也应按《危险废物贮存污染控制标准》（GB18597-2023）的要求进行单独收集，暂存于</w:t>
      </w:r>
      <w:r>
        <w:rPr>
          <w:rFonts w:hint="eastAsia"/>
          <w:color w:val="auto"/>
          <w:highlight w:val="none"/>
          <w:lang w:eastAsia="zh-CN"/>
        </w:rPr>
        <w:t>危废贮存点</w:t>
      </w:r>
      <w:r>
        <w:rPr>
          <w:color w:val="auto"/>
          <w:highlight w:val="none"/>
        </w:rPr>
        <w:t>，最终委托</w:t>
      </w:r>
      <w:r>
        <w:rPr>
          <w:rFonts w:hint="eastAsia"/>
          <w:color w:val="auto"/>
          <w:kern w:val="0"/>
          <w:highlight w:val="none"/>
        </w:rPr>
        <w:t>有</w:t>
      </w:r>
      <w:r>
        <w:rPr>
          <w:color w:val="auto"/>
          <w:highlight w:val="none"/>
        </w:rPr>
        <w:t>资质的单位</w:t>
      </w:r>
      <w:r>
        <w:rPr>
          <w:rFonts w:hint="eastAsia"/>
          <w:color w:val="auto"/>
          <w:kern w:val="0"/>
          <w:highlight w:val="none"/>
        </w:rPr>
        <w:t>进行</w:t>
      </w:r>
      <w:r>
        <w:rPr>
          <w:color w:val="auto"/>
          <w:highlight w:val="none"/>
        </w:rPr>
        <w:t>回收处理。本项目</w:t>
      </w:r>
      <w:r>
        <w:rPr>
          <w:rFonts w:hint="eastAsia"/>
          <w:color w:val="auto"/>
          <w:highlight w:val="none"/>
          <w:lang w:eastAsia="zh-CN"/>
        </w:rPr>
        <w:t>危废贮存点</w:t>
      </w:r>
      <w:r>
        <w:rPr>
          <w:color w:val="auto"/>
          <w:highlight w:val="none"/>
        </w:rPr>
        <w:t>按照《危险废物贮存污染控制标准》（GB18597-2023）有关要求建设。其中，基础防渗层为至少</w:t>
      </w:r>
      <w:r>
        <w:rPr>
          <w:rFonts w:eastAsia="Times New Roman"/>
          <w:color w:val="auto"/>
          <w:highlight w:val="none"/>
        </w:rPr>
        <w:t>1m</w:t>
      </w:r>
      <w:r>
        <w:rPr>
          <w:color w:val="auto"/>
          <w:highlight w:val="none"/>
        </w:rPr>
        <w:t>厚粘土层（渗透系数≤</w:t>
      </w:r>
      <w:r>
        <w:rPr>
          <w:rFonts w:eastAsia="Times New Roman"/>
          <w:color w:val="auto"/>
          <w:highlight w:val="none"/>
        </w:rPr>
        <w:t>10</w:t>
      </w:r>
      <w:r>
        <w:rPr>
          <w:rFonts w:eastAsia="Times New Roman"/>
          <w:color w:val="auto"/>
          <w:highlight w:val="none"/>
          <w:vertAlign w:val="superscript"/>
        </w:rPr>
        <w:t>-7</w:t>
      </w:r>
      <w:r>
        <w:rPr>
          <w:rFonts w:eastAsia="Times New Roman"/>
          <w:color w:val="auto"/>
          <w:highlight w:val="none"/>
        </w:rPr>
        <w:t>cm/s</w:t>
      </w:r>
      <w:r>
        <w:rPr>
          <w:color w:val="auto"/>
          <w:highlight w:val="none"/>
        </w:rPr>
        <w:t>）或</w:t>
      </w:r>
      <w:r>
        <w:rPr>
          <w:rFonts w:eastAsia="Times New Roman"/>
          <w:color w:val="auto"/>
          <w:highlight w:val="none"/>
        </w:rPr>
        <w:t>2mm</w:t>
      </w:r>
      <w:r>
        <w:rPr>
          <w:color w:val="auto"/>
          <w:highlight w:val="none"/>
        </w:rPr>
        <w:t>厚高密度聚乙烯，或至少</w:t>
      </w:r>
      <w:r>
        <w:rPr>
          <w:rFonts w:eastAsia="Times New Roman"/>
          <w:color w:val="auto"/>
          <w:highlight w:val="none"/>
        </w:rPr>
        <w:t>2mm</w:t>
      </w:r>
      <w:r>
        <w:rPr>
          <w:color w:val="auto"/>
          <w:highlight w:val="none"/>
        </w:rPr>
        <w:t>厚的其他人工材料（渗透系数≤</w:t>
      </w:r>
      <w:r>
        <w:rPr>
          <w:rFonts w:eastAsia="Times New Roman"/>
          <w:color w:val="auto"/>
          <w:highlight w:val="none"/>
        </w:rPr>
        <w:t>10</w:t>
      </w:r>
      <w:r>
        <w:rPr>
          <w:rFonts w:eastAsia="Times New Roman"/>
          <w:color w:val="auto"/>
          <w:highlight w:val="none"/>
          <w:vertAlign w:val="superscript"/>
        </w:rPr>
        <w:t>-10</w:t>
      </w:r>
      <w:r>
        <w:rPr>
          <w:rFonts w:eastAsia="Times New Roman"/>
          <w:color w:val="auto"/>
          <w:highlight w:val="none"/>
        </w:rPr>
        <w:t>cm/s</w:t>
      </w:r>
      <w:r>
        <w:rPr>
          <w:color w:val="auto"/>
          <w:highlight w:val="none"/>
        </w:rPr>
        <w:t>），</w:t>
      </w:r>
      <w:r>
        <w:rPr>
          <w:rFonts w:hint="eastAsia"/>
          <w:color w:val="auto"/>
          <w:highlight w:val="none"/>
          <w:lang w:val="en-US" w:eastAsia="zh-CN"/>
        </w:rPr>
        <w:t>危废贮存点</w:t>
      </w:r>
      <w:r>
        <w:rPr>
          <w:color w:val="auto"/>
          <w:highlight w:val="none"/>
        </w:rPr>
        <w:t>要做到防风、防雨、防晒、防渗漏等；地面与裙脚要用坚固、防渗的材料建造，建筑材料必须与危险废物相容，不相互反应；必须有耐腐蚀的硬化地面，且表面无裂隙；应设计堵截泄漏的</w:t>
      </w:r>
      <w:r>
        <w:rPr>
          <w:rFonts w:hint="eastAsia"/>
          <w:color w:val="auto"/>
          <w:highlight w:val="none"/>
          <w:lang w:eastAsia="zh-CN"/>
        </w:rPr>
        <w:t>裙角</w:t>
      </w:r>
      <w:r>
        <w:rPr>
          <w:color w:val="auto"/>
          <w:highlight w:val="none"/>
        </w:rPr>
        <w:t>。危险废物贮存前应进行检验，并登记注册；盛装危险废物的容器上必须粘贴符合标准的标签；须</w:t>
      </w:r>
      <w:r>
        <w:rPr>
          <w:rFonts w:hint="eastAsia"/>
          <w:color w:val="auto"/>
          <w:highlight w:val="none"/>
          <w:lang w:eastAsia="zh-CN"/>
        </w:rPr>
        <w:t>做好</w:t>
      </w:r>
      <w:r>
        <w:rPr>
          <w:color w:val="auto"/>
          <w:highlight w:val="none"/>
        </w:rPr>
        <w:t>危险废物情况的记录，记录上须注明危险废物的名称、来源、数量、特性和包装容器的类别、入库日期、存放库位、废物出库日期及接收单位名称，危险废物的记录和货单在危险废物回取后应继续保留3年；必须定期对所贮存的危险废物包装容器及贮存设施进行检查，发现破损应及时采取措施清理更换。</w:t>
      </w:r>
    </w:p>
    <w:p w14:paraId="41A34627">
      <w:pPr>
        <w:ind w:firstLine="480" w:firstLineChars="200"/>
        <w:rPr>
          <w:color w:val="auto"/>
          <w:highlight w:val="none"/>
        </w:rPr>
      </w:pPr>
      <w:r>
        <w:rPr>
          <w:color w:val="auto"/>
          <w:highlight w:val="none"/>
        </w:rPr>
        <w:t>危险废物的转移严格执行《危险废物转移管理办法》</w:t>
      </w:r>
      <w:r>
        <w:rPr>
          <w:rFonts w:hint="eastAsia"/>
          <w:color w:val="auto"/>
          <w:highlight w:val="none"/>
          <w:lang w:eastAsia="zh-CN"/>
        </w:rPr>
        <w:t>（生态环境部 公安部 交通运输部 部令第23号）</w:t>
      </w:r>
      <w:r>
        <w:rPr>
          <w:color w:val="auto"/>
          <w:highlight w:val="none"/>
        </w:rPr>
        <w:t>中的有关规定和要求。</w:t>
      </w:r>
    </w:p>
    <w:p w14:paraId="2D1F72D6">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固体废物污染防治措施可行性论证</w:t>
      </w:r>
    </w:p>
    <w:p w14:paraId="3A81792F">
      <w:pPr>
        <w:ind w:left="480" w:right="6" w:firstLine="0"/>
        <w:rPr>
          <w:color w:val="auto"/>
          <w:highlight w:val="none"/>
        </w:rPr>
      </w:pPr>
      <w:r>
        <w:rPr>
          <w:rFonts w:hint="eastAsia"/>
          <w:color w:val="auto"/>
          <w:highlight w:val="none"/>
        </w:rPr>
        <w:t>（1）</w:t>
      </w:r>
      <w:r>
        <w:rPr>
          <w:color w:val="auto"/>
          <w:highlight w:val="none"/>
        </w:rPr>
        <w:t>航空垃圾和生活垃圾处理措施可行性论证</w:t>
      </w:r>
    </w:p>
    <w:p w14:paraId="7AA219EE">
      <w:pPr>
        <w:ind w:firstLine="402"/>
        <w:rPr>
          <w:color w:val="auto"/>
          <w:highlight w:val="none"/>
        </w:rPr>
      </w:pPr>
      <w:r>
        <w:rPr>
          <w:rFonts w:hint="eastAsia"/>
          <w:color w:val="auto"/>
          <w:highlight w:val="none"/>
        </w:rPr>
        <w:t>本项目航空垃圾、生活垃圾等依托精河县城镇垃圾场进行处置。精河县城镇垃圾场由精河县滨河乡都城乡建设投资有限公司建设。于2017年10月16日以《关于博州精河县城镇垃圾场建设项目环境影响报告书的批复》（博州环评字〔2017〕46号）取得原博尔塔拉蒙古自治州环境保护局环评批复，并于2019年9月14日完成自主验收。</w:t>
      </w:r>
      <w:r>
        <w:rPr>
          <w:rFonts w:hint="eastAsia" w:cs="Times New Roman"/>
          <w:color w:val="auto"/>
          <w:szCs w:val="21"/>
          <w:highlight w:val="none"/>
          <w:lang w:val="en-US" w:eastAsia="zh-CN"/>
        </w:rPr>
        <w:t>有效库容200×10</w:t>
      </w:r>
      <w:r>
        <w:rPr>
          <w:rFonts w:hint="eastAsia" w:cs="Times New Roman"/>
          <w:color w:val="auto"/>
          <w:szCs w:val="21"/>
          <w:highlight w:val="none"/>
          <w:vertAlign w:val="superscript"/>
          <w:lang w:val="en-US" w:eastAsia="zh-CN"/>
        </w:rPr>
        <w:t>4</w:t>
      </w:r>
      <w:r>
        <w:rPr>
          <w:rFonts w:hint="eastAsia" w:cs="Times New Roman"/>
          <w:color w:val="auto"/>
          <w:szCs w:val="21"/>
          <w:highlight w:val="none"/>
          <w:lang w:val="en-US" w:eastAsia="zh-CN"/>
        </w:rPr>
        <w:t>m</w:t>
      </w:r>
      <w:r>
        <w:rPr>
          <w:rFonts w:hint="eastAsia" w:cs="Times New Roman"/>
          <w:color w:val="auto"/>
          <w:szCs w:val="21"/>
          <w:highlight w:val="none"/>
          <w:vertAlign w:val="superscript"/>
          <w:lang w:val="en-US" w:eastAsia="zh-CN"/>
        </w:rPr>
        <w:t>3</w:t>
      </w:r>
      <w:r>
        <w:rPr>
          <w:rFonts w:hint="eastAsia" w:cs="Times New Roman"/>
          <w:color w:val="auto"/>
          <w:szCs w:val="21"/>
          <w:highlight w:val="none"/>
          <w:lang w:val="en-US" w:eastAsia="zh-CN"/>
        </w:rPr>
        <w:t>，目前日处理垃圾200t/d，2030年预计日处理垃圾量290t/d。项目本期航空垃圾、生活垃圾产生量为6.7374t/a（约合0.018t/d），精河县城镇垃圾场余量充足，可以满足本期固废处理需求</w:t>
      </w:r>
      <w:r>
        <w:rPr>
          <w:rFonts w:hint="eastAsia"/>
          <w:color w:val="auto"/>
          <w:highlight w:val="none"/>
        </w:rPr>
        <w:t>。</w:t>
      </w:r>
    </w:p>
    <w:p w14:paraId="53DEF72A">
      <w:pPr>
        <w:ind w:left="480" w:right="6" w:firstLine="0"/>
        <w:rPr>
          <w:color w:val="auto"/>
          <w:highlight w:val="none"/>
        </w:rPr>
      </w:pPr>
      <w:r>
        <w:rPr>
          <w:rFonts w:hint="eastAsia"/>
          <w:color w:val="auto"/>
          <w:highlight w:val="none"/>
        </w:rPr>
        <w:t>（2）</w:t>
      </w:r>
      <w:r>
        <w:rPr>
          <w:color w:val="auto"/>
          <w:highlight w:val="none"/>
        </w:rPr>
        <w:t>污油、油泥处理处置可行性论证</w:t>
      </w:r>
    </w:p>
    <w:p w14:paraId="77F5A59B">
      <w:pPr>
        <w:ind w:firstLine="480" w:firstLineChars="200"/>
        <w:rPr>
          <w:color w:val="auto"/>
          <w:highlight w:val="none"/>
        </w:rPr>
      </w:pPr>
      <w:r>
        <w:rPr>
          <w:rFonts w:hint="eastAsia"/>
          <w:color w:val="auto"/>
          <w:highlight w:val="none"/>
          <w:lang w:val="en-US" w:eastAsia="zh-CN"/>
        </w:rPr>
        <w:t>油车棚</w:t>
      </w:r>
      <w:r>
        <w:rPr>
          <w:color w:val="auto"/>
          <w:highlight w:val="none"/>
        </w:rPr>
        <w:t>产生的污油和油泥</w:t>
      </w:r>
      <w:r>
        <w:rPr>
          <w:rFonts w:hint="eastAsia"/>
          <w:color w:val="auto"/>
          <w:highlight w:val="none"/>
        </w:rPr>
        <w:t>、废机油</w:t>
      </w:r>
      <w:r>
        <w:rPr>
          <w:rFonts w:hint="eastAsia"/>
          <w:color w:val="auto"/>
          <w:highlight w:val="none"/>
          <w:lang w:val="en-US" w:eastAsia="zh-CN"/>
        </w:rPr>
        <w:t>分类</w:t>
      </w:r>
      <w:r>
        <w:rPr>
          <w:color w:val="auto"/>
          <w:highlight w:val="none"/>
        </w:rPr>
        <w:t>收集，暂存于项目设置的</w:t>
      </w:r>
      <w:r>
        <w:rPr>
          <w:rFonts w:hint="eastAsia"/>
          <w:color w:val="auto"/>
          <w:highlight w:val="none"/>
          <w:lang w:eastAsia="zh-CN"/>
        </w:rPr>
        <w:t>危废贮存点</w:t>
      </w:r>
      <w:r>
        <w:rPr>
          <w:color w:val="auto"/>
          <w:highlight w:val="none"/>
        </w:rPr>
        <w:t>，最终由</w:t>
      </w:r>
      <w:r>
        <w:rPr>
          <w:rFonts w:hint="eastAsia"/>
          <w:color w:val="auto"/>
          <w:kern w:val="0"/>
          <w:highlight w:val="none"/>
        </w:rPr>
        <w:t>有</w:t>
      </w:r>
      <w:r>
        <w:rPr>
          <w:color w:val="auto"/>
          <w:highlight w:val="none"/>
        </w:rPr>
        <w:t>资质的单位回收处置。</w:t>
      </w:r>
    </w:p>
    <w:p w14:paraId="02D89D2A">
      <w:pPr>
        <w:pageBreakBefore w:val="0"/>
        <w:widowControl/>
        <w:kinsoku/>
        <w:wordWrap/>
        <w:overflowPunct/>
        <w:bidi w:val="0"/>
        <w:ind w:firstLine="480" w:firstLineChars="200"/>
        <w:jc w:val="both"/>
        <w:rPr>
          <w:rFonts w:hint="eastAsia" w:cs="Times New Roman"/>
          <w:color w:val="auto"/>
          <w:szCs w:val="21"/>
          <w:highlight w:val="none"/>
          <w:lang w:eastAsia="zh-CN"/>
        </w:rPr>
      </w:pPr>
      <w:r>
        <w:rPr>
          <w:color w:val="auto"/>
          <w:kern w:val="0"/>
          <w:highlight w:val="none"/>
        </w:rPr>
        <w:t>综上可知</w:t>
      </w:r>
      <w:r>
        <w:rPr>
          <w:rFonts w:hint="eastAsia"/>
          <w:color w:val="auto"/>
          <w:kern w:val="0"/>
          <w:highlight w:val="none"/>
        </w:rPr>
        <w:t>，</w:t>
      </w:r>
      <w:r>
        <w:rPr>
          <w:color w:val="auto"/>
          <w:kern w:val="0"/>
          <w:highlight w:val="none"/>
        </w:rPr>
        <w:t>本项目产生的</w:t>
      </w:r>
      <w:r>
        <w:rPr>
          <w:rFonts w:hint="eastAsia"/>
          <w:color w:val="auto"/>
          <w:kern w:val="0"/>
          <w:highlight w:val="none"/>
          <w:lang w:val="en-US" w:eastAsia="zh-CN"/>
        </w:rPr>
        <w:t>固废均</w:t>
      </w:r>
      <w:r>
        <w:rPr>
          <w:color w:val="auto"/>
          <w:kern w:val="0"/>
          <w:highlight w:val="none"/>
        </w:rPr>
        <w:t>能够得到妥善合理</w:t>
      </w:r>
      <w:r>
        <w:rPr>
          <w:rFonts w:hint="eastAsia"/>
          <w:color w:val="auto"/>
          <w:kern w:val="0"/>
          <w:highlight w:val="none"/>
          <w:lang w:eastAsia="zh-CN"/>
        </w:rPr>
        <w:t>地</w:t>
      </w:r>
      <w:r>
        <w:rPr>
          <w:color w:val="auto"/>
          <w:kern w:val="0"/>
          <w:highlight w:val="none"/>
        </w:rPr>
        <w:t>处置，对项目周围环境的影响较小。本项目</w:t>
      </w:r>
      <w:r>
        <w:rPr>
          <w:rFonts w:hint="eastAsia"/>
          <w:color w:val="auto"/>
          <w:kern w:val="0"/>
          <w:highlight w:val="none"/>
          <w:lang w:eastAsia="zh-CN"/>
        </w:rPr>
        <w:t>危废贮存点</w:t>
      </w:r>
      <w:r>
        <w:rPr>
          <w:color w:val="auto"/>
          <w:kern w:val="0"/>
          <w:highlight w:val="none"/>
        </w:rPr>
        <w:t>按照</w:t>
      </w:r>
      <w:r>
        <w:rPr>
          <w:color w:val="auto"/>
          <w:highlight w:val="none"/>
        </w:rPr>
        <w:t>《危险废物贮存污染控制标准》（GB18597-2023）</w:t>
      </w:r>
      <w:r>
        <w:rPr>
          <w:color w:val="auto"/>
          <w:kern w:val="0"/>
          <w:highlight w:val="none"/>
        </w:rPr>
        <w:t>有关要求建设，危险废物的转移严格执行《危险废物转移管理办法》</w:t>
      </w:r>
      <w:r>
        <w:rPr>
          <w:rFonts w:hint="eastAsia"/>
          <w:color w:val="auto"/>
          <w:kern w:val="0"/>
          <w:highlight w:val="none"/>
        </w:rPr>
        <w:t>（生态环境部 公安部</w:t>
      </w:r>
      <w:r>
        <w:rPr>
          <w:rFonts w:hint="eastAsia"/>
          <w:color w:val="auto"/>
          <w:kern w:val="0"/>
          <w:highlight w:val="none"/>
          <w:lang w:val="en-US" w:eastAsia="zh-CN"/>
        </w:rPr>
        <w:t xml:space="preserve"> </w:t>
      </w:r>
      <w:r>
        <w:rPr>
          <w:rFonts w:hint="eastAsia"/>
          <w:color w:val="auto"/>
          <w:kern w:val="0"/>
          <w:highlight w:val="none"/>
        </w:rPr>
        <w:t>交通运输部 部令第23号）</w:t>
      </w:r>
      <w:r>
        <w:rPr>
          <w:color w:val="auto"/>
          <w:kern w:val="0"/>
          <w:highlight w:val="none"/>
        </w:rPr>
        <w:t>中的有关规定和要求。该措施符合国家要求，技术可行，经济合理，总体可行</w:t>
      </w:r>
      <w:r>
        <w:rPr>
          <w:rFonts w:hint="eastAsia"/>
          <w:color w:val="auto"/>
          <w:highlight w:val="none"/>
        </w:rPr>
        <w:t>。</w:t>
      </w:r>
    </w:p>
    <w:p w14:paraId="076011D5">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14" w:name="_Toc9362"/>
      <w:r>
        <w:rPr>
          <w:rFonts w:hint="eastAsia" w:ascii="Times New Roman" w:hAnsi="Times New Roman" w:eastAsia="黑体" w:cs="Times New Roman"/>
          <w:bCs/>
          <w:color w:val="auto"/>
          <w:spacing w:val="0"/>
          <w:w w:val="100"/>
          <w:kern w:val="28"/>
          <w:sz w:val="30"/>
          <w:szCs w:val="30"/>
          <w:highlight w:val="none"/>
          <w:lang w:val="en-US" w:eastAsia="zh-CN" w:bidi="ar-SA"/>
        </w:rPr>
        <w:t>环境风险防范措施及可行性论证</w:t>
      </w:r>
      <w:bookmarkEnd w:id="314"/>
    </w:p>
    <w:p w14:paraId="5AC0869A">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（1）机场</w:t>
      </w:r>
      <w:r>
        <w:rPr>
          <w:rFonts w:hint="eastAsia" w:cs="Times New Roman"/>
          <w:color w:val="auto"/>
          <w:szCs w:val="21"/>
          <w:highlight w:val="none"/>
          <w:lang w:val="en-US" w:eastAsia="zh-CN"/>
        </w:rPr>
        <w:t>油车棚须</w:t>
      </w:r>
      <w:r>
        <w:rPr>
          <w:rFonts w:hint="eastAsia" w:cs="Times New Roman"/>
          <w:color w:val="auto"/>
          <w:szCs w:val="21"/>
          <w:highlight w:val="none"/>
          <w:lang w:eastAsia="zh-CN"/>
        </w:rPr>
        <w:t>采取防渗措施，避免污染周围地下水。</w:t>
      </w:r>
    </w:p>
    <w:p w14:paraId="70B9B118">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（2）本环评建议</w:t>
      </w:r>
      <w:r>
        <w:rPr>
          <w:rFonts w:hint="eastAsia" w:cs="Times New Roman"/>
          <w:color w:val="auto"/>
          <w:szCs w:val="21"/>
          <w:highlight w:val="none"/>
          <w:lang w:val="en-US" w:eastAsia="zh-CN"/>
        </w:rPr>
        <w:t>在</w:t>
      </w:r>
      <w:r>
        <w:rPr>
          <w:rFonts w:hint="eastAsia" w:cs="Times New Roman"/>
          <w:color w:val="auto"/>
          <w:szCs w:val="21"/>
          <w:highlight w:val="none"/>
          <w:lang w:eastAsia="zh-CN"/>
        </w:rPr>
        <w:t>油车棚下游设置不小于82.45m</w:t>
      </w:r>
      <w:r>
        <w:rPr>
          <w:rFonts w:hint="eastAsia" w:cs="Times New Roman"/>
          <w:color w:val="auto"/>
          <w:szCs w:val="21"/>
          <w:highlight w:val="none"/>
          <w:vertAlign w:val="superscript"/>
          <w:lang w:eastAsia="zh-CN"/>
        </w:rPr>
        <w:t>3</w:t>
      </w:r>
      <w:r>
        <w:rPr>
          <w:rFonts w:hint="eastAsia" w:cs="Times New Roman"/>
          <w:color w:val="auto"/>
          <w:szCs w:val="21"/>
          <w:highlight w:val="none"/>
          <w:lang w:eastAsia="zh-CN"/>
        </w:rPr>
        <w:t>的</w:t>
      </w:r>
      <w:r>
        <w:rPr>
          <w:rFonts w:hint="eastAsia" w:cs="Times New Roman"/>
          <w:color w:val="auto"/>
          <w:szCs w:val="21"/>
          <w:highlight w:val="none"/>
          <w:lang w:val="en-US" w:eastAsia="zh-CN"/>
        </w:rPr>
        <w:t>防渗</w:t>
      </w:r>
      <w:r>
        <w:rPr>
          <w:rFonts w:hint="eastAsia" w:cs="Times New Roman"/>
          <w:color w:val="auto"/>
          <w:szCs w:val="21"/>
          <w:highlight w:val="none"/>
          <w:lang w:eastAsia="zh-CN"/>
        </w:rPr>
        <w:t>事故池，在发生事故时可满足暂存事故水的需求，防止含油污水污染周围土壤和地下水。</w:t>
      </w:r>
    </w:p>
    <w:p w14:paraId="3EA82599">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（3）火灾爆炸事故防范措施</w:t>
      </w:r>
    </w:p>
    <w:p w14:paraId="116E84EC">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航空煤油储运时禁止使用易产生火花的机械设备和工具，罐装时应注意流速不超过3m/s，且有接地装置，防止静电积聚。</w:t>
      </w:r>
    </w:p>
    <w:p w14:paraId="3A33A470">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（4）消防救援</w:t>
      </w:r>
    </w:p>
    <w:p w14:paraId="540DB899">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根据资料，</w:t>
      </w:r>
      <w:r>
        <w:rPr>
          <w:rFonts w:hint="eastAsia" w:cs="Times New Roman"/>
          <w:color w:val="auto"/>
          <w:szCs w:val="21"/>
          <w:highlight w:val="none"/>
          <w:lang w:val="en-US" w:eastAsia="zh-CN"/>
        </w:rPr>
        <w:t>机场本期</w:t>
      </w:r>
      <w:r>
        <w:rPr>
          <w:rFonts w:hint="eastAsia" w:cs="Times New Roman"/>
          <w:color w:val="auto"/>
          <w:szCs w:val="21"/>
          <w:highlight w:val="none"/>
          <w:lang w:eastAsia="zh-CN"/>
        </w:rPr>
        <w:t>消防救援依托精河县相关部门，在特种车库设置消防车位。机场签订消防保障协议，保证机场飞机运行期间相关人员在现场执勤，以保障消防救援应答时间不超过3min的规定，能满足在规定驰救时间内到达事故地点的要求；除此之外机场</w:t>
      </w:r>
      <w:r>
        <w:rPr>
          <w:rFonts w:hint="eastAsia" w:cs="Times New Roman"/>
          <w:color w:val="auto"/>
          <w:szCs w:val="21"/>
          <w:highlight w:val="none"/>
          <w:lang w:val="en-US" w:eastAsia="zh-CN"/>
        </w:rPr>
        <w:t>油车棚</w:t>
      </w:r>
      <w:r>
        <w:rPr>
          <w:rFonts w:hint="eastAsia" w:cs="Times New Roman"/>
          <w:color w:val="auto"/>
          <w:szCs w:val="21"/>
          <w:highlight w:val="none"/>
          <w:lang w:eastAsia="zh-CN"/>
        </w:rPr>
        <w:t>配备相应的消防设备，防止</w:t>
      </w:r>
      <w:r>
        <w:rPr>
          <w:rFonts w:hint="eastAsia" w:cs="Times New Roman"/>
          <w:color w:val="auto"/>
          <w:szCs w:val="21"/>
          <w:highlight w:val="none"/>
          <w:lang w:val="en-US" w:eastAsia="zh-CN"/>
        </w:rPr>
        <w:t>加油</w:t>
      </w:r>
      <w:r>
        <w:rPr>
          <w:rFonts w:hint="eastAsia" w:cs="Times New Roman"/>
          <w:color w:val="auto"/>
          <w:szCs w:val="21"/>
          <w:highlight w:val="none"/>
          <w:lang w:eastAsia="zh-CN"/>
        </w:rPr>
        <w:t>设备火灾风险。</w:t>
      </w:r>
    </w:p>
    <w:p w14:paraId="59AE7FB4">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（5）安全撤离</w:t>
      </w:r>
    </w:p>
    <w:p w14:paraId="2D14A37A">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事故状态下可能因CO浓度超标（MAC）引起部分人感觉不适。因此，在事故发生时，应迅速将位于下风向环境风险影响范围人员进行紧急疏散、撤离。</w:t>
      </w:r>
    </w:p>
    <w:p w14:paraId="241A9FC6">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（6）可行性论证</w:t>
      </w:r>
    </w:p>
    <w:p w14:paraId="66CFD02B">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环境风险措施主要为工程措施和风险防范措施，上述措施实施均无困难，技术成熟，经济合理，总体可行。</w:t>
      </w:r>
    </w:p>
    <w:p w14:paraId="7F55386B">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15" w:name="_Toc31018"/>
      <w:r>
        <w:rPr>
          <w:rFonts w:hint="eastAsia" w:ascii="Times New Roman" w:hAnsi="Times New Roman" w:eastAsia="黑体" w:cs="Times New Roman"/>
          <w:bCs/>
          <w:color w:val="auto"/>
          <w:spacing w:val="0"/>
          <w:w w:val="100"/>
          <w:kern w:val="28"/>
          <w:sz w:val="30"/>
          <w:szCs w:val="30"/>
          <w:highlight w:val="none"/>
          <w:lang w:val="en-US" w:eastAsia="zh-CN" w:bidi="ar-SA"/>
        </w:rPr>
        <w:t>电磁辐射污染防治措施及可行性论证</w:t>
      </w:r>
      <w:bookmarkEnd w:id="315"/>
    </w:p>
    <w:p w14:paraId="33879BC8">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拟建精河通用机场本期为非仪表跑道，不设导航设备；航管工程中电磁辐射源主要为甚高频通信系统，</w:t>
      </w:r>
      <w:r>
        <w:rPr>
          <w:rFonts w:hint="eastAsia" w:cs="Times New Roman"/>
          <w:color w:val="auto"/>
          <w:szCs w:val="21"/>
          <w:highlight w:val="none"/>
          <w:lang w:val="en-US" w:eastAsia="zh-CN"/>
        </w:rPr>
        <w:t>均为</w:t>
      </w:r>
      <w:r>
        <w:rPr>
          <w:rFonts w:hint="eastAsia" w:cs="Times New Roman"/>
          <w:color w:val="auto"/>
          <w:szCs w:val="21"/>
          <w:highlight w:val="none"/>
          <w:lang w:eastAsia="zh-CN"/>
        </w:rPr>
        <w:t>发射功率在300W以下的豁免设备。</w:t>
      </w:r>
    </w:p>
    <w:p w14:paraId="2509171F">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16" w:name="_Toc30366"/>
      <w:r>
        <w:rPr>
          <w:rFonts w:hint="eastAsia" w:ascii="Times New Roman" w:hAnsi="Times New Roman" w:eastAsia="黑体" w:cs="Times New Roman"/>
          <w:bCs/>
          <w:color w:val="auto"/>
          <w:spacing w:val="0"/>
          <w:w w:val="100"/>
          <w:kern w:val="28"/>
          <w:sz w:val="30"/>
          <w:szCs w:val="30"/>
          <w:highlight w:val="none"/>
          <w:lang w:val="en-US" w:eastAsia="zh-CN" w:bidi="ar-SA"/>
        </w:rPr>
        <w:t>环境保护措施的投资估算</w:t>
      </w:r>
      <w:bookmarkEnd w:id="316"/>
    </w:p>
    <w:p w14:paraId="53D0B71E">
      <w:pPr>
        <w:ind w:firstLine="480" w:firstLineChars="200"/>
        <w:rPr>
          <w:color w:val="auto"/>
          <w:highlight w:val="none"/>
        </w:rPr>
      </w:pPr>
      <w:r>
        <w:rPr>
          <w:rFonts w:hint="eastAsia"/>
          <w:color w:val="auto"/>
          <w:highlight w:val="none"/>
          <w:lang w:val="en-US" w:eastAsia="zh-CN"/>
        </w:rPr>
        <w:t>本项目</w:t>
      </w:r>
      <w:r>
        <w:rPr>
          <w:rFonts w:hint="eastAsia"/>
          <w:color w:val="auto"/>
          <w:highlight w:val="none"/>
        </w:rPr>
        <w:t>总投资12624万元（不含场内配套工程、场外配套工程费用），除积极争取国家、民航资金支持外，申请自治区民航专项建设资金，其余由地方安排财政资金解决，按全额资本金考虑，不考虑建设期利息。</w:t>
      </w:r>
    </w:p>
    <w:p w14:paraId="3322E465">
      <w:pPr>
        <w:ind w:firstLine="480" w:firstLineChars="200"/>
        <w:rPr>
          <w:color w:val="auto"/>
          <w:highlight w:val="none"/>
        </w:rPr>
      </w:pPr>
      <w:r>
        <w:rPr>
          <w:color w:val="auto"/>
          <w:highlight w:val="none"/>
        </w:rPr>
        <w:t>用于项目污染防治、保护环境的投资即为环保投资（根据本项目的污染特点，项目拟采取的环保工程主要包括</w:t>
      </w:r>
      <w:r>
        <w:rPr>
          <w:rFonts w:hint="eastAsia"/>
          <w:color w:val="auto"/>
          <w:highlight w:val="none"/>
          <w:lang w:val="en-US" w:eastAsia="zh-CN"/>
        </w:rPr>
        <w:t>生态保护措施、</w:t>
      </w:r>
      <w:r>
        <w:rPr>
          <w:color w:val="auto"/>
          <w:highlight w:val="none"/>
        </w:rPr>
        <w:t>污水处理、固体废物处理处置、环境绿化和水土保持措施等，其环保投资估算见</w:t>
      </w:r>
      <w:r>
        <w:rPr>
          <w:rFonts w:hint="eastAsia"/>
          <w:color w:val="auto"/>
          <w:highlight w:val="none"/>
          <w:lang w:val="en-US" w:eastAsia="zh-CN"/>
        </w:rPr>
        <w:t>下</w:t>
      </w:r>
      <w:r>
        <w:rPr>
          <w:color w:val="auto"/>
          <w:highlight w:val="none"/>
        </w:rPr>
        <w:t>表。</w:t>
      </w:r>
    </w:p>
    <w:p w14:paraId="4D63D302">
      <w:pPr>
        <w:ind w:firstLine="0"/>
        <w:jc w:val="center"/>
        <w:rPr>
          <w:rFonts w:ascii="黑体" w:hAnsi="黑体" w:eastAsia="黑体"/>
          <w:bCs/>
          <w:color w:val="auto"/>
          <w:sz w:val="21"/>
          <w:szCs w:val="18"/>
          <w:highlight w:val="none"/>
        </w:rPr>
      </w:pPr>
      <w:r>
        <w:rPr>
          <w:rFonts w:ascii="黑体" w:hAnsi="黑体" w:eastAsia="黑体"/>
          <w:bCs/>
          <w:color w:val="auto"/>
          <w:sz w:val="21"/>
          <w:szCs w:val="18"/>
          <w:highlight w:val="none"/>
        </w:rPr>
        <w:t>表</w:t>
      </w:r>
      <w:r>
        <w:rPr>
          <w:rFonts w:hint="eastAsia" w:ascii="黑体" w:hAnsi="黑体" w:eastAsia="黑体"/>
          <w:bCs/>
          <w:color w:val="auto"/>
          <w:sz w:val="21"/>
          <w:szCs w:val="18"/>
          <w:highlight w:val="none"/>
          <w:lang w:val="en-US" w:eastAsia="zh-CN"/>
        </w:rPr>
        <w:t>6.10-</w:t>
      </w:r>
      <w:r>
        <w:rPr>
          <w:rFonts w:ascii="黑体" w:hAnsi="黑体" w:eastAsia="黑体"/>
          <w:bCs/>
          <w:color w:val="auto"/>
          <w:sz w:val="21"/>
          <w:szCs w:val="18"/>
          <w:highlight w:val="none"/>
        </w:rPr>
        <w:t>1    项目环保设施与投资估算一览表</w:t>
      </w:r>
    </w:p>
    <w:tbl>
      <w:tblPr>
        <w:tblStyle w:val="40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804"/>
        <w:gridCol w:w="1153"/>
        <w:gridCol w:w="4662"/>
        <w:gridCol w:w="1507"/>
      </w:tblGrid>
      <w:tr w14:paraId="40AF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Align w:val="center"/>
          </w:tcPr>
          <w:p w14:paraId="6C9E76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序号</w:t>
            </w:r>
          </w:p>
        </w:tc>
        <w:tc>
          <w:tcPr>
            <w:tcW w:w="1122" w:type="pct"/>
            <w:gridSpan w:val="2"/>
            <w:vAlign w:val="center"/>
          </w:tcPr>
          <w:p w14:paraId="6A9046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污染源</w:t>
            </w:r>
          </w:p>
        </w:tc>
        <w:tc>
          <w:tcPr>
            <w:tcW w:w="2673" w:type="pct"/>
            <w:vAlign w:val="center"/>
          </w:tcPr>
          <w:p w14:paraId="2C280B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治理措施</w:t>
            </w:r>
          </w:p>
        </w:tc>
        <w:tc>
          <w:tcPr>
            <w:tcW w:w="864" w:type="pct"/>
            <w:vAlign w:val="center"/>
          </w:tcPr>
          <w:p w14:paraId="49943C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投资（万元）</w:t>
            </w:r>
          </w:p>
        </w:tc>
      </w:tr>
      <w:tr w14:paraId="11736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Align w:val="center"/>
          </w:tcPr>
          <w:p w14:paraId="330D7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一</w:t>
            </w:r>
          </w:p>
        </w:tc>
        <w:tc>
          <w:tcPr>
            <w:tcW w:w="4659" w:type="pct"/>
            <w:gridSpan w:val="4"/>
            <w:vAlign w:val="center"/>
          </w:tcPr>
          <w:p w14:paraId="7B3B62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施工期</w:t>
            </w:r>
          </w:p>
        </w:tc>
      </w:tr>
      <w:tr w14:paraId="72446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Align w:val="center"/>
          </w:tcPr>
          <w:p w14:paraId="79FA7C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1</w:t>
            </w:r>
          </w:p>
        </w:tc>
        <w:tc>
          <w:tcPr>
            <w:tcW w:w="1122" w:type="pct"/>
            <w:gridSpan w:val="2"/>
            <w:vAlign w:val="center"/>
          </w:tcPr>
          <w:p w14:paraId="39062C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大气污染防治</w:t>
            </w:r>
          </w:p>
        </w:tc>
        <w:tc>
          <w:tcPr>
            <w:tcW w:w="2673" w:type="pct"/>
            <w:vAlign w:val="center"/>
          </w:tcPr>
          <w:p w14:paraId="76200A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围挡、洒水、</w:t>
            </w:r>
            <w:r>
              <w:rPr>
                <w:rFonts w:hint="eastAsia"/>
                <w:color w:val="auto"/>
                <w:sz w:val="21"/>
                <w:szCs w:val="22"/>
                <w:highlight w:val="none"/>
                <w:lang w:val="en-US" w:eastAsia="zh-CN"/>
              </w:rPr>
              <w:t>喷淋降尘、</w:t>
            </w:r>
            <w:r>
              <w:rPr>
                <w:rFonts w:hint="default"/>
                <w:color w:val="auto"/>
                <w:sz w:val="21"/>
                <w:szCs w:val="22"/>
                <w:highlight w:val="none"/>
              </w:rPr>
              <w:t>防尘网</w:t>
            </w:r>
            <w:r>
              <w:rPr>
                <w:rFonts w:hint="eastAsia"/>
                <w:color w:val="auto"/>
                <w:sz w:val="21"/>
                <w:szCs w:val="22"/>
                <w:highlight w:val="none"/>
                <w:lang w:eastAsia="zh-CN"/>
              </w:rPr>
              <w:t>、车辆冲洗</w:t>
            </w:r>
            <w:r>
              <w:rPr>
                <w:rFonts w:hint="default"/>
                <w:color w:val="auto"/>
                <w:sz w:val="21"/>
                <w:szCs w:val="22"/>
                <w:highlight w:val="none"/>
              </w:rPr>
              <w:t>等</w:t>
            </w:r>
          </w:p>
        </w:tc>
        <w:tc>
          <w:tcPr>
            <w:tcW w:w="864" w:type="pct"/>
            <w:vAlign w:val="center"/>
          </w:tcPr>
          <w:p w14:paraId="58968F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宋体"/>
                <w:color w:val="auto"/>
                <w:sz w:val="21"/>
                <w:szCs w:val="22"/>
                <w:highlight w:val="none"/>
                <w:lang w:val="en-US" w:eastAsia="zh-CN"/>
              </w:rPr>
            </w:pPr>
            <w:r>
              <w:rPr>
                <w:rFonts w:hint="eastAsia"/>
                <w:color w:val="auto"/>
                <w:sz w:val="21"/>
                <w:szCs w:val="22"/>
                <w:highlight w:val="none"/>
                <w:lang w:val="en-US" w:eastAsia="zh-CN"/>
              </w:rPr>
              <w:t>30</w:t>
            </w:r>
          </w:p>
        </w:tc>
      </w:tr>
      <w:tr w14:paraId="71D9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Align w:val="center"/>
          </w:tcPr>
          <w:p w14:paraId="53FCA7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2</w:t>
            </w:r>
          </w:p>
        </w:tc>
        <w:tc>
          <w:tcPr>
            <w:tcW w:w="1122" w:type="pct"/>
            <w:gridSpan w:val="2"/>
            <w:vAlign w:val="center"/>
          </w:tcPr>
          <w:p w14:paraId="22D895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污水防治</w:t>
            </w:r>
          </w:p>
        </w:tc>
        <w:tc>
          <w:tcPr>
            <w:tcW w:w="2673" w:type="pct"/>
            <w:vAlign w:val="center"/>
          </w:tcPr>
          <w:p w14:paraId="00F974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沉淀池、隔油池</w:t>
            </w:r>
            <w:r>
              <w:rPr>
                <w:rFonts w:hint="eastAsia"/>
                <w:color w:val="auto"/>
                <w:sz w:val="21"/>
                <w:szCs w:val="22"/>
                <w:highlight w:val="none"/>
                <w:lang w:eastAsia="zh-CN"/>
              </w:rPr>
              <w:t>，及后期拆除恢复费用</w:t>
            </w:r>
          </w:p>
        </w:tc>
        <w:tc>
          <w:tcPr>
            <w:tcW w:w="864" w:type="pct"/>
            <w:vAlign w:val="center"/>
          </w:tcPr>
          <w:p w14:paraId="5FA454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宋体"/>
                <w:color w:val="auto"/>
                <w:sz w:val="21"/>
                <w:szCs w:val="22"/>
                <w:highlight w:val="none"/>
                <w:lang w:val="en-US" w:eastAsia="zh-CN"/>
              </w:rPr>
            </w:pPr>
            <w:r>
              <w:rPr>
                <w:rFonts w:hint="eastAsia"/>
                <w:color w:val="auto"/>
                <w:sz w:val="21"/>
                <w:szCs w:val="22"/>
                <w:highlight w:val="none"/>
                <w:lang w:val="en-US" w:eastAsia="zh-CN"/>
              </w:rPr>
              <w:t>20</w:t>
            </w:r>
          </w:p>
        </w:tc>
      </w:tr>
      <w:tr w14:paraId="0C87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Align w:val="center"/>
          </w:tcPr>
          <w:p w14:paraId="0563B0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3</w:t>
            </w:r>
          </w:p>
        </w:tc>
        <w:tc>
          <w:tcPr>
            <w:tcW w:w="1122" w:type="pct"/>
            <w:gridSpan w:val="2"/>
            <w:vAlign w:val="center"/>
          </w:tcPr>
          <w:p w14:paraId="7BFC00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噪声防治</w:t>
            </w:r>
          </w:p>
        </w:tc>
        <w:tc>
          <w:tcPr>
            <w:tcW w:w="2673" w:type="pct"/>
            <w:vAlign w:val="center"/>
          </w:tcPr>
          <w:p w14:paraId="0B436D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宋体"/>
                <w:color w:val="auto"/>
                <w:sz w:val="21"/>
                <w:szCs w:val="22"/>
                <w:highlight w:val="none"/>
                <w:lang w:val="en-US" w:eastAsia="zh-CN"/>
              </w:rPr>
            </w:pPr>
            <w:r>
              <w:rPr>
                <w:rFonts w:hint="default"/>
                <w:color w:val="auto"/>
                <w:sz w:val="21"/>
                <w:szCs w:val="22"/>
                <w:highlight w:val="none"/>
              </w:rPr>
              <w:t>施工设备降噪、减振措施、围挡</w:t>
            </w:r>
            <w:r>
              <w:rPr>
                <w:rFonts w:hint="eastAsia"/>
                <w:color w:val="auto"/>
                <w:sz w:val="21"/>
                <w:szCs w:val="22"/>
                <w:highlight w:val="none"/>
                <w:lang w:eastAsia="zh-CN"/>
              </w:rPr>
              <w:t>，</w:t>
            </w:r>
            <w:r>
              <w:rPr>
                <w:rFonts w:hint="eastAsia"/>
                <w:color w:val="auto"/>
                <w:sz w:val="21"/>
                <w:szCs w:val="22"/>
                <w:highlight w:val="none"/>
                <w:lang w:val="en-US" w:eastAsia="zh-CN"/>
              </w:rPr>
              <w:t>使用低噪声设备等</w:t>
            </w:r>
          </w:p>
        </w:tc>
        <w:tc>
          <w:tcPr>
            <w:tcW w:w="864" w:type="pct"/>
            <w:vAlign w:val="center"/>
          </w:tcPr>
          <w:p w14:paraId="2A7F96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eastAsia"/>
                <w:color w:val="auto"/>
                <w:sz w:val="21"/>
                <w:szCs w:val="22"/>
                <w:highlight w:val="none"/>
                <w:lang w:val="en-US" w:eastAsia="zh-CN"/>
              </w:rPr>
              <w:t>15</w:t>
            </w:r>
          </w:p>
        </w:tc>
      </w:tr>
      <w:tr w14:paraId="59E3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Align w:val="center"/>
          </w:tcPr>
          <w:p w14:paraId="53D907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4</w:t>
            </w:r>
          </w:p>
        </w:tc>
        <w:tc>
          <w:tcPr>
            <w:tcW w:w="1122" w:type="pct"/>
            <w:gridSpan w:val="2"/>
            <w:vAlign w:val="center"/>
          </w:tcPr>
          <w:p w14:paraId="7CC613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固体废物</w:t>
            </w:r>
          </w:p>
        </w:tc>
        <w:tc>
          <w:tcPr>
            <w:tcW w:w="2673" w:type="pct"/>
            <w:vAlign w:val="center"/>
          </w:tcPr>
          <w:p w14:paraId="16394C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宋体"/>
                <w:color w:val="auto"/>
                <w:sz w:val="21"/>
                <w:szCs w:val="22"/>
                <w:highlight w:val="none"/>
                <w:lang w:val="en-US" w:eastAsia="zh-CN"/>
              </w:rPr>
            </w:pPr>
            <w:r>
              <w:rPr>
                <w:rFonts w:hint="default"/>
                <w:color w:val="auto"/>
                <w:sz w:val="21"/>
                <w:szCs w:val="22"/>
                <w:highlight w:val="none"/>
              </w:rPr>
              <w:t>生活垃圾收集设施</w:t>
            </w:r>
            <w:r>
              <w:rPr>
                <w:rFonts w:hint="eastAsia"/>
                <w:color w:val="auto"/>
                <w:sz w:val="21"/>
                <w:szCs w:val="22"/>
                <w:highlight w:val="none"/>
                <w:lang w:eastAsia="zh-CN"/>
              </w:rPr>
              <w:t>、建筑垃圾分类处置、合规外运及处置费用</w:t>
            </w:r>
            <w:r>
              <w:rPr>
                <w:rFonts w:hint="eastAsia"/>
                <w:color w:val="auto"/>
                <w:sz w:val="21"/>
                <w:szCs w:val="22"/>
                <w:highlight w:val="none"/>
                <w:lang w:val="en-US" w:eastAsia="zh-CN"/>
              </w:rPr>
              <w:t>等</w:t>
            </w:r>
          </w:p>
        </w:tc>
        <w:tc>
          <w:tcPr>
            <w:tcW w:w="864" w:type="pct"/>
            <w:vAlign w:val="center"/>
          </w:tcPr>
          <w:p w14:paraId="5BA4B7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宋体"/>
                <w:color w:val="auto"/>
                <w:sz w:val="21"/>
                <w:szCs w:val="22"/>
                <w:highlight w:val="none"/>
                <w:lang w:val="en-US" w:eastAsia="zh-CN"/>
              </w:rPr>
            </w:pPr>
            <w:r>
              <w:rPr>
                <w:rFonts w:hint="eastAsia"/>
                <w:color w:val="auto"/>
                <w:sz w:val="21"/>
                <w:szCs w:val="22"/>
                <w:highlight w:val="none"/>
                <w:lang w:val="en-US" w:eastAsia="zh-CN"/>
              </w:rPr>
              <w:t>10</w:t>
            </w:r>
          </w:p>
        </w:tc>
      </w:tr>
      <w:tr w14:paraId="7BF8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Align w:val="center"/>
          </w:tcPr>
          <w:p w14:paraId="5A6292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5</w:t>
            </w:r>
          </w:p>
        </w:tc>
        <w:tc>
          <w:tcPr>
            <w:tcW w:w="1122" w:type="pct"/>
            <w:gridSpan w:val="2"/>
            <w:vAlign w:val="center"/>
          </w:tcPr>
          <w:p w14:paraId="2B8F15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生态保护措施</w:t>
            </w:r>
          </w:p>
        </w:tc>
        <w:tc>
          <w:tcPr>
            <w:tcW w:w="2673" w:type="pct"/>
            <w:vAlign w:val="center"/>
          </w:tcPr>
          <w:p w14:paraId="194101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eastAsia"/>
                <w:color w:val="auto"/>
                <w:sz w:val="21"/>
                <w:szCs w:val="22"/>
                <w:highlight w:val="none"/>
              </w:rPr>
              <w:t>表土剥离、保存和回用措施</w:t>
            </w:r>
            <w:r>
              <w:rPr>
                <w:rFonts w:hint="eastAsia"/>
                <w:color w:val="auto"/>
                <w:sz w:val="21"/>
                <w:szCs w:val="22"/>
                <w:highlight w:val="none"/>
                <w:lang w:eastAsia="zh-CN"/>
              </w:rPr>
              <w:t>，</w:t>
            </w:r>
            <w:r>
              <w:rPr>
                <w:rFonts w:hint="eastAsia"/>
                <w:color w:val="auto"/>
                <w:sz w:val="21"/>
                <w:szCs w:val="22"/>
                <w:highlight w:val="none"/>
              </w:rPr>
              <w:t>植被补偿及恢复、防治水土流失等措施</w:t>
            </w:r>
          </w:p>
        </w:tc>
        <w:tc>
          <w:tcPr>
            <w:tcW w:w="864" w:type="pct"/>
            <w:vAlign w:val="center"/>
          </w:tcPr>
          <w:p w14:paraId="739679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宋体"/>
                <w:color w:val="auto"/>
                <w:sz w:val="21"/>
                <w:szCs w:val="22"/>
                <w:highlight w:val="none"/>
                <w:lang w:val="en-US" w:eastAsia="zh-CN"/>
              </w:rPr>
            </w:pPr>
            <w:r>
              <w:rPr>
                <w:rFonts w:hint="eastAsia"/>
                <w:color w:val="auto"/>
                <w:sz w:val="21"/>
                <w:szCs w:val="22"/>
                <w:highlight w:val="none"/>
                <w:lang w:val="en-US" w:eastAsia="zh-CN"/>
              </w:rPr>
              <w:t>25</w:t>
            </w:r>
          </w:p>
        </w:tc>
      </w:tr>
      <w:tr w14:paraId="7E3C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Align w:val="center"/>
          </w:tcPr>
          <w:p w14:paraId="195F81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二</w:t>
            </w:r>
          </w:p>
        </w:tc>
        <w:tc>
          <w:tcPr>
            <w:tcW w:w="4659" w:type="pct"/>
            <w:gridSpan w:val="4"/>
            <w:vAlign w:val="center"/>
          </w:tcPr>
          <w:p w14:paraId="23E6E6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运营期</w:t>
            </w:r>
          </w:p>
        </w:tc>
      </w:tr>
      <w:tr w14:paraId="3C71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Align w:val="center"/>
          </w:tcPr>
          <w:p w14:paraId="789FEE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1</w:t>
            </w:r>
          </w:p>
        </w:tc>
        <w:tc>
          <w:tcPr>
            <w:tcW w:w="1122" w:type="pct"/>
            <w:gridSpan w:val="2"/>
            <w:vMerge w:val="restart"/>
            <w:vAlign w:val="center"/>
          </w:tcPr>
          <w:p w14:paraId="4AB229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污水防治</w:t>
            </w:r>
          </w:p>
        </w:tc>
        <w:tc>
          <w:tcPr>
            <w:tcW w:w="2673" w:type="pct"/>
            <w:vAlign w:val="center"/>
          </w:tcPr>
          <w:p w14:paraId="459D93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宋体"/>
                <w:color w:val="auto"/>
                <w:sz w:val="21"/>
                <w:szCs w:val="22"/>
                <w:highlight w:val="none"/>
                <w:lang w:val="en-US" w:eastAsia="zh-CN"/>
              </w:rPr>
            </w:pPr>
            <w:r>
              <w:rPr>
                <w:rFonts w:hint="default"/>
                <w:color w:val="auto"/>
                <w:sz w:val="21"/>
                <w:szCs w:val="22"/>
                <w:highlight w:val="none"/>
              </w:rPr>
              <w:t>一体化MBR设备及2000m</w:t>
            </w:r>
            <w:r>
              <w:rPr>
                <w:rFonts w:hint="eastAsia"/>
                <w:color w:val="auto"/>
                <w:sz w:val="21"/>
                <w:szCs w:val="22"/>
                <w:highlight w:val="none"/>
                <w:vertAlign w:val="superscript"/>
                <w:lang w:val="en-US" w:eastAsia="zh-CN"/>
              </w:rPr>
              <w:t>3</w:t>
            </w:r>
            <w:r>
              <w:rPr>
                <w:rFonts w:hint="default"/>
                <w:color w:val="auto"/>
                <w:sz w:val="21"/>
                <w:szCs w:val="22"/>
                <w:highlight w:val="none"/>
              </w:rPr>
              <w:t>中水池</w:t>
            </w:r>
          </w:p>
        </w:tc>
        <w:tc>
          <w:tcPr>
            <w:tcW w:w="864" w:type="pct"/>
            <w:vAlign w:val="center"/>
          </w:tcPr>
          <w:p w14:paraId="7C4BA3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宋体"/>
                <w:color w:val="auto"/>
                <w:sz w:val="21"/>
                <w:szCs w:val="22"/>
                <w:highlight w:val="none"/>
                <w:lang w:val="en-US" w:eastAsia="zh-CN"/>
              </w:rPr>
            </w:pPr>
            <w:r>
              <w:rPr>
                <w:rFonts w:hint="eastAsia"/>
                <w:color w:val="auto"/>
                <w:sz w:val="21"/>
                <w:szCs w:val="22"/>
                <w:highlight w:val="none"/>
                <w:lang w:val="en-US" w:eastAsia="zh-CN"/>
              </w:rPr>
              <w:t>50</w:t>
            </w:r>
          </w:p>
        </w:tc>
      </w:tr>
      <w:tr w14:paraId="0AC5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Align w:val="center"/>
          </w:tcPr>
          <w:p w14:paraId="46CC82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2</w:t>
            </w:r>
          </w:p>
        </w:tc>
        <w:tc>
          <w:tcPr>
            <w:tcW w:w="1122" w:type="pct"/>
            <w:gridSpan w:val="2"/>
            <w:vMerge w:val="continue"/>
            <w:vAlign w:val="center"/>
          </w:tcPr>
          <w:p w14:paraId="05D8D4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p>
        </w:tc>
        <w:tc>
          <w:tcPr>
            <w:tcW w:w="2673" w:type="pct"/>
            <w:vAlign w:val="center"/>
          </w:tcPr>
          <w:p w14:paraId="556B3A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eastAsia"/>
                <w:color w:val="auto"/>
                <w:sz w:val="21"/>
                <w:szCs w:val="21"/>
                <w:highlight w:val="none"/>
                <w:lang w:val="en-US" w:eastAsia="zh-CN"/>
              </w:rPr>
              <w:t>油车棚防渗处理</w:t>
            </w:r>
            <w:r>
              <w:rPr>
                <w:rFonts w:hint="default"/>
                <w:color w:val="auto"/>
                <w:sz w:val="21"/>
                <w:szCs w:val="22"/>
                <w:highlight w:val="none"/>
              </w:rPr>
              <w:t>、污水处理设施</w:t>
            </w:r>
            <w:r>
              <w:rPr>
                <w:rFonts w:hint="eastAsia"/>
                <w:color w:val="auto"/>
                <w:sz w:val="21"/>
                <w:szCs w:val="22"/>
                <w:highlight w:val="none"/>
                <w:lang w:eastAsia="zh-CN"/>
              </w:rPr>
              <w:t>、危废暂存点</w:t>
            </w:r>
            <w:r>
              <w:rPr>
                <w:rFonts w:hint="eastAsia"/>
                <w:color w:val="auto"/>
                <w:sz w:val="21"/>
                <w:szCs w:val="22"/>
                <w:highlight w:val="none"/>
                <w:lang w:val="en-US" w:eastAsia="zh-CN"/>
              </w:rPr>
              <w:t>等重点区域</w:t>
            </w:r>
            <w:r>
              <w:rPr>
                <w:rFonts w:hint="default"/>
                <w:color w:val="auto"/>
                <w:sz w:val="21"/>
                <w:szCs w:val="22"/>
                <w:highlight w:val="none"/>
              </w:rPr>
              <w:t>防渗处理</w:t>
            </w:r>
          </w:p>
        </w:tc>
        <w:tc>
          <w:tcPr>
            <w:tcW w:w="864" w:type="pct"/>
            <w:vAlign w:val="center"/>
          </w:tcPr>
          <w:p w14:paraId="60F2D5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宋体"/>
                <w:color w:val="auto"/>
                <w:sz w:val="21"/>
                <w:szCs w:val="22"/>
                <w:highlight w:val="none"/>
                <w:lang w:val="en-US" w:eastAsia="zh-CN"/>
              </w:rPr>
            </w:pPr>
            <w:r>
              <w:rPr>
                <w:rFonts w:hint="eastAsia"/>
                <w:color w:val="auto"/>
                <w:sz w:val="21"/>
                <w:szCs w:val="22"/>
                <w:highlight w:val="none"/>
                <w:lang w:val="en-US" w:eastAsia="zh-CN"/>
              </w:rPr>
              <w:t>40</w:t>
            </w:r>
          </w:p>
        </w:tc>
      </w:tr>
      <w:tr w14:paraId="138E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Align w:val="center"/>
          </w:tcPr>
          <w:p w14:paraId="3D9C5B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3</w:t>
            </w:r>
          </w:p>
        </w:tc>
        <w:tc>
          <w:tcPr>
            <w:tcW w:w="1122" w:type="pct"/>
            <w:gridSpan w:val="2"/>
            <w:vAlign w:val="center"/>
          </w:tcPr>
          <w:p w14:paraId="5170FB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设备噪声</w:t>
            </w:r>
          </w:p>
        </w:tc>
        <w:tc>
          <w:tcPr>
            <w:tcW w:w="2673" w:type="pct"/>
            <w:vAlign w:val="center"/>
          </w:tcPr>
          <w:p w14:paraId="6B1E1B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消音器、隔声间等消声降噪措施</w:t>
            </w:r>
          </w:p>
        </w:tc>
        <w:tc>
          <w:tcPr>
            <w:tcW w:w="864" w:type="pct"/>
            <w:vAlign w:val="center"/>
          </w:tcPr>
          <w:p w14:paraId="03AB36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30</w:t>
            </w:r>
          </w:p>
        </w:tc>
      </w:tr>
      <w:tr w14:paraId="6F0D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Align w:val="center"/>
          </w:tcPr>
          <w:p w14:paraId="5624B9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4</w:t>
            </w:r>
          </w:p>
        </w:tc>
        <w:tc>
          <w:tcPr>
            <w:tcW w:w="1122" w:type="pct"/>
            <w:gridSpan w:val="2"/>
            <w:vAlign w:val="center"/>
          </w:tcPr>
          <w:p w14:paraId="2C30AE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固体废物</w:t>
            </w:r>
          </w:p>
        </w:tc>
        <w:tc>
          <w:tcPr>
            <w:tcW w:w="2673" w:type="pct"/>
            <w:vAlign w:val="center"/>
          </w:tcPr>
          <w:p w14:paraId="46EB27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2"/>
                <w:highlight w:val="none"/>
                <w:lang w:eastAsia="zh-CN"/>
              </w:rPr>
            </w:pPr>
            <w:r>
              <w:rPr>
                <w:rFonts w:hint="eastAsia"/>
                <w:color w:val="auto"/>
                <w:sz w:val="21"/>
                <w:szCs w:val="22"/>
                <w:highlight w:val="none"/>
                <w:lang w:eastAsia="zh-CN"/>
              </w:rPr>
              <w:t>危废贮存点</w:t>
            </w:r>
            <w:r>
              <w:rPr>
                <w:rFonts w:hint="default"/>
                <w:color w:val="auto"/>
                <w:sz w:val="21"/>
                <w:szCs w:val="22"/>
                <w:highlight w:val="none"/>
              </w:rPr>
              <w:t>及垃圾</w:t>
            </w:r>
            <w:r>
              <w:rPr>
                <w:rFonts w:hint="eastAsia"/>
                <w:color w:val="auto"/>
                <w:sz w:val="21"/>
                <w:szCs w:val="22"/>
                <w:highlight w:val="none"/>
                <w:lang w:val="en-US" w:eastAsia="zh-CN"/>
              </w:rPr>
              <w:t>站，与有资质单位签订危废处置协议、垃圾定期清运</w:t>
            </w:r>
          </w:p>
        </w:tc>
        <w:tc>
          <w:tcPr>
            <w:tcW w:w="864" w:type="pct"/>
            <w:vAlign w:val="center"/>
          </w:tcPr>
          <w:p w14:paraId="2C2633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宋体"/>
                <w:color w:val="auto"/>
                <w:sz w:val="21"/>
                <w:szCs w:val="22"/>
                <w:highlight w:val="none"/>
                <w:lang w:val="en-US" w:eastAsia="zh-CN"/>
              </w:rPr>
            </w:pPr>
            <w:r>
              <w:rPr>
                <w:rFonts w:hint="eastAsia"/>
                <w:color w:val="auto"/>
                <w:sz w:val="21"/>
                <w:szCs w:val="22"/>
                <w:highlight w:val="none"/>
                <w:lang w:val="en-US" w:eastAsia="zh-CN"/>
              </w:rPr>
              <w:t>70</w:t>
            </w:r>
          </w:p>
        </w:tc>
      </w:tr>
      <w:tr w14:paraId="087E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Align w:val="center"/>
          </w:tcPr>
          <w:p w14:paraId="0EFB79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5</w:t>
            </w:r>
          </w:p>
        </w:tc>
        <w:tc>
          <w:tcPr>
            <w:tcW w:w="461" w:type="pct"/>
            <w:vAlign w:val="center"/>
          </w:tcPr>
          <w:p w14:paraId="422B5F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废气</w:t>
            </w:r>
          </w:p>
          <w:p w14:paraId="7FAE95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治理</w:t>
            </w:r>
          </w:p>
        </w:tc>
        <w:tc>
          <w:tcPr>
            <w:tcW w:w="661" w:type="pct"/>
            <w:vAlign w:val="center"/>
          </w:tcPr>
          <w:p w14:paraId="13354E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餐饮油烟</w:t>
            </w:r>
          </w:p>
        </w:tc>
        <w:tc>
          <w:tcPr>
            <w:tcW w:w="2673" w:type="pct"/>
            <w:vAlign w:val="center"/>
          </w:tcPr>
          <w:p w14:paraId="728C29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2"/>
                <w:highlight w:val="none"/>
                <w:lang w:eastAsia="zh-CN"/>
              </w:rPr>
            </w:pPr>
            <w:r>
              <w:rPr>
                <w:rFonts w:hint="default"/>
                <w:color w:val="auto"/>
                <w:sz w:val="21"/>
                <w:szCs w:val="22"/>
                <w:highlight w:val="none"/>
              </w:rPr>
              <w:t>餐饮油烟净化器</w:t>
            </w:r>
            <w:r>
              <w:rPr>
                <w:rFonts w:hint="eastAsia"/>
                <w:color w:val="auto"/>
                <w:sz w:val="21"/>
                <w:szCs w:val="22"/>
                <w:highlight w:val="none"/>
                <w:lang w:eastAsia="zh-CN"/>
              </w:rPr>
              <w:t>，预留管道清洗维护费用</w:t>
            </w:r>
          </w:p>
        </w:tc>
        <w:tc>
          <w:tcPr>
            <w:tcW w:w="864" w:type="pct"/>
            <w:vAlign w:val="center"/>
          </w:tcPr>
          <w:p w14:paraId="2739A9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2"/>
                <w:highlight w:val="none"/>
                <w:lang w:eastAsia="zh-CN"/>
              </w:rPr>
            </w:pPr>
            <w:r>
              <w:rPr>
                <w:rFonts w:hint="eastAsia"/>
                <w:color w:val="auto"/>
                <w:sz w:val="21"/>
                <w:szCs w:val="22"/>
                <w:highlight w:val="none"/>
                <w:lang w:val="en-US" w:eastAsia="zh-CN"/>
              </w:rPr>
              <w:t>5</w:t>
            </w:r>
          </w:p>
        </w:tc>
      </w:tr>
      <w:tr w14:paraId="2AFD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Align w:val="center"/>
          </w:tcPr>
          <w:p w14:paraId="12DAF9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2"/>
                <w:highlight w:val="none"/>
                <w:lang w:eastAsia="zh-CN"/>
              </w:rPr>
            </w:pPr>
            <w:r>
              <w:rPr>
                <w:rFonts w:hint="eastAsia"/>
                <w:color w:val="auto"/>
                <w:sz w:val="21"/>
                <w:szCs w:val="22"/>
                <w:highlight w:val="none"/>
                <w:lang w:val="en-US" w:eastAsia="zh-CN"/>
              </w:rPr>
              <w:t>6</w:t>
            </w:r>
          </w:p>
        </w:tc>
        <w:tc>
          <w:tcPr>
            <w:tcW w:w="461" w:type="pct"/>
            <w:vMerge w:val="restart"/>
            <w:vAlign w:val="center"/>
          </w:tcPr>
          <w:p w14:paraId="683419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生态</w:t>
            </w:r>
          </w:p>
          <w:p w14:paraId="7424F8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治理</w:t>
            </w:r>
          </w:p>
        </w:tc>
        <w:tc>
          <w:tcPr>
            <w:tcW w:w="661" w:type="pct"/>
            <w:vAlign w:val="center"/>
          </w:tcPr>
          <w:p w14:paraId="0D2672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机场绿化</w:t>
            </w:r>
          </w:p>
        </w:tc>
        <w:tc>
          <w:tcPr>
            <w:tcW w:w="2673" w:type="pct"/>
            <w:vAlign w:val="center"/>
          </w:tcPr>
          <w:p w14:paraId="627B93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场内绿化</w:t>
            </w:r>
          </w:p>
        </w:tc>
        <w:tc>
          <w:tcPr>
            <w:tcW w:w="864" w:type="pct"/>
            <w:vAlign w:val="center"/>
          </w:tcPr>
          <w:p w14:paraId="6196F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140</w:t>
            </w:r>
          </w:p>
        </w:tc>
      </w:tr>
      <w:tr w14:paraId="429C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Merge w:val="restart"/>
            <w:vAlign w:val="center"/>
          </w:tcPr>
          <w:p w14:paraId="5592F4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2"/>
                <w:highlight w:val="none"/>
                <w:lang w:eastAsia="zh-CN"/>
              </w:rPr>
            </w:pPr>
            <w:r>
              <w:rPr>
                <w:rFonts w:hint="eastAsia"/>
                <w:color w:val="auto"/>
                <w:sz w:val="21"/>
                <w:szCs w:val="22"/>
                <w:highlight w:val="none"/>
                <w:lang w:val="en-US" w:eastAsia="zh-CN"/>
              </w:rPr>
              <w:t>7</w:t>
            </w:r>
          </w:p>
        </w:tc>
        <w:tc>
          <w:tcPr>
            <w:tcW w:w="461" w:type="pct"/>
            <w:vMerge w:val="continue"/>
            <w:vAlign w:val="center"/>
          </w:tcPr>
          <w:p w14:paraId="341EDF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p>
        </w:tc>
        <w:tc>
          <w:tcPr>
            <w:tcW w:w="661" w:type="pct"/>
            <w:vMerge w:val="restart"/>
            <w:vAlign w:val="center"/>
          </w:tcPr>
          <w:p w14:paraId="39A7CA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鸟类保护</w:t>
            </w:r>
          </w:p>
        </w:tc>
        <w:tc>
          <w:tcPr>
            <w:tcW w:w="2673" w:type="pct"/>
            <w:vAlign w:val="center"/>
          </w:tcPr>
          <w:p w14:paraId="12B7DC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2"/>
                <w:highlight w:val="none"/>
                <w:lang w:val="en-US" w:eastAsia="zh-CN"/>
              </w:rPr>
            </w:pPr>
            <w:r>
              <w:rPr>
                <w:rFonts w:hint="default"/>
                <w:color w:val="auto"/>
                <w:sz w:val="21"/>
                <w:szCs w:val="22"/>
                <w:highlight w:val="none"/>
              </w:rPr>
              <w:t>鸟类监测</w:t>
            </w:r>
            <w:r>
              <w:rPr>
                <w:rFonts w:hint="eastAsia"/>
                <w:color w:val="auto"/>
                <w:sz w:val="21"/>
                <w:szCs w:val="22"/>
                <w:highlight w:val="none"/>
                <w:lang w:eastAsia="zh-CN"/>
              </w:rPr>
              <w:t>，</w:t>
            </w:r>
            <w:r>
              <w:rPr>
                <w:rFonts w:hint="eastAsia"/>
                <w:color w:val="auto"/>
                <w:sz w:val="21"/>
                <w:szCs w:val="22"/>
                <w:highlight w:val="none"/>
                <w:lang w:val="en-US" w:eastAsia="zh-CN"/>
              </w:rPr>
              <w:t>可使用</w:t>
            </w:r>
            <w:r>
              <w:rPr>
                <w:rFonts w:hint="eastAsia"/>
                <w:color w:val="auto"/>
                <w:sz w:val="21"/>
                <w:szCs w:val="22"/>
                <w:highlight w:val="none"/>
                <w:lang w:eastAsia="zh-CN"/>
              </w:rPr>
              <w:t>高倍望远镜、雷达、声学监测等专业设备，以及建立观测点</w:t>
            </w:r>
          </w:p>
        </w:tc>
        <w:tc>
          <w:tcPr>
            <w:tcW w:w="864" w:type="pct"/>
            <w:vAlign w:val="center"/>
          </w:tcPr>
          <w:p w14:paraId="581929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宋体"/>
                <w:color w:val="auto"/>
                <w:sz w:val="21"/>
                <w:szCs w:val="22"/>
                <w:highlight w:val="none"/>
                <w:lang w:val="en-US" w:eastAsia="zh-CN"/>
              </w:rPr>
            </w:pPr>
            <w:r>
              <w:rPr>
                <w:rFonts w:hint="eastAsia"/>
                <w:color w:val="auto"/>
                <w:sz w:val="21"/>
                <w:szCs w:val="22"/>
                <w:highlight w:val="none"/>
                <w:lang w:val="en-US" w:eastAsia="zh-CN"/>
              </w:rPr>
              <w:t>120</w:t>
            </w:r>
          </w:p>
        </w:tc>
      </w:tr>
      <w:tr w14:paraId="54CB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Merge w:val="continue"/>
            <w:vAlign w:val="center"/>
          </w:tcPr>
          <w:p w14:paraId="329403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color w:val="auto"/>
                <w:sz w:val="21"/>
                <w:szCs w:val="22"/>
                <w:highlight w:val="none"/>
                <w:lang w:val="en-US" w:eastAsia="zh-CN"/>
              </w:rPr>
            </w:pPr>
          </w:p>
        </w:tc>
        <w:tc>
          <w:tcPr>
            <w:tcW w:w="461" w:type="pct"/>
            <w:vMerge w:val="continue"/>
            <w:vAlign w:val="center"/>
          </w:tcPr>
          <w:p w14:paraId="264F7F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p>
        </w:tc>
        <w:tc>
          <w:tcPr>
            <w:tcW w:w="661" w:type="pct"/>
            <w:vMerge w:val="continue"/>
            <w:vAlign w:val="center"/>
          </w:tcPr>
          <w:p w14:paraId="169111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p>
        </w:tc>
        <w:tc>
          <w:tcPr>
            <w:tcW w:w="2673" w:type="pct"/>
            <w:vAlign w:val="center"/>
          </w:tcPr>
          <w:p w14:paraId="2EBFFE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2"/>
                <w:highlight w:val="none"/>
                <w:lang w:eastAsia="zh-CN"/>
              </w:rPr>
            </w:pPr>
            <w:r>
              <w:rPr>
                <w:rFonts w:hint="default"/>
                <w:color w:val="auto"/>
                <w:sz w:val="21"/>
                <w:szCs w:val="22"/>
                <w:highlight w:val="none"/>
              </w:rPr>
              <w:t>主动驱鸟设备</w:t>
            </w:r>
            <w:r>
              <w:rPr>
                <w:rFonts w:hint="eastAsia"/>
                <w:color w:val="auto"/>
                <w:sz w:val="21"/>
                <w:szCs w:val="22"/>
                <w:highlight w:val="none"/>
                <w:lang w:eastAsia="zh-CN"/>
              </w:rPr>
              <w:t>，采购煤气炮、声波驱鸟器、驱鸟车、激光驱鸟器、猎枪等综合设备</w:t>
            </w:r>
          </w:p>
        </w:tc>
        <w:tc>
          <w:tcPr>
            <w:tcW w:w="864" w:type="pct"/>
            <w:vAlign w:val="center"/>
          </w:tcPr>
          <w:p w14:paraId="748BCD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宋体"/>
                <w:color w:val="auto"/>
                <w:sz w:val="21"/>
                <w:szCs w:val="22"/>
                <w:highlight w:val="none"/>
                <w:lang w:val="en-US" w:eastAsia="zh-CN"/>
              </w:rPr>
            </w:pPr>
            <w:r>
              <w:rPr>
                <w:rFonts w:hint="eastAsia"/>
                <w:color w:val="auto"/>
                <w:sz w:val="21"/>
                <w:szCs w:val="22"/>
                <w:highlight w:val="none"/>
                <w:lang w:val="en-US" w:eastAsia="zh-CN"/>
              </w:rPr>
              <w:t>100</w:t>
            </w:r>
          </w:p>
        </w:tc>
      </w:tr>
      <w:tr w14:paraId="0535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Merge w:val="continue"/>
            <w:vAlign w:val="center"/>
          </w:tcPr>
          <w:p w14:paraId="00F152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color w:val="auto"/>
                <w:sz w:val="21"/>
                <w:szCs w:val="22"/>
                <w:highlight w:val="none"/>
                <w:lang w:val="en-US" w:eastAsia="zh-CN"/>
              </w:rPr>
            </w:pPr>
          </w:p>
        </w:tc>
        <w:tc>
          <w:tcPr>
            <w:tcW w:w="461" w:type="pct"/>
            <w:vMerge w:val="continue"/>
            <w:vAlign w:val="center"/>
          </w:tcPr>
          <w:p w14:paraId="18E441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p>
        </w:tc>
        <w:tc>
          <w:tcPr>
            <w:tcW w:w="661" w:type="pct"/>
            <w:vMerge w:val="continue"/>
            <w:vAlign w:val="center"/>
          </w:tcPr>
          <w:p w14:paraId="203664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p>
        </w:tc>
        <w:tc>
          <w:tcPr>
            <w:tcW w:w="2673" w:type="pct"/>
            <w:vAlign w:val="center"/>
          </w:tcPr>
          <w:p w14:paraId="1272CF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2"/>
                <w:highlight w:val="none"/>
                <w:lang w:eastAsia="zh-CN"/>
              </w:rPr>
            </w:pPr>
            <w:r>
              <w:rPr>
                <w:rFonts w:hint="default"/>
                <w:color w:val="auto"/>
                <w:sz w:val="21"/>
                <w:szCs w:val="22"/>
                <w:highlight w:val="none"/>
              </w:rPr>
              <w:t>生态调控与管理</w:t>
            </w:r>
            <w:r>
              <w:rPr>
                <w:rFonts w:hint="eastAsia"/>
                <w:color w:val="auto"/>
                <w:sz w:val="21"/>
                <w:szCs w:val="22"/>
                <w:highlight w:val="none"/>
                <w:lang w:eastAsia="zh-CN"/>
              </w:rPr>
              <w:t>，包括场区环境治理（除草、杀虫）、不吸引鸟类植物的养护等</w:t>
            </w:r>
          </w:p>
        </w:tc>
        <w:tc>
          <w:tcPr>
            <w:tcW w:w="864" w:type="pct"/>
            <w:vAlign w:val="center"/>
          </w:tcPr>
          <w:p w14:paraId="42A015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宋体"/>
                <w:color w:val="auto"/>
                <w:sz w:val="21"/>
                <w:szCs w:val="22"/>
                <w:highlight w:val="none"/>
                <w:lang w:val="en-US" w:eastAsia="zh-CN"/>
              </w:rPr>
            </w:pPr>
            <w:r>
              <w:rPr>
                <w:rFonts w:hint="eastAsia"/>
                <w:color w:val="auto"/>
                <w:sz w:val="21"/>
                <w:szCs w:val="22"/>
                <w:highlight w:val="none"/>
                <w:lang w:val="en-US" w:eastAsia="zh-CN"/>
              </w:rPr>
              <w:t>50</w:t>
            </w:r>
          </w:p>
        </w:tc>
      </w:tr>
      <w:tr w14:paraId="44A3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Merge w:val="continue"/>
            <w:vAlign w:val="center"/>
          </w:tcPr>
          <w:p w14:paraId="18D166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color w:val="auto"/>
                <w:sz w:val="21"/>
                <w:szCs w:val="22"/>
                <w:highlight w:val="none"/>
                <w:lang w:val="en-US" w:eastAsia="zh-CN"/>
              </w:rPr>
            </w:pPr>
          </w:p>
        </w:tc>
        <w:tc>
          <w:tcPr>
            <w:tcW w:w="461" w:type="pct"/>
            <w:vMerge w:val="continue"/>
            <w:vAlign w:val="center"/>
          </w:tcPr>
          <w:p w14:paraId="7EDBC5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p>
        </w:tc>
        <w:tc>
          <w:tcPr>
            <w:tcW w:w="661" w:type="pct"/>
            <w:vMerge w:val="continue"/>
            <w:vAlign w:val="center"/>
          </w:tcPr>
          <w:p w14:paraId="6D1AEF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p>
        </w:tc>
        <w:tc>
          <w:tcPr>
            <w:tcW w:w="2673" w:type="pct"/>
            <w:vAlign w:val="center"/>
          </w:tcPr>
          <w:p w14:paraId="5699B6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2"/>
                <w:highlight w:val="none"/>
                <w:lang w:eastAsia="zh-CN"/>
              </w:rPr>
            </w:pPr>
            <w:r>
              <w:rPr>
                <w:rFonts w:hint="default"/>
                <w:color w:val="auto"/>
                <w:sz w:val="21"/>
                <w:szCs w:val="22"/>
                <w:highlight w:val="none"/>
              </w:rPr>
              <w:t>专业队伍与运维</w:t>
            </w:r>
            <w:r>
              <w:rPr>
                <w:rFonts w:hint="eastAsia"/>
                <w:color w:val="auto"/>
                <w:sz w:val="21"/>
                <w:szCs w:val="22"/>
                <w:highlight w:val="none"/>
                <w:lang w:eastAsia="zh-CN"/>
              </w:rPr>
              <w:t>，</w:t>
            </w:r>
            <w:r>
              <w:rPr>
                <w:rFonts w:hint="eastAsia"/>
                <w:color w:val="auto"/>
                <w:sz w:val="21"/>
                <w:szCs w:val="22"/>
                <w:highlight w:val="none"/>
                <w:lang w:val="en-US" w:eastAsia="zh-CN"/>
              </w:rPr>
              <w:t>设置或委托</w:t>
            </w:r>
            <w:r>
              <w:rPr>
                <w:rFonts w:hint="eastAsia"/>
                <w:color w:val="auto"/>
                <w:sz w:val="21"/>
                <w:szCs w:val="22"/>
                <w:highlight w:val="none"/>
                <w:lang w:eastAsia="zh-CN"/>
              </w:rPr>
              <w:t>专业鸟情监测</w:t>
            </w:r>
            <w:r>
              <w:rPr>
                <w:rFonts w:hint="eastAsia"/>
                <w:color w:val="auto"/>
                <w:sz w:val="21"/>
                <w:szCs w:val="22"/>
                <w:highlight w:val="none"/>
                <w:lang w:val="en-US" w:eastAsia="zh-CN"/>
              </w:rPr>
              <w:t>人员</w:t>
            </w:r>
            <w:r>
              <w:rPr>
                <w:rFonts w:hint="eastAsia"/>
                <w:color w:val="auto"/>
                <w:sz w:val="21"/>
                <w:szCs w:val="22"/>
                <w:highlight w:val="none"/>
                <w:lang w:eastAsia="zh-CN"/>
              </w:rPr>
              <w:t>、</w:t>
            </w:r>
            <w:r>
              <w:rPr>
                <w:rFonts w:hint="eastAsia"/>
                <w:color w:val="auto"/>
                <w:sz w:val="21"/>
                <w:szCs w:val="22"/>
                <w:highlight w:val="none"/>
                <w:lang w:val="en-US" w:eastAsia="zh-CN"/>
              </w:rPr>
              <w:t>定期进行</w:t>
            </w:r>
            <w:r>
              <w:rPr>
                <w:rFonts w:hint="eastAsia"/>
                <w:color w:val="auto"/>
                <w:sz w:val="21"/>
                <w:szCs w:val="22"/>
                <w:highlight w:val="none"/>
                <w:lang w:eastAsia="zh-CN"/>
              </w:rPr>
              <w:t>培训、</w:t>
            </w:r>
            <w:r>
              <w:rPr>
                <w:rFonts w:hint="eastAsia"/>
                <w:color w:val="auto"/>
                <w:sz w:val="21"/>
                <w:szCs w:val="22"/>
                <w:highlight w:val="none"/>
                <w:lang w:val="en-US" w:eastAsia="zh-CN"/>
              </w:rPr>
              <w:t>驱鸟</w:t>
            </w:r>
            <w:r>
              <w:rPr>
                <w:rFonts w:hint="eastAsia"/>
                <w:color w:val="auto"/>
                <w:sz w:val="21"/>
                <w:szCs w:val="22"/>
                <w:highlight w:val="none"/>
                <w:lang w:eastAsia="zh-CN"/>
              </w:rPr>
              <w:t>设备维护等费用</w:t>
            </w:r>
          </w:p>
        </w:tc>
        <w:tc>
          <w:tcPr>
            <w:tcW w:w="864" w:type="pct"/>
            <w:vAlign w:val="center"/>
          </w:tcPr>
          <w:p w14:paraId="057949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宋体"/>
                <w:color w:val="auto"/>
                <w:sz w:val="21"/>
                <w:szCs w:val="22"/>
                <w:highlight w:val="none"/>
                <w:lang w:val="en-US" w:eastAsia="zh-CN"/>
              </w:rPr>
            </w:pPr>
            <w:r>
              <w:rPr>
                <w:rFonts w:hint="eastAsia"/>
                <w:color w:val="auto"/>
                <w:sz w:val="21"/>
                <w:szCs w:val="22"/>
                <w:highlight w:val="none"/>
                <w:lang w:val="en-US" w:eastAsia="zh-CN"/>
              </w:rPr>
              <w:t>80</w:t>
            </w:r>
          </w:p>
        </w:tc>
      </w:tr>
      <w:tr w14:paraId="3D9B6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 w:type="pct"/>
            <w:vAlign w:val="center"/>
          </w:tcPr>
          <w:p w14:paraId="4CC810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2"/>
                <w:highlight w:val="none"/>
                <w:lang w:eastAsia="zh-CN"/>
              </w:rPr>
            </w:pPr>
            <w:r>
              <w:rPr>
                <w:rFonts w:hint="eastAsia"/>
                <w:color w:val="auto"/>
                <w:sz w:val="21"/>
                <w:szCs w:val="22"/>
                <w:highlight w:val="none"/>
                <w:lang w:val="en-US" w:eastAsia="zh-CN"/>
              </w:rPr>
              <w:t>8</w:t>
            </w:r>
          </w:p>
        </w:tc>
        <w:tc>
          <w:tcPr>
            <w:tcW w:w="1122" w:type="pct"/>
            <w:gridSpan w:val="2"/>
            <w:vAlign w:val="center"/>
          </w:tcPr>
          <w:p w14:paraId="1D9B01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环境监测与监理</w:t>
            </w:r>
          </w:p>
        </w:tc>
        <w:tc>
          <w:tcPr>
            <w:tcW w:w="2673" w:type="pct"/>
            <w:vAlign w:val="center"/>
          </w:tcPr>
          <w:p w14:paraId="3A5385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olor w:val="auto"/>
                <w:sz w:val="21"/>
                <w:szCs w:val="22"/>
                <w:highlight w:val="none"/>
                <w:lang w:eastAsia="zh-CN"/>
              </w:rPr>
            </w:pPr>
            <w:r>
              <w:rPr>
                <w:rFonts w:hint="default"/>
                <w:color w:val="auto"/>
                <w:sz w:val="21"/>
                <w:szCs w:val="22"/>
                <w:highlight w:val="none"/>
              </w:rPr>
              <w:t>开展施工期及运营期环境监测与监理</w:t>
            </w:r>
            <w:r>
              <w:rPr>
                <w:rFonts w:hint="eastAsia"/>
                <w:color w:val="auto"/>
                <w:sz w:val="21"/>
                <w:szCs w:val="22"/>
                <w:highlight w:val="none"/>
                <w:lang w:eastAsia="zh-CN"/>
              </w:rPr>
              <w:t>，充分覆盖项目全生命周期、特别是运营期核心环境风险的防治需求</w:t>
            </w:r>
          </w:p>
        </w:tc>
        <w:tc>
          <w:tcPr>
            <w:tcW w:w="864" w:type="pct"/>
            <w:vAlign w:val="center"/>
          </w:tcPr>
          <w:p w14:paraId="2F3AEE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宋体"/>
                <w:color w:val="auto"/>
                <w:sz w:val="21"/>
                <w:szCs w:val="22"/>
                <w:highlight w:val="none"/>
                <w:lang w:val="en-US" w:eastAsia="zh-CN"/>
              </w:rPr>
            </w:pPr>
            <w:r>
              <w:rPr>
                <w:rFonts w:hint="eastAsia"/>
                <w:color w:val="auto"/>
                <w:sz w:val="21"/>
                <w:szCs w:val="22"/>
                <w:highlight w:val="none"/>
                <w:lang w:val="en-US" w:eastAsia="zh-CN"/>
              </w:rPr>
              <w:t>70</w:t>
            </w:r>
          </w:p>
        </w:tc>
      </w:tr>
      <w:tr w14:paraId="0190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5" w:type="pct"/>
            <w:gridSpan w:val="4"/>
            <w:vAlign w:val="center"/>
          </w:tcPr>
          <w:p w14:paraId="532590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 w:val="21"/>
                <w:szCs w:val="22"/>
                <w:highlight w:val="none"/>
              </w:rPr>
            </w:pPr>
            <w:r>
              <w:rPr>
                <w:rFonts w:hint="default"/>
                <w:color w:val="auto"/>
                <w:sz w:val="21"/>
                <w:szCs w:val="22"/>
                <w:highlight w:val="none"/>
              </w:rPr>
              <w:t>总计</w:t>
            </w:r>
          </w:p>
        </w:tc>
        <w:tc>
          <w:tcPr>
            <w:tcW w:w="864" w:type="pct"/>
            <w:vAlign w:val="center"/>
          </w:tcPr>
          <w:p w14:paraId="2874ED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宋体"/>
                <w:color w:val="auto"/>
                <w:sz w:val="21"/>
                <w:szCs w:val="22"/>
                <w:highlight w:val="none"/>
                <w:lang w:val="en-US" w:eastAsia="zh-CN"/>
              </w:rPr>
            </w:pPr>
            <w:r>
              <w:rPr>
                <w:rFonts w:hint="eastAsia"/>
                <w:color w:val="auto"/>
                <w:sz w:val="21"/>
                <w:szCs w:val="22"/>
                <w:highlight w:val="none"/>
                <w:lang w:val="en-US" w:eastAsia="zh-CN"/>
              </w:rPr>
              <w:t>855</w:t>
            </w:r>
          </w:p>
        </w:tc>
      </w:tr>
    </w:tbl>
    <w:p w14:paraId="34C06248">
      <w:pPr>
        <w:pageBreakBefore w:val="0"/>
        <w:widowControl/>
        <w:kinsoku/>
        <w:wordWrap/>
        <w:overflowPunct/>
        <w:bidi w:val="0"/>
        <w:ind w:firstLine="480" w:firstLineChars="200"/>
        <w:jc w:val="both"/>
        <w:rPr>
          <w:rFonts w:hint="eastAsia"/>
          <w:color w:val="auto"/>
          <w:highlight w:val="none"/>
          <w:lang w:eastAsia="zh-CN"/>
        </w:rPr>
      </w:pPr>
      <w:r>
        <w:rPr>
          <w:color w:val="auto"/>
          <w:highlight w:val="none"/>
        </w:rPr>
        <w:t>本项目总投资</w:t>
      </w:r>
      <w:bookmarkStart w:id="317" w:name="OLE_LINK2"/>
      <w:r>
        <w:rPr>
          <w:rFonts w:hint="eastAsia"/>
          <w:color w:val="auto"/>
          <w:highlight w:val="none"/>
        </w:rPr>
        <w:t>12624</w:t>
      </w:r>
      <w:bookmarkEnd w:id="317"/>
      <w:r>
        <w:rPr>
          <w:color w:val="auto"/>
          <w:highlight w:val="none"/>
        </w:rPr>
        <w:t>万元，</w:t>
      </w:r>
      <w:r>
        <w:rPr>
          <w:rFonts w:hint="eastAsia"/>
          <w:color w:val="auto"/>
          <w:highlight w:val="none"/>
          <w:lang w:val="en-US" w:eastAsia="zh-CN"/>
        </w:rPr>
        <w:t>其中</w:t>
      </w:r>
      <w:r>
        <w:rPr>
          <w:color w:val="auto"/>
          <w:highlight w:val="none"/>
        </w:rPr>
        <w:t>环保投资</w:t>
      </w:r>
      <w:r>
        <w:rPr>
          <w:rFonts w:hint="eastAsia"/>
          <w:color w:val="auto"/>
          <w:highlight w:val="none"/>
          <w:lang w:val="en-US" w:eastAsia="zh-CN"/>
        </w:rPr>
        <w:t>855</w:t>
      </w:r>
      <w:r>
        <w:rPr>
          <w:color w:val="auto"/>
          <w:highlight w:val="none"/>
        </w:rPr>
        <w:t>万元，占总投资的</w:t>
      </w:r>
      <w:bookmarkStart w:id="318" w:name="OLE_LINK1"/>
      <w:r>
        <w:rPr>
          <w:rFonts w:hint="eastAsia"/>
          <w:color w:val="auto"/>
          <w:highlight w:val="none"/>
        </w:rPr>
        <w:t>6.77</w:t>
      </w:r>
      <w:r>
        <w:rPr>
          <w:color w:val="auto"/>
          <w:highlight w:val="none"/>
        </w:rPr>
        <w:t>%</w:t>
      </w:r>
      <w:bookmarkEnd w:id="318"/>
      <w:r>
        <w:rPr>
          <w:color w:val="auto"/>
          <w:highlight w:val="none"/>
        </w:rPr>
        <w:t>。</w:t>
      </w:r>
    </w:p>
    <w:p w14:paraId="7DC9EB01">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19" w:name="_Toc22525"/>
      <w:r>
        <w:rPr>
          <w:rFonts w:hint="eastAsia" w:ascii="Times New Roman" w:hAnsi="Times New Roman" w:eastAsia="黑体" w:cs="Times New Roman"/>
          <w:bCs/>
          <w:color w:val="auto"/>
          <w:spacing w:val="0"/>
          <w:w w:val="100"/>
          <w:kern w:val="28"/>
          <w:sz w:val="30"/>
          <w:szCs w:val="30"/>
          <w:highlight w:val="none"/>
          <w:lang w:val="en-US" w:eastAsia="zh-CN" w:bidi="ar-SA"/>
        </w:rPr>
        <w:t>环境影响经济损益分析</w:t>
      </w:r>
      <w:bookmarkEnd w:id="319"/>
    </w:p>
    <w:p w14:paraId="61AB8A92">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环境效益分析</w:t>
      </w:r>
    </w:p>
    <w:p w14:paraId="5BEC38FC">
      <w:pPr>
        <w:pageBreakBefore w:val="0"/>
        <w:widowControl/>
        <w:kinsoku/>
        <w:wordWrap/>
        <w:overflowPunct/>
        <w:bidi w:val="0"/>
        <w:ind w:firstLine="480" w:firstLineChars="200"/>
        <w:jc w:val="both"/>
        <w:rPr>
          <w:rFonts w:hint="eastAsia"/>
          <w:color w:val="auto"/>
          <w:highlight w:val="none"/>
          <w:lang w:eastAsia="zh-CN"/>
        </w:rPr>
      </w:pPr>
      <w:r>
        <w:rPr>
          <w:rFonts w:hint="eastAsia"/>
          <w:color w:val="auto"/>
          <w:highlight w:val="none"/>
          <w:lang w:eastAsia="zh-CN"/>
        </w:rPr>
        <w:t>本项目环保投资为855万元，占项目总投资的6.77%，采取如下措施，能够将对各要素环境影响程度降到最低，项目环保投资效益比较明显。</w:t>
      </w:r>
    </w:p>
    <w:p w14:paraId="17DE492A">
      <w:pPr>
        <w:pageBreakBefore w:val="0"/>
        <w:widowControl/>
        <w:kinsoku/>
        <w:wordWrap/>
        <w:overflowPunct/>
        <w:bidi w:val="0"/>
        <w:ind w:firstLine="480" w:firstLineChars="200"/>
        <w:jc w:val="both"/>
        <w:rPr>
          <w:rFonts w:hint="eastAsia"/>
          <w:color w:val="auto"/>
          <w:highlight w:val="none"/>
          <w:lang w:eastAsia="zh-CN"/>
        </w:rPr>
      </w:pPr>
      <w:r>
        <w:rPr>
          <w:rFonts w:hint="eastAsia"/>
          <w:color w:val="auto"/>
          <w:highlight w:val="none"/>
          <w:lang w:eastAsia="zh-CN"/>
        </w:rPr>
        <w:t>（1）重点加强噪声污染防治，确保机场周围声环境执行《机场周围飞机噪声环境标准（GB9660-88）》第二类区域的标准。</w:t>
      </w:r>
    </w:p>
    <w:p w14:paraId="5D6E7F33">
      <w:pPr>
        <w:pageBreakBefore w:val="0"/>
        <w:widowControl/>
        <w:kinsoku/>
        <w:wordWrap/>
        <w:overflowPunct/>
        <w:bidi w:val="0"/>
        <w:ind w:firstLine="480" w:firstLineChars="200"/>
        <w:jc w:val="both"/>
        <w:rPr>
          <w:rFonts w:hint="eastAsia"/>
          <w:color w:val="auto"/>
          <w:highlight w:val="none"/>
          <w:lang w:eastAsia="zh-CN"/>
        </w:rPr>
      </w:pPr>
      <w:r>
        <w:rPr>
          <w:rFonts w:hint="eastAsia"/>
          <w:color w:val="auto"/>
          <w:highlight w:val="none"/>
          <w:lang w:eastAsia="zh-CN"/>
        </w:rPr>
        <w:t>（2）项目土石方工程量较大，施工期较长，应按水土保持方案的要求，做好施工期和运营期的水土保持工作，防止水土流失。</w:t>
      </w:r>
    </w:p>
    <w:p w14:paraId="2A753D3A">
      <w:pPr>
        <w:pageBreakBefore w:val="0"/>
        <w:widowControl/>
        <w:kinsoku/>
        <w:wordWrap/>
        <w:overflowPunct/>
        <w:bidi w:val="0"/>
        <w:ind w:firstLine="480" w:firstLineChars="200"/>
        <w:jc w:val="both"/>
        <w:rPr>
          <w:rFonts w:hint="eastAsia"/>
          <w:color w:val="auto"/>
          <w:highlight w:val="none"/>
          <w:lang w:eastAsia="zh-CN"/>
        </w:rPr>
      </w:pPr>
      <w:r>
        <w:rPr>
          <w:rFonts w:hint="eastAsia"/>
          <w:color w:val="auto"/>
          <w:highlight w:val="none"/>
          <w:lang w:eastAsia="zh-CN"/>
        </w:rPr>
        <w:t>（3）加强施工期的环境管理和及时实施补救措施，合理安排作业时间，采取严格措施防止施工扬尘、废水污染</w:t>
      </w:r>
      <w:r>
        <w:rPr>
          <w:rFonts w:hint="eastAsia"/>
          <w:color w:val="auto"/>
          <w:highlight w:val="none"/>
          <w:lang w:val="en-US" w:eastAsia="zh-CN"/>
        </w:rPr>
        <w:t>生态</w:t>
      </w:r>
      <w:r>
        <w:rPr>
          <w:rFonts w:hint="eastAsia"/>
          <w:color w:val="auto"/>
          <w:highlight w:val="none"/>
          <w:lang w:eastAsia="zh-CN"/>
        </w:rPr>
        <w:t>环境。</w:t>
      </w:r>
    </w:p>
    <w:p w14:paraId="628B2E41">
      <w:pPr>
        <w:pageBreakBefore w:val="0"/>
        <w:widowControl/>
        <w:kinsoku/>
        <w:wordWrap/>
        <w:overflowPunct/>
        <w:bidi w:val="0"/>
        <w:ind w:firstLine="480" w:firstLineChars="200"/>
        <w:jc w:val="both"/>
        <w:rPr>
          <w:rFonts w:hint="eastAsia"/>
          <w:color w:val="auto"/>
          <w:highlight w:val="none"/>
          <w:lang w:eastAsia="zh-CN"/>
        </w:rPr>
      </w:pPr>
      <w:r>
        <w:rPr>
          <w:rFonts w:hint="eastAsia"/>
          <w:color w:val="auto"/>
          <w:highlight w:val="none"/>
          <w:lang w:eastAsia="zh-CN"/>
        </w:rPr>
        <w:t>（4）机场污水经自建污水处理站处理，出水执行《城市污水再生利用城市杂用水质》（GB18920-2020）中城市绿化、道路清扫等水质指标。</w:t>
      </w:r>
    </w:p>
    <w:p w14:paraId="166A51D3">
      <w:pPr>
        <w:pageBreakBefore w:val="0"/>
        <w:widowControl/>
        <w:kinsoku/>
        <w:wordWrap/>
        <w:overflowPunct/>
        <w:bidi w:val="0"/>
        <w:ind w:firstLine="480" w:firstLineChars="200"/>
        <w:jc w:val="both"/>
        <w:rPr>
          <w:rFonts w:hint="eastAsia"/>
          <w:color w:val="auto"/>
          <w:highlight w:val="none"/>
          <w:lang w:eastAsia="zh-CN"/>
        </w:rPr>
      </w:pPr>
      <w:r>
        <w:rPr>
          <w:rFonts w:hint="eastAsia"/>
          <w:color w:val="auto"/>
          <w:highlight w:val="none"/>
          <w:lang w:eastAsia="zh-CN"/>
        </w:rPr>
        <w:t>（5）航空垃圾、生活垃圾等由环卫管理部门统一收集清运至生活垃圾填埋场进行填埋。</w:t>
      </w:r>
    </w:p>
    <w:p w14:paraId="74DA2F76">
      <w:pPr>
        <w:pageBreakBefore w:val="0"/>
        <w:widowControl/>
        <w:kinsoku/>
        <w:wordWrap/>
        <w:overflowPunct/>
        <w:bidi w:val="0"/>
        <w:ind w:firstLine="480" w:firstLineChars="200"/>
        <w:jc w:val="both"/>
        <w:rPr>
          <w:rFonts w:hint="eastAsia"/>
          <w:color w:val="auto"/>
          <w:highlight w:val="none"/>
          <w:lang w:eastAsia="zh-CN"/>
        </w:rPr>
      </w:pPr>
      <w:r>
        <w:rPr>
          <w:rFonts w:hint="eastAsia"/>
          <w:color w:val="auto"/>
          <w:highlight w:val="none"/>
          <w:lang w:eastAsia="zh-CN"/>
        </w:rPr>
        <w:t>（6）建议当地政府应严格控制规划用地，在飞机噪声LWECPN大于75dB的机场周围区域，不得规划新建住宅、学校及幼儿园、医院等噪声敏感建筑物。建设单位应当会同当地政府做好土地调整和征地补偿工作。按照国家有关政策做好安置工作，专款专用，尽量减少项目建设带来的不利影响。</w:t>
      </w:r>
    </w:p>
    <w:p w14:paraId="3B78409B">
      <w:pPr>
        <w:pageBreakBefore w:val="0"/>
        <w:widowControl/>
        <w:kinsoku/>
        <w:wordWrap/>
        <w:overflowPunct/>
        <w:bidi w:val="0"/>
        <w:ind w:firstLine="480" w:firstLineChars="200"/>
        <w:jc w:val="both"/>
        <w:rPr>
          <w:rFonts w:hint="eastAsia"/>
          <w:color w:val="auto"/>
          <w:highlight w:val="none"/>
          <w:lang w:eastAsia="zh-CN"/>
        </w:rPr>
      </w:pPr>
      <w:r>
        <w:rPr>
          <w:rFonts w:hint="eastAsia"/>
          <w:color w:val="auto"/>
          <w:highlight w:val="none"/>
          <w:lang w:eastAsia="zh-CN"/>
        </w:rPr>
        <w:t>（7）加强环境管理与监测，建立环境管理机构，配备专职环保人员和相应的监测仪器设备，保持环保设施正常运行。提高风险防范意识，制定风险应急方案，防范油罐泄漏等事故发生。</w:t>
      </w:r>
    </w:p>
    <w:p w14:paraId="764A3AD2">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经济效益分析</w:t>
      </w:r>
    </w:p>
    <w:p w14:paraId="0274BE47">
      <w:pPr>
        <w:pageBreakBefore w:val="0"/>
        <w:widowControl/>
        <w:kinsoku/>
        <w:wordWrap/>
        <w:overflowPunct/>
        <w:bidi w:val="0"/>
        <w:ind w:firstLine="480" w:firstLineChars="200"/>
        <w:jc w:val="both"/>
        <w:rPr>
          <w:rFonts w:hint="eastAsia"/>
          <w:color w:val="auto"/>
          <w:highlight w:val="none"/>
          <w:lang w:eastAsia="zh-CN"/>
        </w:rPr>
      </w:pPr>
      <w:r>
        <w:rPr>
          <w:rFonts w:hint="eastAsia" w:eastAsia="宋体"/>
          <w:color w:val="auto"/>
          <w:highlight w:val="none"/>
          <w:lang w:eastAsia="zh-CN"/>
        </w:rPr>
        <w:t>本期机场项目总投资约12624万元，该机场的建设将直接带动当地各种资源的开发，并促进相关产业的发展及区域经济，社会影响良好，总体评价指标较高</w:t>
      </w:r>
      <w:r>
        <w:rPr>
          <w:rFonts w:hint="eastAsia"/>
          <w:color w:val="auto"/>
          <w:highlight w:val="none"/>
          <w:lang w:eastAsia="zh-CN"/>
        </w:rPr>
        <w:t>。</w:t>
      </w:r>
    </w:p>
    <w:p w14:paraId="1A25A664">
      <w:pPr>
        <w:pageBreakBefore w:val="0"/>
        <w:tabs>
          <w:tab w:val="left" w:pos="2432"/>
        </w:tabs>
        <w:kinsoku/>
        <w:wordWrap/>
        <w:overflowPunct/>
        <w:bidi w:val="0"/>
        <w:ind w:firstLine="482"/>
        <w:rPr>
          <w:rFonts w:hint="eastAsia" w:ascii="Times New Roman" w:hAnsi="Times New Roman" w:eastAsia="宋体" w:cs="Times New Roman"/>
          <w:color w:val="auto"/>
          <w:spacing w:val="4"/>
          <w:kern w:val="24"/>
          <w:szCs w:val="20"/>
          <w:highlight w:val="none"/>
          <w:lang w:eastAsia="zh-CN"/>
        </w:rPr>
        <w:sectPr>
          <w:pgSz w:w="11904" w:h="16838"/>
          <w:pgMar w:top="1474" w:right="1474" w:bottom="1474" w:left="1814" w:header="850" w:footer="850" w:gutter="113"/>
          <w:pgNumType w:fmt="decimal"/>
          <w:cols w:space="0" w:num="1"/>
          <w:docGrid w:linePitch="326" w:charSpace="0"/>
        </w:sectPr>
      </w:pPr>
    </w:p>
    <w:p w14:paraId="4048DB35">
      <w:pPr>
        <w:keepNext/>
        <w:keepLines/>
        <w:pageBreakBefore w:val="0"/>
        <w:widowControl w:val="0"/>
        <w:numPr>
          <w:ilvl w:val="0"/>
          <w:numId w:val="10"/>
        </w:numPr>
        <w:kinsoku/>
        <w:overflowPunct/>
        <w:bidi w:val="0"/>
        <w:spacing w:before="0" w:after="0" w:line="360" w:lineRule="auto"/>
        <w:ind w:left="425" w:leftChars="0" w:hanging="425" w:firstLineChars="0"/>
        <w:jc w:val="both"/>
        <w:outlineLvl w:val="0"/>
        <w:rPr>
          <w:rFonts w:ascii="Times New Roman" w:hAnsi="Times New Roman" w:eastAsia="黑体" w:cs="Times New Roman"/>
          <w:b w:val="0"/>
          <w:bCs w:val="0"/>
          <w:color w:val="auto"/>
          <w:kern w:val="44"/>
          <w:sz w:val="44"/>
          <w:szCs w:val="44"/>
          <w:highlight w:val="none"/>
          <w:lang w:val="en-US" w:eastAsia="zh-CN" w:bidi="ar-SA"/>
        </w:rPr>
      </w:pPr>
      <w:bookmarkStart w:id="320" w:name="_Toc1115"/>
      <w:bookmarkStart w:id="321" w:name="_Toc135735470"/>
      <w:r>
        <w:rPr>
          <w:rFonts w:hint="eastAsia" w:ascii="Times New Roman" w:hAnsi="Times New Roman" w:eastAsia="黑体" w:cs="Times New Roman"/>
          <w:b w:val="0"/>
          <w:bCs w:val="0"/>
          <w:color w:val="auto"/>
          <w:kern w:val="44"/>
          <w:sz w:val="44"/>
          <w:szCs w:val="44"/>
          <w:highlight w:val="none"/>
          <w:lang w:val="en-US" w:eastAsia="zh-CN" w:bidi="ar-SA"/>
        </w:rPr>
        <w:t>环境管理与监测计划</w:t>
      </w:r>
      <w:bookmarkEnd w:id="320"/>
    </w:p>
    <w:bookmarkEnd w:id="321"/>
    <w:p w14:paraId="3AF9BF30">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22" w:name="_Toc13498"/>
      <w:bookmarkStart w:id="323" w:name="_Toc135735471"/>
      <w:r>
        <w:rPr>
          <w:rFonts w:hint="eastAsia" w:ascii="Times New Roman" w:hAnsi="Times New Roman" w:eastAsia="黑体" w:cs="Times New Roman"/>
          <w:bCs/>
          <w:color w:val="auto"/>
          <w:spacing w:val="0"/>
          <w:w w:val="100"/>
          <w:kern w:val="28"/>
          <w:sz w:val="30"/>
          <w:szCs w:val="30"/>
          <w:highlight w:val="none"/>
          <w:lang w:val="en-US" w:eastAsia="zh-CN" w:bidi="ar-SA"/>
        </w:rPr>
        <w:t>环境管理</w:t>
      </w:r>
      <w:bookmarkEnd w:id="322"/>
    </w:p>
    <w:bookmarkEnd w:id="323"/>
    <w:p w14:paraId="57B97F57">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环境管理机构设置</w:t>
      </w:r>
    </w:p>
    <w:p w14:paraId="6672E888">
      <w:pPr>
        <w:widowControl/>
        <w:numPr>
          <w:ilvl w:val="0"/>
          <w:numId w:val="28"/>
        </w:numPr>
        <w:ind w:left="0" w:firstLine="480" w:firstLineChars="200"/>
        <w:rPr>
          <w:color w:val="auto"/>
          <w:highlight w:val="none"/>
        </w:rPr>
      </w:pPr>
      <w:r>
        <w:rPr>
          <w:color w:val="auto"/>
          <w:highlight w:val="none"/>
        </w:rPr>
        <w:t>设置目的</w:t>
      </w:r>
    </w:p>
    <w:p w14:paraId="68076BF2">
      <w:pPr>
        <w:ind w:firstLine="480" w:firstLineChars="200"/>
        <w:rPr>
          <w:color w:val="auto"/>
          <w:highlight w:val="none"/>
        </w:rPr>
      </w:pPr>
      <w:r>
        <w:rPr>
          <w:color w:val="auto"/>
          <w:highlight w:val="none"/>
        </w:rPr>
        <w:t>贯彻执行有关环境法规，正确处理好机场安全生产与环境保护的关系，实现机场建设的社会、经济和环境效益的统一，及时掌握机场污染控制措施的效果，了解机场及周围地区的环境质量与社会环境的变化，为机场施工期和运营期的环境管理提供服务。</w:t>
      </w:r>
    </w:p>
    <w:p w14:paraId="410802F5">
      <w:pPr>
        <w:widowControl/>
        <w:numPr>
          <w:ilvl w:val="0"/>
          <w:numId w:val="28"/>
        </w:numPr>
        <w:ind w:left="0" w:firstLine="480" w:firstLineChars="200"/>
        <w:rPr>
          <w:color w:val="auto"/>
          <w:highlight w:val="none"/>
        </w:rPr>
      </w:pPr>
      <w:r>
        <w:rPr>
          <w:color w:val="auto"/>
          <w:highlight w:val="none"/>
        </w:rPr>
        <w:t>机构组成</w:t>
      </w:r>
    </w:p>
    <w:p w14:paraId="1EDBF6D8">
      <w:pPr>
        <w:ind w:firstLine="480" w:firstLineChars="200"/>
        <w:rPr>
          <w:color w:val="auto"/>
          <w:highlight w:val="none"/>
        </w:rPr>
      </w:pPr>
      <w:r>
        <w:rPr>
          <w:color w:val="auto"/>
          <w:highlight w:val="none"/>
        </w:rPr>
        <w:t>环境保护机构职责分为环境管理和环境监控两部分</w:t>
      </w:r>
      <w:r>
        <w:rPr>
          <w:rFonts w:hint="eastAsia"/>
          <w:color w:val="auto"/>
          <w:highlight w:val="none"/>
          <w:lang w:eastAsia="zh-CN"/>
        </w:rPr>
        <w:t>，</w:t>
      </w:r>
      <w:r>
        <w:rPr>
          <w:color w:val="auto"/>
          <w:highlight w:val="none"/>
        </w:rPr>
        <w:t>由主管部门和实施单位设置专人负责。</w:t>
      </w:r>
    </w:p>
    <w:p w14:paraId="423A8750">
      <w:pPr>
        <w:ind w:firstLine="480" w:firstLineChars="200"/>
        <w:rPr>
          <w:color w:val="auto"/>
          <w:highlight w:val="none"/>
        </w:rPr>
      </w:pPr>
      <w:r>
        <w:rPr>
          <w:color w:val="auto"/>
          <w:highlight w:val="none"/>
        </w:rPr>
        <w:t>根据建设机场项目的实际情况，在建设施工期间，项目建设指挥部应设专人负责环境保护事宜。项目建设完成后，应设立机场公司下属的专职环境保护机构，专职负责机场的环境保护事宜。环保机构肩负机场环境管理和环境监控两部分职能，其业务受</w:t>
      </w:r>
      <w:r>
        <w:rPr>
          <w:rFonts w:hint="eastAsia"/>
          <w:color w:val="auto"/>
          <w:highlight w:val="none"/>
        </w:rPr>
        <w:t>博州生态环境局及精河县生态环境分</w:t>
      </w:r>
      <w:r>
        <w:rPr>
          <w:color w:val="auto"/>
          <w:highlight w:val="none"/>
        </w:rPr>
        <w:t>局的指导和监督。</w:t>
      </w:r>
    </w:p>
    <w:p w14:paraId="7B1ABF45">
      <w:pPr>
        <w:widowControl/>
        <w:numPr>
          <w:ilvl w:val="0"/>
          <w:numId w:val="28"/>
        </w:numPr>
        <w:ind w:left="0" w:firstLine="480" w:firstLineChars="200"/>
        <w:rPr>
          <w:color w:val="auto"/>
          <w:highlight w:val="none"/>
        </w:rPr>
      </w:pPr>
      <w:r>
        <w:rPr>
          <w:color w:val="auto"/>
          <w:highlight w:val="none"/>
        </w:rPr>
        <w:t>环保机构定员</w:t>
      </w:r>
    </w:p>
    <w:p w14:paraId="35EC902D">
      <w:pPr>
        <w:ind w:firstLine="480" w:firstLineChars="200"/>
        <w:rPr>
          <w:color w:val="auto"/>
          <w:highlight w:val="none"/>
        </w:rPr>
      </w:pPr>
      <w:r>
        <w:rPr>
          <w:color w:val="auto"/>
          <w:highlight w:val="none"/>
        </w:rPr>
        <w:t>施工期在建设项目指挥部设</w:t>
      </w:r>
      <w:r>
        <w:rPr>
          <w:rFonts w:eastAsia="Times New Roman"/>
          <w:color w:val="auto"/>
          <w:highlight w:val="none"/>
        </w:rPr>
        <w:t>1</w:t>
      </w:r>
      <w:r>
        <w:rPr>
          <w:color w:val="auto"/>
          <w:highlight w:val="none"/>
        </w:rPr>
        <w:t>名环境管理人员，运营期设置</w:t>
      </w:r>
      <w:r>
        <w:rPr>
          <w:rFonts w:eastAsia="Times New Roman"/>
          <w:color w:val="auto"/>
          <w:highlight w:val="none"/>
        </w:rPr>
        <w:t>2</w:t>
      </w:r>
      <w:r>
        <w:rPr>
          <w:color w:val="auto"/>
          <w:highlight w:val="none"/>
        </w:rPr>
        <w:t>名环境管理人员，负责机场的环境管理和监控。</w:t>
      </w:r>
    </w:p>
    <w:p w14:paraId="603BA49F">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环境管理职责</w:t>
      </w:r>
    </w:p>
    <w:p w14:paraId="0E24D039">
      <w:pPr>
        <w:ind w:firstLine="480" w:firstLineChars="200"/>
        <w:rPr>
          <w:color w:val="auto"/>
          <w:highlight w:val="none"/>
        </w:rPr>
      </w:pPr>
      <w:r>
        <w:rPr>
          <w:color w:val="auto"/>
          <w:highlight w:val="none"/>
        </w:rPr>
        <w:t>环境管理机构的主要管理职责，根据不同时期项目内容，环境管理的侧重点不同。根据项目情况，可将环境管理职责分为施工期、运营期。</w:t>
      </w:r>
    </w:p>
    <w:p w14:paraId="32270E2D">
      <w:pPr>
        <w:ind w:firstLine="480" w:firstLineChars="200"/>
        <w:rPr>
          <w:color w:val="auto"/>
          <w:highlight w:val="none"/>
        </w:rPr>
      </w:pPr>
      <w:r>
        <w:rPr>
          <w:color w:val="auto"/>
          <w:highlight w:val="none"/>
        </w:rPr>
        <w:t>（</w:t>
      </w:r>
      <w:r>
        <w:rPr>
          <w:rFonts w:eastAsia="Times New Roman"/>
          <w:color w:val="auto"/>
          <w:highlight w:val="none"/>
        </w:rPr>
        <w:t>1</w:t>
      </w:r>
      <w:r>
        <w:rPr>
          <w:color w:val="auto"/>
          <w:highlight w:val="none"/>
        </w:rPr>
        <w:t>）施工期环境管理</w:t>
      </w:r>
    </w:p>
    <w:p w14:paraId="424F2305">
      <w:pPr>
        <w:ind w:firstLine="480" w:firstLineChars="200"/>
        <w:rPr>
          <w:color w:val="auto"/>
          <w:highlight w:val="none"/>
        </w:rPr>
      </w:pPr>
      <w:r>
        <w:rPr>
          <w:color w:val="auto"/>
          <w:highlight w:val="none"/>
        </w:rPr>
        <w:t>建设单位在施工开始时应配有专职的环保督察员，负责监督施工单位在建设期间的环境管理（包括生活污水、施工废水、施工噪声、道路扬尘处理等）工作。</w:t>
      </w:r>
    </w:p>
    <w:p w14:paraId="033E2266">
      <w:pPr>
        <w:ind w:firstLine="480" w:firstLineChars="200"/>
        <w:rPr>
          <w:color w:val="auto"/>
          <w:highlight w:val="none"/>
        </w:rPr>
      </w:pPr>
      <w:r>
        <w:rPr>
          <w:color w:val="auto"/>
          <w:highlight w:val="none"/>
        </w:rPr>
        <w:t>施工期主要环境管理内容包括：</w:t>
      </w:r>
    </w:p>
    <w:p w14:paraId="3029FBF9">
      <w:pPr>
        <w:ind w:firstLine="480" w:firstLineChars="200"/>
        <w:rPr>
          <w:color w:val="auto"/>
          <w:highlight w:val="none"/>
        </w:rPr>
      </w:pPr>
      <w:r>
        <w:rPr>
          <w:rFonts w:hint="eastAsia" w:ascii="宋体" w:hAnsi="宋体" w:cs="宋体"/>
          <w:color w:val="auto"/>
          <w:highlight w:val="none"/>
        </w:rPr>
        <w:t>①</w:t>
      </w:r>
      <w:r>
        <w:rPr>
          <w:color w:val="auto"/>
          <w:highlight w:val="none"/>
        </w:rPr>
        <w:t>组织制定本单位的环境保护管理的规章制度，并监督执行；</w:t>
      </w:r>
    </w:p>
    <w:p w14:paraId="24CB99B8">
      <w:pPr>
        <w:ind w:firstLine="480" w:firstLineChars="200"/>
        <w:rPr>
          <w:rFonts w:eastAsia="Times New Roman"/>
          <w:color w:val="auto"/>
          <w:highlight w:val="none"/>
        </w:rPr>
      </w:pPr>
      <w:r>
        <w:rPr>
          <w:rFonts w:hint="eastAsia" w:ascii="宋体" w:hAnsi="宋体" w:cs="宋体"/>
          <w:color w:val="auto"/>
          <w:highlight w:val="none"/>
        </w:rPr>
        <w:t>②</w:t>
      </w:r>
      <w:r>
        <w:rPr>
          <w:color w:val="auto"/>
          <w:highlight w:val="none"/>
        </w:rPr>
        <w:t>负责施工过程中的日常环境管理工作；</w:t>
      </w:r>
    </w:p>
    <w:p w14:paraId="38BB9495">
      <w:pPr>
        <w:ind w:firstLine="480" w:firstLineChars="200"/>
        <w:rPr>
          <w:color w:val="auto"/>
          <w:highlight w:val="none"/>
        </w:rPr>
      </w:pPr>
      <w:r>
        <w:rPr>
          <w:rFonts w:hint="eastAsia" w:ascii="宋体" w:hAnsi="宋体" w:cs="宋体"/>
          <w:color w:val="auto"/>
          <w:highlight w:val="none"/>
        </w:rPr>
        <w:t>③</w:t>
      </w:r>
      <w:r>
        <w:rPr>
          <w:color w:val="auto"/>
          <w:highlight w:val="none"/>
        </w:rPr>
        <w:t>组织环境保护宣传，提高施工人员的环境保护意识，在施工操作中，应尽可能减少扬尘和噪声；</w:t>
      </w:r>
    </w:p>
    <w:p w14:paraId="7AC9DE6A">
      <w:pPr>
        <w:ind w:firstLine="480" w:firstLineChars="200"/>
        <w:rPr>
          <w:color w:val="auto"/>
          <w:highlight w:val="none"/>
        </w:rPr>
      </w:pPr>
      <w:r>
        <w:rPr>
          <w:rFonts w:hint="eastAsia" w:ascii="宋体" w:hAnsi="宋体" w:cs="宋体"/>
          <w:color w:val="auto"/>
          <w:highlight w:val="none"/>
        </w:rPr>
        <w:t>④</w:t>
      </w:r>
      <w:r>
        <w:rPr>
          <w:color w:val="auto"/>
          <w:highlight w:val="none"/>
        </w:rPr>
        <w:t>按照水土保持方案和环境影响评价文件对本项目的要求，负责实施阶段性的水土保持和生态恢复工作。</w:t>
      </w:r>
    </w:p>
    <w:p w14:paraId="6AEFBBDB">
      <w:pPr>
        <w:ind w:firstLine="480" w:firstLineChars="200"/>
        <w:rPr>
          <w:color w:val="auto"/>
          <w:highlight w:val="none"/>
        </w:rPr>
      </w:pPr>
      <w:r>
        <w:rPr>
          <w:color w:val="auto"/>
          <w:highlight w:val="none"/>
        </w:rPr>
        <w:t>建设单位环保督察员职责包括：</w:t>
      </w:r>
    </w:p>
    <w:p w14:paraId="1B3C8B25">
      <w:pPr>
        <w:ind w:firstLine="480" w:firstLineChars="200"/>
        <w:rPr>
          <w:color w:val="auto"/>
          <w:highlight w:val="none"/>
        </w:rPr>
      </w:pPr>
      <w:r>
        <w:rPr>
          <w:rFonts w:hint="eastAsia" w:ascii="宋体" w:hAnsi="宋体" w:cs="宋体"/>
          <w:color w:val="auto"/>
          <w:highlight w:val="none"/>
        </w:rPr>
        <w:t>①</w:t>
      </w:r>
      <w:r>
        <w:rPr>
          <w:color w:val="auto"/>
          <w:highlight w:val="none"/>
        </w:rPr>
        <w:t>协调和督促项目配套环保设施的建设符合“三同时”要求；</w:t>
      </w:r>
    </w:p>
    <w:p w14:paraId="7E1999B2">
      <w:pPr>
        <w:ind w:firstLine="480" w:firstLineChars="200"/>
        <w:rPr>
          <w:color w:val="auto"/>
          <w:highlight w:val="none"/>
        </w:rPr>
      </w:pPr>
      <w:r>
        <w:rPr>
          <w:rFonts w:hint="eastAsia" w:ascii="宋体" w:hAnsi="宋体" w:cs="宋体"/>
          <w:color w:val="auto"/>
          <w:highlight w:val="none"/>
        </w:rPr>
        <w:t>②</w:t>
      </w:r>
      <w:r>
        <w:rPr>
          <w:color w:val="auto"/>
          <w:highlight w:val="none"/>
        </w:rPr>
        <w:t>参与项目环保设施竣工验收。</w:t>
      </w:r>
    </w:p>
    <w:p w14:paraId="0E3D10EB">
      <w:pPr>
        <w:ind w:firstLine="480" w:firstLineChars="200"/>
        <w:rPr>
          <w:color w:val="auto"/>
          <w:highlight w:val="none"/>
        </w:rPr>
      </w:pPr>
      <w:r>
        <w:rPr>
          <w:color w:val="auto"/>
          <w:highlight w:val="none"/>
        </w:rPr>
        <w:t>（</w:t>
      </w:r>
      <w:r>
        <w:rPr>
          <w:rFonts w:eastAsia="Times New Roman"/>
          <w:color w:val="auto"/>
          <w:highlight w:val="none"/>
        </w:rPr>
        <w:t>2</w:t>
      </w:r>
      <w:r>
        <w:rPr>
          <w:color w:val="auto"/>
          <w:highlight w:val="none"/>
        </w:rPr>
        <w:t>）运营期管理</w:t>
      </w:r>
    </w:p>
    <w:p w14:paraId="77FAE9A8">
      <w:pPr>
        <w:ind w:firstLine="480" w:firstLineChars="200"/>
        <w:rPr>
          <w:color w:val="auto"/>
          <w:highlight w:val="none"/>
        </w:rPr>
      </w:pPr>
      <w:r>
        <w:rPr>
          <w:color w:val="auto"/>
          <w:highlight w:val="none"/>
        </w:rPr>
        <w:t>运营期间，应该设立环境管理机构，负责机场的环保管理和环境监测工作。其主要环境管理职责如下：</w:t>
      </w:r>
    </w:p>
    <w:p w14:paraId="0EB88E37">
      <w:pPr>
        <w:ind w:firstLine="480" w:firstLineChars="200"/>
        <w:rPr>
          <w:color w:val="auto"/>
          <w:highlight w:val="none"/>
        </w:rPr>
      </w:pPr>
      <w:r>
        <w:rPr>
          <w:rFonts w:hint="eastAsia" w:ascii="宋体" w:hAnsi="宋体" w:cs="宋体"/>
          <w:color w:val="auto"/>
          <w:highlight w:val="none"/>
        </w:rPr>
        <w:t>①</w:t>
      </w:r>
      <w:r>
        <w:rPr>
          <w:color w:val="auto"/>
          <w:highlight w:val="none"/>
        </w:rPr>
        <w:t>对机场及影响范围内的环境保护工作实施统一监督管理，贯彻执行国家和地方的有关环境保护法规；</w:t>
      </w:r>
    </w:p>
    <w:p w14:paraId="23950325">
      <w:pPr>
        <w:ind w:firstLine="480" w:firstLineChars="200"/>
        <w:rPr>
          <w:color w:val="auto"/>
          <w:highlight w:val="none"/>
        </w:rPr>
      </w:pPr>
      <w:r>
        <w:rPr>
          <w:rFonts w:hint="eastAsia" w:ascii="宋体" w:hAnsi="宋体" w:cs="宋体"/>
          <w:color w:val="auto"/>
          <w:highlight w:val="none"/>
        </w:rPr>
        <w:t>②</w:t>
      </w:r>
      <w:r>
        <w:rPr>
          <w:color w:val="auto"/>
          <w:highlight w:val="none"/>
        </w:rPr>
        <w:t>编制环境保护规划和计划，并组织实施；</w:t>
      </w:r>
    </w:p>
    <w:p w14:paraId="76E58B5A">
      <w:pPr>
        <w:ind w:firstLine="480" w:firstLineChars="200"/>
        <w:rPr>
          <w:color w:val="auto"/>
          <w:highlight w:val="none"/>
        </w:rPr>
      </w:pPr>
      <w:r>
        <w:rPr>
          <w:rFonts w:hint="eastAsia" w:ascii="宋体" w:hAnsi="宋体" w:cs="宋体"/>
          <w:color w:val="auto"/>
          <w:highlight w:val="none"/>
        </w:rPr>
        <w:t>③</w:t>
      </w:r>
      <w:r>
        <w:rPr>
          <w:color w:val="auto"/>
          <w:highlight w:val="none"/>
        </w:rPr>
        <w:t>建立各种管理制度，实现污染物排放定量统计，并经常检查督促；</w:t>
      </w:r>
    </w:p>
    <w:p w14:paraId="5F5ED165">
      <w:pPr>
        <w:ind w:firstLine="480" w:firstLineChars="200"/>
        <w:rPr>
          <w:color w:val="auto"/>
          <w:highlight w:val="none"/>
        </w:rPr>
      </w:pPr>
      <w:r>
        <w:rPr>
          <w:rFonts w:hint="eastAsia" w:ascii="宋体" w:hAnsi="宋体" w:cs="宋体"/>
          <w:color w:val="auto"/>
          <w:highlight w:val="none"/>
        </w:rPr>
        <w:t>④</w:t>
      </w:r>
      <w:r>
        <w:rPr>
          <w:color w:val="auto"/>
          <w:highlight w:val="none"/>
        </w:rPr>
        <w:t>做好污染物达标排放，维护环保设施正常运转，协同各级</w:t>
      </w:r>
      <w:r>
        <w:rPr>
          <w:rFonts w:hint="eastAsia" w:eastAsia="宋体"/>
          <w:color w:val="auto"/>
          <w:highlight w:val="none"/>
          <w:lang w:eastAsia="zh-CN"/>
        </w:rPr>
        <w:t>生态环境部门</w:t>
      </w:r>
      <w:r>
        <w:rPr>
          <w:color w:val="auto"/>
          <w:highlight w:val="none"/>
        </w:rPr>
        <w:t>解答和处理与机场环境保护有关的公众提出的意见和问题；</w:t>
      </w:r>
    </w:p>
    <w:p w14:paraId="7E8261DC">
      <w:pPr>
        <w:ind w:firstLine="480" w:firstLineChars="200"/>
        <w:rPr>
          <w:color w:val="auto"/>
          <w:highlight w:val="none"/>
        </w:rPr>
      </w:pPr>
      <w:r>
        <w:rPr>
          <w:rFonts w:hint="eastAsia" w:ascii="宋体" w:hAnsi="宋体" w:cs="宋体"/>
          <w:color w:val="auto"/>
          <w:highlight w:val="none"/>
        </w:rPr>
        <w:t>⑤</w:t>
      </w:r>
      <w:r>
        <w:rPr>
          <w:color w:val="auto"/>
          <w:highlight w:val="none"/>
        </w:rPr>
        <w:t>搞好环境教育和技术培训，提高工作人员的素质；</w:t>
      </w:r>
    </w:p>
    <w:p w14:paraId="61D8D8FC">
      <w:pPr>
        <w:ind w:firstLine="480" w:firstLineChars="200"/>
        <w:rPr>
          <w:color w:val="auto"/>
          <w:highlight w:val="none"/>
        </w:rPr>
      </w:pPr>
      <w:r>
        <w:rPr>
          <w:rFonts w:hint="eastAsia" w:ascii="宋体" w:hAnsi="宋体" w:cs="宋体"/>
          <w:color w:val="auto"/>
          <w:highlight w:val="none"/>
        </w:rPr>
        <w:t>⑥</w:t>
      </w:r>
      <w:r>
        <w:rPr>
          <w:color w:val="auto"/>
          <w:highlight w:val="none"/>
        </w:rPr>
        <w:t>领导和组织机场范围的环境监测工作，建立监控档案；</w:t>
      </w:r>
    </w:p>
    <w:p w14:paraId="29A31444">
      <w:pPr>
        <w:ind w:firstLine="480" w:firstLineChars="200"/>
        <w:rPr>
          <w:color w:val="auto"/>
          <w:highlight w:val="none"/>
        </w:rPr>
      </w:pPr>
      <w:r>
        <w:rPr>
          <w:rFonts w:hint="eastAsia" w:ascii="宋体" w:hAnsi="宋体" w:cs="宋体"/>
          <w:color w:val="auto"/>
          <w:highlight w:val="none"/>
        </w:rPr>
        <w:t>⑦</w:t>
      </w:r>
      <w:r>
        <w:rPr>
          <w:color w:val="auto"/>
          <w:highlight w:val="none"/>
        </w:rPr>
        <w:t>与政府环境保护机构密切配合，接受各级政府环境保护机构的检查与指导。</w:t>
      </w:r>
    </w:p>
    <w:p w14:paraId="6349783A">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环境管理措施</w:t>
      </w:r>
    </w:p>
    <w:p w14:paraId="7CC93315">
      <w:pPr>
        <w:widowControl/>
        <w:numPr>
          <w:ilvl w:val="0"/>
          <w:numId w:val="29"/>
        </w:numPr>
        <w:ind w:left="0" w:firstLine="480" w:firstLineChars="200"/>
        <w:rPr>
          <w:color w:val="auto"/>
          <w:highlight w:val="none"/>
        </w:rPr>
      </w:pPr>
      <w:r>
        <w:rPr>
          <w:color w:val="auto"/>
          <w:highlight w:val="none"/>
        </w:rPr>
        <w:t>施工期环境管理措施</w:t>
      </w:r>
    </w:p>
    <w:p w14:paraId="1517DCA3">
      <w:pPr>
        <w:ind w:firstLine="480" w:firstLineChars="200"/>
        <w:rPr>
          <w:color w:val="auto"/>
          <w:highlight w:val="none"/>
        </w:rPr>
      </w:pPr>
      <w:r>
        <w:rPr>
          <w:color w:val="auto"/>
          <w:highlight w:val="none"/>
        </w:rPr>
        <w:t>对施工队伍实行环保职责管理，在项目承包合同中，应包括有关环境保护的条款，对施工机械、施工方法、施工进度提出环境保护要求，以及对施工过程中扬尘、噪声排放强度等的限制和措施。要求施工单位按环保要求施工，并对施工过程环保措施的实施进行检查、监督。</w:t>
      </w:r>
    </w:p>
    <w:p w14:paraId="151665AF">
      <w:pPr>
        <w:widowControl/>
        <w:numPr>
          <w:ilvl w:val="0"/>
          <w:numId w:val="29"/>
        </w:numPr>
        <w:ind w:left="0" w:firstLine="480" w:firstLineChars="200"/>
        <w:rPr>
          <w:color w:val="auto"/>
          <w:highlight w:val="none"/>
        </w:rPr>
      </w:pPr>
      <w:r>
        <w:rPr>
          <w:color w:val="auto"/>
          <w:highlight w:val="none"/>
        </w:rPr>
        <w:t>运营期的环境管理措施</w:t>
      </w:r>
    </w:p>
    <w:p w14:paraId="4432F405">
      <w:pPr>
        <w:ind w:firstLine="480" w:firstLineChars="200"/>
        <w:rPr>
          <w:color w:val="auto"/>
          <w:highlight w:val="none"/>
        </w:rPr>
      </w:pPr>
      <w:r>
        <w:rPr>
          <w:color w:val="auto"/>
          <w:highlight w:val="none"/>
        </w:rPr>
        <w:t>机场环保工作要纳入机场全面工作之中，把环保工作贯穿到机场管理的各个部分。机场环保工作要合理</w:t>
      </w:r>
      <w:r>
        <w:rPr>
          <w:rFonts w:hint="eastAsia"/>
          <w:color w:val="auto"/>
          <w:highlight w:val="none"/>
          <w:lang w:eastAsia="zh-CN"/>
        </w:rPr>
        <w:t>部署</w:t>
      </w:r>
      <w:r>
        <w:rPr>
          <w:color w:val="auto"/>
          <w:highlight w:val="none"/>
        </w:rPr>
        <w:t>、统一安排，使环境污染治理做到从源头开始实施；贯彻以防为主，防治结合的方针。机场的日常环境管理要有一整套行之有效的管理制度，落实具体责任和奖罚规定。环保管理机构要对环境保护统一管理，对各部门环保工作定期检查，并接受政府</w:t>
      </w:r>
      <w:r>
        <w:rPr>
          <w:rFonts w:hint="eastAsia" w:eastAsia="宋体"/>
          <w:color w:val="auto"/>
          <w:highlight w:val="none"/>
          <w:lang w:eastAsia="zh-CN"/>
        </w:rPr>
        <w:t>生态环境部门</w:t>
      </w:r>
      <w:r>
        <w:rPr>
          <w:color w:val="auto"/>
          <w:highlight w:val="none"/>
        </w:rPr>
        <w:t>的监督。</w:t>
      </w:r>
    </w:p>
    <w:p w14:paraId="231E0A09">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24" w:name="_Toc20067"/>
      <w:bookmarkStart w:id="325" w:name="_Toc135728817"/>
      <w:bookmarkStart w:id="326" w:name="_Toc103694393"/>
      <w:r>
        <w:rPr>
          <w:rFonts w:hint="eastAsia" w:ascii="Times New Roman" w:hAnsi="Times New Roman" w:eastAsia="黑体" w:cs="Times New Roman"/>
          <w:bCs/>
          <w:color w:val="auto"/>
          <w:spacing w:val="0"/>
          <w:w w:val="100"/>
          <w:kern w:val="28"/>
          <w:sz w:val="30"/>
          <w:szCs w:val="30"/>
          <w:highlight w:val="none"/>
          <w:lang w:val="en-US" w:eastAsia="zh-CN" w:bidi="ar-SA"/>
        </w:rPr>
        <w:t>环境监测计划</w:t>
      </w:r>
      <w:bookmarkEnd w:id="324"/>
    </w:p>
    <w:bookmarkEnd w:id="325"/>
    <w:bookmarkEnd w:id="326"/>
    <w:p w14:paraId="59D479C4">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施工期环境监测计划</w:t>
      </w:r>
    </w:p>
    <w:p w14:paraId="52722D20">
      <w:pPr>
        <w:ind w:firstLine="480" w:firstLineChars="200"/>
        <w:rPr>
          <w:color w:val="auto"/>
          <w:highlight w:val="none"/>
        </w:rPr>
      </w:pPr>
      <w:r>
        <w:rPr>
          <w:color w:val="auto"/>
          <w:highlight w:val="none"/>
        </w:rPr>
        <w:t>施工期环境监测和管理是为了检查施工过程中发生的施工扬尘、施工噪声引起的环境问题，并对施工期</w:t>
      </w:r>
      <w:r>
        <w:rPr>
          <w:rFonts w:hint="eastAsia"/>
          <w:color w:val="auto"/>
          <w:highlight w:val="none"/>
          <w:lang w:val="en-US" w:eastAsia="zh-CN"/>
        </w:rPr>
        <w:t>油车棚</w:t>
      </w:r>
      <w:r>
        <w:rPr>
          <w:color w:val="auto"/>
          <w:highlight w:val="none"/>
        </w:rPr>
        <w:t>、污水处理</w:t>
      </w:r>
      <w:r>
        <w:rPr>
          <w:rFonts w:hint="eastAsia"/>
          <w:color w:val="auto"/>
          <w:highlight w:val="none"/>
          <w:lang w:val="en-US" w:eastAsia="zh-CN"/>
        </w:rPr>
        <w:t>站</w:t>
      </w:r>
      <w:r>
        <w:rPr>
          <w:color w:val="auto"/>
          <w:highlight w:val="none"/>
        </w:rPr>
        <w:t>等防渗区防渗隐蔽工程落实情况进行监理，即对施工全过程进行监控。</w:t>
      </w:r>
    </w:p>
    <w:p w14:paraId="61010B00">
      <w:pPr>
        <w:spacing w:after="3"/>
        <w:ind w:left="10" w:right="244" w:hanging="10"/>
        <w:jc w:val="center"/>
        <w:rPr>
          <w:rFonts w:eastAsia="黑体"/>
          <w:color w:val="auto"/>
          <w:highlight w:val="none"/>
        </w:rPr>
      </w:pPr>
      <w:r>
        <w:rPr>
          <w:rFonts w:eastAsia="黑体"/>
          <w:color w:val="auto"/>
          <w:highlight w:val="none"/>
        </w:rPr>
        <w:t>表</w:t>
      </w:r>
      <w:r>
        <w:rPr>
          <w:rFonts w:hint="eastAsia" w:eastAsia="黑体"/>
          <w:color w:val="auto"/>
          <w:highlight w:val="none"/>
          <w:lang w:val="en-US" w:eastAsia="zh-CN"/>
        </w:rPr>
        <w:t>7.2</w:t>
      </w:r>
      <w:r>
        <w:rPr>
          <w:rFonts w:eastAsia="黑体"/>
          <w:color w:val="auto"/>
          <w:highlight w:val="none"/>
        </w:rPr>
        <w:t>-1  施工期环境管理及监测的主要内容</w:t>
      </w:r>
    </w:p>
    <w:tbl>
      <w:tblPr>
        <w:tblStyle w:val="100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6117"/>
        <w:gridCol w:w="1393"/>
      </w:tblGrid>
      <w:tr w14:paraId="3365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42" w:type="pct"/>
            <w:tcMar>
              <w:left w:w="57" w:type="dxa"/>
              <w:right w:w="57" w:type="dxa"/>
            </w:tcMar>
            <w:vAlign w:val="center"/>
          </w:tcPr>
          <w:p w14:paraId="7F9C6C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b/>
                <w:color w:val="auto"/>
                <w:sz w:val="21"/>
                <w:szCs w:val="21"/>
                <w:highlight w:val="none"/>
              </w:rPr>
            </w:pPr>
            <w:r>
              <w:rPr>
                <w:rFonts w:hint="default" w:eastAsiaTheme="minorEastAsia"/>
                <w:b/>
                <w:color w:val="auto"/>
                <w:sz w:val="21"/>
                <w:szCs w:val="21"/>
                <w:highlight w:val="none"/>
              </w:rPr>
              <w:t>监测计划</w:t>
            </w:r>
          </w:p>
        </w:tc>
        <w:tc>
          <w:tcPr>
            <w:tcW w:w="3548" w:type="pct"/>
            <w:tcMar>
              <w:left w:w="57" w:type="dxa"/>
              <w:right w:w="57" w:type="dxa"/>
            </w:tcMar>
            <w:vAlign w:val="center"/>
          </w:tcPr>
          <w:p w14:paraId="0A17F0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b/>
                <w:color w:val="auto"/>
                <w:sz w:val="21"/>
                <w:szCs w:val="21"/>
                <w:highlight w:val="none"/>
              </w:rPr>
            </w:pPr>
            <w:r>
              <w:rPr>
                <w:rFonts w:hint="default" w:eastAsiaTheme="minorEastAsia"/>
                <w:b/>
                <w:color w:val="auto"/>
                <w:sz w:val="21"/>
                <w:szCs w:val="21"/>
                <w:highlight w:val="none"/>
              </w:rPr>
              <w:t>监测点位及频率</w:t>
            </w:r>
          </w:p>
        </w:tc>
        <w:tc>
          <w:tcPr>
            <w:tcW w:w="808" w:type="pct"/>
            <w:tcMar>
              <w:left w:w="57" w:type="dxa"/>
              <w:right w:w="57" w:type="dxa"/>
            </w:tcMar>
            <w:vAlign w:val="center"/>
          </w:tcPr>
          <w:p w14:paraId="7A1C28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b/>
                <w:color w:val="auto"/>
                <w:sz w:val="21"/>
                <w:szCs w:val="21"/>
                <w:highlight w:val="none"/>
              </w:rPr>
            </w:pPr>
            <w:r>
              <w:rPr>
                <w:rFonts w:hint="default" w:eastAsiaTheme="minorEastAsia"/>
                <w:b/>
                <w:color w:val="auto"/>
                <w:sz w:val="21"/>
                <w:szCs w:val="21"/>
                <w:highlight w:val="none"/>
              </w:rPr>
              <w:t>监测因子</w:t>
            </w:r>
          </w:p>
        </w:tc>
      </w:tr>
      <w:tr w14:paraId="14D3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tcMar>
              <w:left w:w="57" w:type="dxa"/>
              <w:right w:w="57" w:type="dxa"/>
            </w:tcMar>
            <w:vAlign w:val="center"/>
          </w:tcPr>
          <w:p w14:paraId="062E18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大气</w:t>
            </w:r>
          </w:p>
        </w:tc>
        <w:tc>
          <w:tcPr>
            <w:tcW w:w="3548" w:type="pct"/>
            <w:tcMar>
              <w:left w:w="57" w:type="dxa"/>
              <w:right w:w="57" w:type="dxa"/>
            </w:tcMar>
            <w:vAlign w:val="center"/>
          </w:tcPr>
          <w:p w14:paraId="738552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在施工区及其周围上下风向设置大气监测点，1期/季，2天/期，4次/天</w:t>
            </w:r>
          </w:p>
        </w:tc>
        <w:tc>
          <w:tcPr>
            <w:tcW w:w="808" w:type="pct"/>
            <w:tcMar>
              <w:left w:w="57" w:type="dxa"/>
              <w:right w:w="57" w:type="dxa"/>
            </w:tcMar>
            <w:vAlign w:val="center"/>
          </w:tcPr>
          <w:p w14:paraId="73D0DF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TSP</w:t>
            </w:r>
          </w:p>
        </w:tc>
      </w:tr>
      <w:tr w14:paraId="63F7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tcMar>
              <w:left w:w="57" w:type="dxa"/>
              <w:right w:w="57" w:type="dxa"/>
            </w:tcMar>
            <w:vAlign w:val="center"/>
          </w:tcPr>
          <w:p w14:paraId="18B164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噪声</w:t>
            </w:r>
          </w:p>
        </w:tc>
        <w:tc>
          <w:tcPr>
            <w:tcW w:w="3548" w:type="pct"/>
            <w:tcMar>
              <w:left w:w="57" w:type="dxa"/>
              <w:right w:w="57" w:type="dxa"/>
            </w:tcMar>
            <w:vAlign w:val="center"/>
          </w:tcPr>
          <w:p w14:paraId="7588C9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施工场地四周设置4～6个噪声监测点，1天/月，昼夜各1次</w:t>
            </w:r>
          </w:p>
        </w:tc>
        <w:tc>
          <w:tcPr>
            <w:tcW w:w="808" w:type="pct"/>
            <w:tcMar>
              <w:left w:w="57" w:type="dxa"/>
              <w:right w:w="57" w:type="dxa"/>
            </w:tcMar>
            <w:vAlign w:val="center"/>
          </w:tcPr>
          <w:p w14:paraId="58CB81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等效A声级dB（A）</w:t>
            </w:r>
          </w:p>
        </w:tc>
      </w:tr>
      <w:tr w14:paraId="668F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tcMar>
              <w:left w:w="57" w:type="dxa"/>
              <w:right w:w="57" w:type="dxa"/>
            </w:tcMar>
            <w:vAlign w:val="center"/>
          </w:tcPr>
          <w:p w14:paraId="3FE81C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b/>
                <w:color w:val="auto"/>
                <w:sz w:val="21"/>
                <w:szCs w:val="21"/>
                <w:highlight w:val="none"/>
              </w:rPr>
            </w:pPr>
            <w:r>
              <w:rPr>
                <w:rFonts w:hint="default" w:eastAsiaTheme="minorEastAsia"/>
                <w:b/>
                <w:color w:val="auto"/>
                <w:sz w:val="21"/>
                <w:szCs w:val="21"/>
                <w:highlight w:val="none"/>
              </w:rPr>
              <w:t>防治对象</w:t>
            </w:r>
          </w:p>
        </w:tc>
        <w:tc>
          <w:tcPr>
            <w:tcW w:w="3548" w:type="pct"/>
            <w:tcMar>
              <w:left w:w="57" w:type="dxa"/>
              <w:right w:w="57" w:type="dxa"/>
            </w:tcMar>
            <w:vAlign w:val="center"/>
          </w:tcPr>
          <w:p w14:paraId="6CF88E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b/>
                <w:color w:val="auto"/>
                <w:sz w:val="21"/>
                <w:szCs w:val="21"/>
                <w:highlight w:val="none"/>
              </w:rPr>
            </w:pPr>
            <w:r>
              <w:rPr>
                <w:rFonts w:hint="default" w:eastAsiaTheme="minorEastAsia"/>
                <w:b/>
                <w:color w:val="auto"/>
                <w:sz w:val="21"/>
                <w:szCs w:val="21"/>
                <w:highlight w:val="none"/>
              </w:rPr>
              <w:t>防治措施</w:t>
            </w:r>
          </w:p>
        </w:tc>
        <w:tc>
          <w:tcPr>
            <w:tcW w:w="808" w:type="pct"/>
            <w:tcMar>
              <w:left w:w="57" w:type="dxa"/>
              <w:right w:w="57" w:type="dxa"/>
            </w:tcMar>
            <w:vAlign w:val="center"/>
          </w:tcPr>
          <w:p w14:paraId="64D02A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b/>
                <w:color w:val="auto"/>
                <w:sz w:val="21"/>
                <w:szCs w:val="21"/>
                <w:highlight w:val="none"/>
              </w:rPr>
            </w:pPr>
            <w:r>
              <w:rPr>
                <w:rFonts w:hint="default" w:eastAsiaTheme="minorEastAsia"/>
                <w:b/>
                <w:color w:val="auto"/>
                <w:sz w:val="21"/>
                <w:szCs w:val="21"/>
                <w:highlight w:val="none"/>
              </w:rPr>
              <w:t>环境管理</w:t>
            </w:r>
          </w:p>
        </w:tc>
      </w:tr>
      <w:tr w14:paraId="07D5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tcMar>
              <w:left w:w="57" w:type="dxa"/>
              <w:right w:w="57" w:type="dxa"/>
            </w:tcMar>
            <w:vAlign w:val="center"/>
          </w:tcPr>
          <w:p w14:paraId="1925D3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分区防渗</w:t>
            </w:r>
          </w:p>
        </w:tc>
        <w:tc>
          <w:tcPr>
            <w:tcW w:w="3548" w:type="pct"/>
            <w:tcMar>
              <w:left w:w="57" w:type="dxa"/>
              <w:right w:w="57" w:type="dxa"/>
            </w:tcMar>
            <w:vAlign w:val="center"/>
          </w:tcPr>
          <w:p w14:paraId="7A1332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eastAsia" w:eastAsiaTheme="minorEastAsia"/>
                <w:color w:val="auto"/>
                <w:sz w:val="21"/>
                <w:szCs w:val="21"/>
                <w:highlight w:val="none"/>
                <w:lang w:val="en-US" w:eastAsia="zh-CN"/>
              </w:rPr>
              <w:t>油车棚</w:t>
            </w:r>
            <w:r>
              <w:rPr>
                <w:rFonts w:hint="default" w:eastAsiaTheme="minorEastAsia"/>
                <w:color w:val="auto"/>
                <w:sz w:val="21"/>
                <w:szCs w:val="21"/>
                <w:highlight w:val="none"/>
              </w:rPr>
              <w:t>、污水处理站</w:t>
            </w:r>
            <w:r>
              <w:rPr>
                <w:rFonts w:hint="eastAsia" w:eastAsiaTheme="minorEastAsia"/>
                <w:color w:val="auto"/>
                <w:sz w:val="21"/>
                <w:szCs w:val="21"/>
                <w:highlight w:val="none"/>
                <w:lang w:eastAsia="zh-CN"/>
              </w:rPr>
              <w:t>、</w:t>
            </w:r>
            <w:r>
              <w:rPr>
                <w:rFonts w:hint="eastAsia" w:eastAsiaTheme="minorEastAsia"/>
                <w:color w:val="auto"/>
                <w:sz w:val="21"/>
                <w:szCs w:val="21"/>
                <w:highlight w:val="none"/>
                <w:lang w:val="en-US" w:eastAsia="zh-CN"/>
              </w:rPr>
              <w:t>危废贮存点</w:t>
            </w:r>
            <w:r>
              <w:rPr>
                <w:rFonts w:hint="default" w:eastAsiaTheme="minorEastAsia"/>
                <w:color w:val="auto"/>
                <w:sz w:val="21"/>
                <w:szCs w:val="21"/>
                <w:highlight w:val="none"/>
              </w:rPr>
              <w:t>及污水管网均采取重点防渗措施，防渗性能不应低于防渗系数为1.0×10</w:t>
            </w:r>
            <w:r>
              <w:rPr>
                <w:rFonts w:hint="default" w:eastAsiaTheme="minorEastAsia"/>
                <w:color w:val="auto"/>
                <w:sz w:val="21"/>
                <w:szCs w:val="21"/>
                <w:highlight w:val="none"/>
                <w:vertAlign w:val="superscript"/>
              </w:rPr>
              <w:t>-10</w:t>
            </w:r>
            <w:r>
              <w:rPr>
                <w:rFonts w:hint="default" w:eastAsiaTheme="minorEastAsia"/>
                <w:color w:val="auto"/>
                <w:sz w:val="21"/>
                <w:szCs w:val="21"/>
                <w:highlight w:val="none"/>
              </w:rPr>
              <w:t>cm/s；一般防治区渗透系数不应低于防渗系数为1.0×10</w:t>
            </w:r>
            <w:r>
              <w:rPr>
                <w:rFonts w:hint="default" w:eastAsiaTheme="minorEastAsia"/>
                <w:color w:val="auto"/>
                <w:sz w:val="21"/>
                <w:szCs w:val="21"/>
                <w:highlight w:val="none"/>
                <w:vertAlign w:val="superscript"/>
              </w:rPr>
              <w:t>-7</w:t>
            </w:r>
            <w:r>
              <w:rPr>
                <w:rFonts w:hint="default" w:eastAsiaTheme="minorEastAsia"/>
                <w:color w:val="auto"/>
                <w:sz w:val="21"/>
                <w:szCs w:val="21"/>
                <w:highlight w:val="none"/>
              </w:rPr>
              <w:t>cm/s。</w:t>
            </w:r>
          </w:p>
        </w:tc>
        <w:tc>
          <w:tcPr>
            <w:tcW w:w="808" w:type="pct"/>
            <w:tcMar>
              <w:left w:w="57" w:type="dxa"/>
              <w:right w:w="57" w:type="dxa"/>
            </w:tcMar>
            <w:vAlign w:val="center"/>
          </w:tcPr>
          <w:p w14:paraId="54C1F3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环境监理</w:t>
            </w:r>
          </w:p>
        </w:tc>
      </w:tr>
      <w:tr w14:paraId="1C47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vMerge w:val="restart"/>
            <w:tcMar>
              <w:left w:w="57" w:type="dxa"/>
              <w:right w:w="57" w:type="dxa"/>
            </w:tcMar>
            <w:vAlign w:val="center"/>
          </w:tcPr>
          <w:p w14:paraId="542865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施工扬尘</w:t>
            </w:r>
          </w:p>
        </w:tc>
        <w:tc>
          <w:tcPr>
            <w:tcW w:w="3548" w:type="pct"/>
            <w:tcMar>
              <w:left w:w="57" w:type="dxa"/>
              <w:right w:w="57" w:type="dxa"/>
            </w:tcMar>
            <w:vAlign w:val="center"/>
          </w:tcPr>
          <w:p w14:paraId="523201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建筑垃圾、生活垃圾及时清运；</w:t>
            </w:r>
          </w:p>
        </w:tc>
        <w:tc>
          <w:tcPr>
            <w:tcW w:w="808" w:type="pct"/>
            <w:vMerge w:val="restart"/>
            <w:tcMar>
              <w:left w:w="57" w:type="dxa"/>
              <w:right w:w="57" w:type="dxa"/>
            </w:tcMar>
            <w:vAlign w:val="center"/>
          </w:tcPr>
          <w:p w14:paraId="39E101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施工单位环保措施上墙，落实到人，做好施工场地环境管理和保洁工作。</w:t>
            </w:r>
          </w:p>
        </w:tc>
      </w:tr>
      <w:tr w14:paraId="7F0B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vMerge w:val="continue"/>
            <w:tcMar>
              <w:left w:w="57" w:type="dxa"/>
              <w:right w:w="57" w:type="dxa"/>
            </w:tcMar>
            <w:vAlign w:val="center"/>
          </w:tcPr>
          <w:p w14:paraId="59C276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p>
        </w:tc>
        <w:tc>
          <w:tcPr>
            <w:tcW w:w="3548" w:type="pct"/>
            <w:tcMar>
              <w:left w:w="57" w:type="dxa"/>
              <w:right w:w="57" w:type="dxa"/>
            </w:tcMar>
            <w:vAlign w:val="center"/>
          </w:tcPr>
          <w:p w14:paraId="2548F3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施工场地车辆出入口设置、车辆冲洗及沉淀设施；</w:t>
            </w:r>
          </w:p>
        </w:tc>
        <w:tc>
          <w:tcPr>
            <w:tcW w:w="808" w:type="pct"/>
            <w:vMerge w:val="continue"/>
            <w:tcMar>
              <w:left w:w="57" w:type="dxa"/>
              <w:right w:w="57" w:type="dxa"/>
            </w:tcMar>
            <w:vAlign w:val="center"/>
          </w:tcPr>
          <w:p w14:paraId="4C7B6D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p>
        </w:tc>
      </w:tr>
      <w:tr w14:paraId="3094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vMerge w:val="continue"/>
            <w:tcMar>
              <w:left w:w="57" w:type="dxa"/>
              <w:right w:w="57" w:type="dxa"/>
            </w:tcMar>
            <w:vAlign w:val="center"/>
          </w:tcPr>
          <w:p w14:paraId="4AD8F6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p>
        </w:tc>
        <w:tc>
          <w:tcPr>
            <w:tcW w:w="3548" w:type="pct"/>
            <w:tcMar>
              <w:left w:w="57" w:type="dxa"/>
              <w:right w:w="57" w:type="dxa"/>
            </w:tcMar>
            <w:vAlign w:val="center"/>
          </w:tcPr>
          <w:p w14:paraId="24B73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对工地及进出口定期洒水抑尘、清扫，保持工地整齐干净；</w:t>
            </w:r>
          </w:p>
        </w:tc>
        <w:tc>
          <w:tcPr>
            <w:tcW w:w="808" w:type="pct"/>
            <w:vMerge w:val="continue"/>
            <w:tcMar>
              <w:left w:w="57" w:type="dxa"/>
              <w:right w:w="57" w:type="dxa"/>
            </w:tcMar>
            <w:vAlign w:val="center"/>
          </w:tcPr>
          <w:p w14:paraId="61F9A6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p>
        </w:tc>
      </w:tr>
      <w:tr w14:paraId="25F6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vMerge w:val="continue"/>
            <w:tcMar>
              <w:left w:w="57" w:type="dxa"/>
              <w:right w:w="57" w:type="dxa"/>
            </w:tcMar>
            <w:vAlign w:val="center"/>
          </w:tcPr>
          <w:p w14:paraId="155BF6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p>
        </w:tc>
        <w:tc>
          <w:tcPr>
            <w:tcW w:w="3548" w:type="pct"/>
            <w:tcMar>
              <w:left w:w="57" w:type="dxa"/>
              <w:right w:w="57" w:type="dxa"/>
            </w:tcMar>
            <w:vAlign w:val="center"/>
          </w:tcPr>
          <w:p w14:paraId="3D195E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禁止焚烧熔化沥青；</w:t>
            </w:r>
          </w:p>
        </w:tc>
        <w:tc>
          <w:tcPr>
            <w:tcW w:w="808" w:type="pct"/>
            <w:vMerge w:val="continue"/>
            <w:tcMar>
              <w:left w:w="57" w:type="dxa"/>
              <w:right w:w="57" w:type="dxa"/>
            </w:tcMar>
            <w:vAlign w:val="center"/>
          </w:tcPr>
          <w:p w14:paraId="4351E3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p>
        </w:tc>
      </w:tr>
      <w:tr w14:paraId="4557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vMerge w:val="continue"/>
            <w:tcMar>
              <w:left w:w="57" w:type="dxa"/>
              <w:right w:w="57" w:type="dxa"/>
            </w:tcMar>
            <w:vAlign w:val="center"/>
          </w:tcPr>
          <w:p w14:paraId="37C524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p>
        </w:tc>
        <w:tc>
          <w:tcPr>
            <w:tcW w:w="3548" w:type="pct"/>
            <w:tcMar>
              <w:left w:w="57" w:type="dxa"/>
              <w:right w:w="57" w:type="dxa"/>
            </w:tcMar>
            <w:vAlign w:val="center"/>
          </w:tcPr>
          <w:p w14:paraId="00A11E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对回填土方进行压实或喷覆盖剂处理；</w:t>
            </w:r>
          </w:p>
        </w:tc>
        <w:tc>
          <w:tcPr>
            <w:tcW w:w="808" w:type="pct"/>
            <w:vMerge w:val="continue"/>
            <w:tcMar>
              <w:left w:w="57" w:type="dxa"/>
              <w:right w:w="57" w:type="dxa"/>
            </w:tcMar>
            <w:vAlign w:val="center"/>
          </w:tcPr>
          <w:p w14:paraId="59CED4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p>
        </w:tc>
      </w:tr>
      <w:tr w14:paraId="315C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vMerge w:val="continue"/>
            <w:tcMar>
              <w:left w:w="57" w:type="dxa"/>
              <w:right w:w="57" w:type="dxa"/>
            </w:tcMar>
            <w:vAlign w:val="center"/>
          </w:tcPr>
          <w:p w14:paraId="165D2A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p>
        </w:tc>
        <w:tc>
          <w:tcPr>
            <w:tcW w:w="3548" w:type="pct"/>
            <w:tcMar>
              <w:left w:w="57" w:type="dxa"/>
              <w:right w:w="57" w:type="dxa"/>
            </w:tcMar>
            <w:vAlign w:val="center"/>
          </w:tcPr>
          <w:p w14:paraId="60604D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建筑工地按有关规定进行围挡。</w:t>
            </w:r>
          </w:p>
        </w:tc>
        <w:tc>
          <w:tcPr>
            <w:tcW w:w="808" w:type="pct"/>
            <w:vMerge w:val="continue"/>
            <w:tcMar>
              <w:left w:w="57" w:type="dxa"/>
              <w:right w:w="57" w:type="dxa"/>
            </w:tcMar>
            <w:vAlign w:val="center"/>
          </w:tcPr>
          <w:p w14:paraId="0D03F4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p>
        </w:tc>
      </w:tr>
      <w:tr w14:paraId="2965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vMerge w:val="restart"/>
            <w:tcMar>
              <w:left w:w="57" w:type="dxa"/>
              <w:right w:w="57" w:type="dxa"/>
            </w:tcMar>
            <w:vAlign w:val="center"/>
          </w:tcPr>
          <w:p w14:paraId="18874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施工噪声</w:t>
            </w:r>
          </w:p>
        </w:tc>
        <w:tc>
          <w:tcPr>
            <w:tcW w:w="3548" w:type="pct"/>
            <w:tcMar>
              <w:left w:w="57" w:type="dxa"/>
              <w:right w:w="57" w:type="dxa"/>
            </w:tcMar>
            <w:vAlign w:val="center"/>
          </w:tcPr>
          <w:p w14:paraId="0806F5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合理安排施工机械的使用，减少高噪声设备的使用时间，</w:t>
            </w:r>
          </w:p>
        </w:tc>
        <w:tc>
          <w:tcPr>
            <w:tcW w:w="808" w:type="pct"/>
            <w:vMerge w:val="continue"/>
            <w:tcMar>
              <w:left w:w="57" w:type="dxa"/>
              <w:right w:w="57" w:type="dxa"/>
            </w:tcMar>
            <w:vAlign w:val="center"/>
          </w:tcPr>
          <w:p w14:paraId="2DF0C6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p>
        </w:tc>
      </w:tr>
      <w:tr w14:paraId="00DD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vMerge w:val="continue"/>
            <w:tcMar>
              <w:left w:w="57" w:type="dxa"/>
              <w:right w:w="57" w:type="dxa"/>
            </w:tcMar>
            <w:vAlign w:val="center"/>
          </w:tcPr>
          <w:p w14:paraId="5E7158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p>
        </w:tc>
        <w:tc>
          <w:tcPr>
            <w:tcW w:w="3548" w:type="pct"/>
            <w:tcMar>
              <w:left w:w="57" w:type="dxa"/>
              <w:right w:w="57" w:type="dxa"/>
            </w:tcMar>
            <w:vAlign w:val="center"/>
          </w:tcPr>
          <w:p w14:paraId="228AE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加强各种施工机械的维修保养，尽可能降低施工机械噪声的排放，严格限制高噪声机械在夜间使用</w:t>
            </w:r>
          </w:p>
        </w:tc>
        <w:tc>
          <w:tcPr>
            <w:tcW w:w="808" w:type="pct"/>
            <w:vMerge w:val="continue"/>
            <w:tcMar>
              <w:left w:w="57" w:type="dxa"/>
              <w:right w:w="57" w:type="dxa"/>
            </w:tcMar>
            <w:vAlign w:val="center"/>
          </w:tcPr>
          <w:p w14:paraId="38C0CB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p>
        </w:tc>
      </w:tr>
      <w:tr w14:paraId="2507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vMerge w:val="restart"/>
            <w:tcMar>
              <w:left w:w="57" w:type="dxa"/>
              <w:right w:w="57" w:type="dxa"/>
            </w:tcMar>
            <w:vAlign w:val="center"/>
          </w:tcPr>
          <w:p w14:paraId="51664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废水</w:t>
            </w:r>
          </w:p>
        </w:tc>
        <w:tc>
          <w:tcPr>
            <w:tcW w:w="3548" w:type="pct"/>
            <w:tcMar>
              <w:left w:w="57" w:type="dxa"/>
              <w:right w:w="57" w:type="dxa"/>
            </w:tcMar>
            <w:vAlign w:val="center"/>
          </w:tcPr>
          <w:p w14:paraId="46C462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施工期设置废水沉淀池和隔油池，施工废水经处理后循环使用或用于洒水降尘，不外排。施工现场设置防渗化粪池，定期清理。</w:t>
            </w:r>
          </w:p>
        </w:tc>
        <w:tc>
          <w:tcPr>
            <w:tcW w:w="808" w:type="pct"/>
            <w:vMerge w:val="continue"/>
            <w:tcMar>
              <w:left w:w="57" w:type="dxa"/>
              <w:right w:w="57" w:type="dxa"/>
            </w:tcMar>
            <w:vAlign w:val="center"/>
          </w:tcPr>
          <w:p w14:paraId="78B27F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p>
        </w:tc>
      </w:tr>
      <w:tr w14:paraId="6442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vMerge w:val="continue"/>
            <w:tcMar>
              <w:left w:w="57" w:type="dxa"/>
              <w:right w:w="57" w:type="dxa"/>
            </w:tcMar>
            <w:vAlign w:val="center"/>
          </w:tcPr>
          <w:p w14:paraId="7C3D88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p>
        </w:tc>
        <w:tc>
          <w:tcPr>
            <w:tcW w:w="3548" w:type="pct"/>
            <w:tcMar>
              <w:left w:w="57" w:type="dxa"/>
              <w:right w:w="57" w:type="dxa"/>
            </w:tcMar>
            <w:vAlign w:val="center"/>
          </w:tcPr>
          <w:p w14:paraId="283D9B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避免在洪水期进行基础开挖施工。</w:t>
            </w:r>
          </w:p>
        </w:tc>
        <w:tc>
          <w:tcPr>
            <w:tcW w:w="808" w:type="pct"/>
            <w:vMerge w:val="continue"/>
            <w:tcMar>
              <w:left w:w="57" w:type="dxa"/>
              <w:right w:w="57" w:type="dxa"/>
            </w:tcMar>
            <w:vAlign w:val="center"/>
          </w:tcPr>
          <w:p w14:paraId="0FF654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p>
        </w:tc>
      </w:tr>
      <w:tr w14:paraId="59AE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tcMar>
              <w:left w:w="57" w:type="dxa"/>
              <w:right w:w="57" w:type="dxa"/>
            </w:tcMar>
            <w:vAlign w:val="center"/>
          </w:tcPr>
          <w:p w14:paraId="2A24BF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建筑及生活垃圾</w:t>
            </w:r>
          </w:p>
        </w:tc>
        <w:tc>
          <w:tcPr>
            <w:tcW w:w="3548" w:type="pct"/>
            <w:tcMar>
              <w:left w:w="57" w:type="dxa"/>
              <w:right w:w="57" w:type="dxa"/>
            </w:tcMar>
            <w:vAlign w:val="center"/>
          </w:tcPr>
          <w:p w14:paraId="73A86F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建筑及生活垃圾及时清运，不能长期堆存，做到日产日清，车辆用毡布遮盖，防止沿途散落。</w:t>
            </w:r>
          </w:p>
        </w:tc>
        <w:tc>
          <w:tcPr>
            <w:tcW w:w="808" w:type="pct"/>
            <w:tcMar>
              <w:left w:w="57" w:type="dxa"/>
              <w:right w:w="57" w:type="dxa"/>
            </w:tcMar>
            <w:vAlign w:val="center"/>
          </w:tcPr>
          <w:p w14:paraId="28DABA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建筑及生活垃圾清运至指定地点。</w:t>
            </w:r>
          </w:p>
        </w:tc>
      </w:tr>
    </w:tbl>
    <w:p w14:paraId="1960C0CC">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运营期环境监测计划</w:t>
      </w:r>
    </w:p>
    <w:p w14:paraId="7601B8D3">
      <w:pPr>
        <w:ind w:firstLine="480" w:firstLineChars="200"/>
        <w:rPr>
          <w:color w:val="auto"/>
          <w:highlight w:val="none"/>
        </w:rPr>
      </w:pPr>
      <w:r>
        <w:rPr>
          <w:color w:val="auto"/>
          <w:highlight w:val="none"/>
        </w:rPr>
        <w:t>运营期的环境监测计划是为了跟踪监测本项目环境保护措施实施后的效果，并监测污染物排放强度，防止污染事故的发生，为机场环境管理提供科学依据。</w:t>
      </w:r>
    </w:p>
    <w:p w14:paraId="2B0F2FCF">
      <w:pPr>
        <w:ind w:firstLine="480" w:firstLineChars="200"/>
        <w:rPr>
          <w:color w:val="auto"/>
          <w:highlight w:val="none"/>
        </w:rPr>
      </w:pPr>
      <w:r>
        <w:rPr>
          <w:color w:val="auto"/>
          <w:highlight w:val="none"/>
        </w:rPr>
        <w:t>按照《排污单位自行监测技术指南总则》（</w:t>
      </w:r>
      <w:r>
        <w:rPr>
          <w:rFonts w:eastAsia="Times New Roman"/>
          <w:color w:val="auto"/>
          <w:highlight w:val="none"/>
        </w:rPr>
        <w:t>HJ810-2017</w:t>
      </w:r>
      <w:r>
        <w:rPr>
          <w:color w:val="auto"/>
          <w:highlight w:val="none"/>
        </w:rPr>
        <w:t>），制定本项目环境监测方案，企业可按以下监测方案配置相关检测技术力量或委托第三方检测机构承担。</w:t>
      </w:r>
    </w:p>
    <w:p w14:paraId="31524A3B">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污染源监测计划</w:t>
      </w:r>
    </w:p>
    <w:p w14:paraId="5F1D4E1A">
      <w:pPr>
        <w:ind w:firstLine="480" w:firstLineChars="200"/>
        <w:rPr>
          <w:color w:val="auto"/>
          <w:highlight w:val="none"/>
        </w:rPr>
      </w:pPr>
      <w:r>
        <w:rPr>
          <w:color w:val="auto"/>
          <w:highlight w:val="none"/>
        </w:rPr>
        <w:t>对运营期污染源开展日常环境监控监测，计划见表</w:t>
      </w:r>
      <w:r>
        <w:rPr>
          <w:rFonts w:hint="eastAsia" w:eastAsia="宋体"/>
          <w:color w:val="auto"/>
          <w:highlight w:val="none"/>
          <w:lang w:val="en-US" w:eastAsia="zh-CN"/>
        </w:rPr>
        <w:t>7.2</w:t>
      </w:r>
      <w:r>
        <w:rPr>
          <w:rFonts w:eastAsia="Times New Roman"/>
          <w:color w:val="auto"/>
          <w:highlight w:val="none"/>
        </w:rPr>
        <w:t>-2</w:t>
      </w:r>
      <w:r>
        <w:rPr>
          <w:color w:val="auto"/>
          <w:highlight w:val="none"/>
        </w:rPr>
        <w:t>。</w:t>
      </w:r>
    </w:p>
    <w:p w14:paraId="55D8C886">
      <w:pPr>
        <w:spacing w:after="3"/>
        <w:ind w:left="10" w:right="244" w:hanging="10"/>
        <w:jc w:val="center"/>
        <w:rPr>
          <w:rFonts w:eastAsia="黑体"/>
          <w:color w:val="auto"/>
          <w:sz w:val="21"/>
          <w:highlight w:val="none"/>
        </w:rPr>
      </w:pPr>
      <w:r>
        <w:rPr>
          <w:rFonts w:hint="eastAsia" w:eastAsia="黑体"/>
          <w:color w:val="auto"/>
          <w:sz w:val="21"/>
          <w:highlight w:val="none"/>
        </w:rPr>
        <w:t>表7.2</w:t>
      </w:r>
      <w:r>
        <w:rPr>
          <w:rFonts w:eastAsia="黑体"/>
          <w:color w:val="auto"/>
          <w:sz w:val="21"/>
          <w:highlight w:val="none"/>
        </w:rPr>
        <w:t>-2污染物企业自行监测计划一览表</w:t>
      </w:r>
    </w:p>
    <w:tbl>
      <w:tblPr>
        <w:tblStyle w:val="10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512"/>
        <w:gridCol w:w="1680"/>
        <w:gridCol w:w="1469"/>
        <w:gridCol w:w="3144"/>
      </w:tblGrid>
      <w:tr w14:paraId="1D500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pct"/>
            <w:tcMar>
              <w:left w:w="57" w:type="dxa"/>
              <w:right w:w="57" w:type="dxa"/>
            </w:tcMar>
            <w:vAlign w:val="center"/>
          </w:tcPr>
          <w:p w14:paraId="451A3A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类别</w:t>
            </w:r>
          </w:p>
        </w:tc>
        <w:tc>
          <w:tcPr>
            <w:tcW w:w="877" w:type="pct"/>
            <w:tcMar>
              <w:left w:w="57" w:type="dxa"/>
              <w:right w:w="57" w:type="dxa"/>
            </w:tcMar>
            <w:vAlign w:val="center"/>
          </w:tcPr>
          <w:p w14:paraId="79BBF0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监测点位置</w:t>
            </w:r>
          </w:p>
        </w:tc>
        <w:tc>
          <w:tcPr>
            <w:tcW w:w="974" w:type="pct"/>
            <w:tcMar>
              <w:left w:w="57" w:type="dxa"/>
              <w:right w:w="57" w:type="dxa"/>
            </w:tcMar>
            <w:vAlign w:val="center"/>
          </w:tcPr>
          <w:p w14:paraId="7E7E7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监测因子</w:t>
            </w:r>
          </w:p>
        </w:tc>
        <w:tc>
          <w:tcPr>
            <w:tcW w:w="852" w:type="pct"/>
            <w:tcMar>
              <w:left w:w="57" w:type="dxa"/>
              <w:right w:w="57" w:type="dxa"/>
            </w:tcMar>
            <w:vAlign w:val="center"/>
          </w:tcPr>
          <w:p w14:paraId="4379D0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建议监测频次</w:t>
            </w:r>
          </w:p>
        </w:tc>
        <w:tc>
          <w:tcPr>
            <w:tcW w:w="1823" w:type="pct"/>
            <w:tcMar>
              <w:left w:w="57" w:type="dxa"/>
              <w:right w:w="57" w:type="dxa"/>
            </w:tcMar>
            <w:vAlign w:val="center"/>
          </w:tcPr>
          <w:p w14:paraId="582BA8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标准</w:t>
            </w:r>
          </w:p>
        </w:tc>
      </w:tr>
      <w:tr w14:paraId="28D3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pct"/>
            <w:vMerge w:val="restart"/>
            <w:tcMar>
              <w:left w:w="57" w:type="dxa"/>
              <w:right w:w="57" w:type="dxa"/>
            </w:tcMar>
            <w:vAlign w:val="center"/>
          </w:tcPr>
          <w:p w14:paraId="4ACFBB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w:t>
            </w:r>
          </w:p>
        </w:tc>
        <w:tc>
          <w:tcPr>
            <w:tcW w:w="877" w:type="pct"/>
            <w:tcMar>
              <w:left w:w="57" w:type="dxa"/>
              <w:right w:w="57" w:type="dxa"/>
            </w:tcMar>
            <w:vAlign w:val="center"/>
          </w:tcPr>
          <w:p w14:paraId="22A395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油车棚</w:t>
            </w:r>
            <w:r>
              <w:rPr>
                <w:rFonts w:hint="default" w:ascii="Times New Roman" w:hAnsi="Times New Roman" w:eastAsia="宋体" w:cs="Times New Roman"/>
                <w:color w:val="auto"/>
                <w:sz w:val="21"/>
                <w:szCs w:val="21"/>
                <w:highlight w:val="none"/>
              </w:rPr>
              <w:t>场界无组织监控</w:t>
            </w:r>
          </w:p>
        </w:tc>
        <w:tc>
          <w:tcPr>
            <w:tcW w:w="974" w:type="pct"/>
            <w:tcMar>
              <w:left w:w="57" w:type="dxa"/>
              <w:right w:w="57" w:type="dxa"/>
            </w:tcMar>
            <w:vAlign w:val="center"/>
          </w:tcPr>
          <w:p w14:paraId="086733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NMHC</w:t>
            </w:r>
          </w:p>
        </w:tc>
        <w:tc>
          <w:tcPr>
            <w:tcW w:w="852" w:type="pct"/>
            <w:tcMar>
              <w:left w:w="57" w:type="dxa"/>
              <w:right w:w="57" w:type="dxa"/>
            </w:tcMar>
            <w:vAlign w:val="center"/>
          </w:tcPr>
          <w:p w14:paraId="33ED3D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每半年监测一次</w:t>
            </w:r>
          </w:p>
        </w:tc>
        <w:tc>
          <w:tcPr>
            <w:tcW w:w="1823" w:type="pct"/>
            <w:tcMar>
              <w:left w:w="57" w:type="dxa"/>
              <w:right w:w="57" w:type="dxa"/>
            </w:tcMar>
            <w:vAlign w:val="center"/>
          </w:tcPr>
          <w:p w14:paraId="00304D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非甲烷总烃执行《大气污染物综合排放标准》（GB16297-1996）中无组织排放监控浓度限值</w:t>
            </w:r>
          </w:p>
        </w:tc>
      </w:tr>
      <w:tr w14:paraId="5937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pct"/>
            <w:vMerge w:val="continue"/>
            <w:tcMar>
              <w:left w:w="57" w:type="dxa"/>
              <w:right w:w="57" w:type="dxa"/>
            </w:tcMar>
            <w:vAlign w:val="center"/>
          </w:tcPr>
          <w:p w14:paraId="389A7C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877" w:type="pct"/>
            <w:tcMar>
              <w:left w:w="57" w:type="dxa"/>
              <w:right w:w="57" w:type="dxa"/>
            </w:tcMar>
            <w:vAlign w:val="center"/>
          </w:tcPr>
          <w:p w14:paraId="339A82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污水处理站场界无组织监控</w:t>
            </w:r>
          </w:p>
        </w:tc>
        <w:tc>
          <w:tcPr>
            <w:tcW w:w="974" w:type="pct"/>
            <w:tcMar>
              <w:left w:w="57" w:type="dxa"/>
              <w:right w:w="57" w:type="dxa"/>
            </w:tcMar>
            <w:vAlign w:val="center"/>
          </w:tcPr>
          <w:p w14:paraId="5F54D7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NH</w:t>
            </w:r>
            <w:r>
              <w:rPr>
                <w:rFonts w:hint="default" w:ascii="Times New Roman" w:hAnsi="Times New Roman" w:eastAsia="宋体" w:cs="Times New Roman"/>
                <w:color w:val="auto"/>
                <w:sz w:val="21"/>
                <w:szCs w:val="21"/>
                <w:highlight w:val="none"/>
                <w:vertAlign w:val="subscript"/>
              </w:rPr>
              <w:t>3</w:t>
            </w:r>
            <w:r>
              <w:rPr>
                <w:rFonts w:hint="default" w:ascii="Times New Roman" w:hAnsi="Times New Roman" w:eastAsia="宋体" w:cs="Times New Roman"/>
                <w:color w:val="auto"/>
                <w:sz w:val="21"/>
                <w:szCs w:val="21"/>
                <w:highlight w:val="none"/>
              </w:rPr>
              <w:t>、H</w:t>
            </w:r>
            <w:r>
              <w:rPr>
                <w:rFonts w:hint="default" w:ascii="Times New Roman" w:hAnsi="Times New Roman" w:eastAsia="宋体" w:cs="Times New Roman"/>
                <w:color w:val="auto"/>
                <w:sz w:val="21"/>
                <w:szCs w:val="21"/>
                <w:highlight w:val="none"/>
                <w:vertAlign w:val="subscript"/>
              </w:rPr>
              <w:t>2</w:t>
            </w:r>
            <w:r>
              <w:rPr>
                <w:rFonts w:hint="default" w:ascii="Times New Roman" w:hAnsi="Times New Roman" w:eastAsia="宋体" w:cs="Times New Roman"/>
                <w:color w:val="auto"/>
                <w:sz w:val="21"/>
                <w:szCs w:val="21"/>
                <w:highlight w:val="none"/>
              </w:rPr>
              <w:t xml:space="preserve">S </w:t>
            </w:r>
          </w:p>
        </w:tc>
        <w:tc>
          <w:tcPr>
            <w:tcW w:w="852" w:type="pct"/>
            <w:tcMar>
              <w:left w:w="57" w:type="dxa"/>
              <w:right w:w="57" w:type="dxa"/>
            </w:tcMar>
            <w:vAlign w:val="center"/>
          </w:tcPr>
          <w:p w14:paraId="55C9C2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每半年监测一次</w:t>
            </w:r>
          </w:p>
        </w:tc>
        <w:tc>
          <w:tcPr>
            <w:tcW w:w="1823" w:type="pct"/>
            <w:tcMar>
              <w:left w:w="57" w:type="dxa"/>
              <w:right w:w="57" w:type="dxa"/>
            </w:tcMar>
            <w:vAlign w:val="center"/>
          </w:tcPr>
          <w:p w14:paraId="31C538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氨、硫化氢执行《恶臭污染物排放标准》（GB14554-93）中的厂界标准值二级标准</w:t>
            </w:r>
          </w:p>
        </w:tc>
      </w:tr>
      <w:tr w14:paraId="439F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pct"/>
            <w:vMerge w:val="continue"/>
            <w:tcMar>
              <w:left w:w="57" w:type="dxa"/>
              <w:right w:w="57" w:type="dxa"/>
            </w:tcMar>
            <w:vAlign w:val="center"/>
          </w:tcPr>
          <w:p w14:paraId="38BEB8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877" w:type="pct"/>
            <w:tcMar>
              <w:left w:w="57" w:type="dxa"/>
              <w:right w:w="57" w:type="dxa"/>
            </w:tcMar>
            <w:vAlign w:val="center"/>
          </w:tcPr>
          <w:p w14:paraId="0F0463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油车棚无组织监控</w:t>
            </w:r>
          </w:p>
        </w:tc>
        <w:tc>
          <w:tcPr>
            <w:tcW w:w="974" w:type="pct"/>
            <w:tcMar>
              <w:left w:w="57" w:type="dxa"/>
              <w:right w:w="57" w:type="dxa"/>
            </w:tcMar>
            <w:vAlign w:val="center"/>
          </w:tcPr>
          <w:p w14:paraId="028820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NMHC</w:t>
            </w:r>
          </w:p>
        </w:tc>
        <w:tc>
          <w:tcPr>
            <w:tcW w:w="852" w:type="pct"/>
            <w:tcMar>
              <w:left w:w="57" w:type="dxa"/>
              <w:right w:w="57" w:type="dxa"/>
            </w:tcMar>
            <w:vAlign w:val="center"/>
          </w:tcPr>
          <w:p w14:paraId="2BCBFF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每半年监测一次</w:t>
            </w:r>
          </w:p>
        </w:tc>
        <w:tc>
          <w:tcPr>
            <w:tcW w:w="1823" w:type="pct"/>
            <w:tcMar>
              <w:left w:w="57" w:type="dxa"/>
              <w:right w:w="57" w:type="dxa"/>
            </w:tcMar>
            <w:vAlign w:val="center"/>
          </w:tcPr>
          <w:p w14:paraId="46FB17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《大气污染物综合排放标准》（GB 16297-1996）</w:t>
            </w:r>
          </w:p>
        </w:tc>
      </w:tr>
      <w:tr w14:paraId="3E2B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pct"/>
            <w:tcMar>
              <w:left w:w="57" w:type="dxa"/>
              <w:right w:w="57" w:type="dxa"/>
            </w:tcMar>
            <w:vAlign w:val="center"/>
          </w:tcPr>
          <w:p w14:paraId="5770B8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废水</w:t>
            </w:r>
          </w:p>
        </w:tc>
        <w:tc>
          <w:tcPr>
            <w:tcW w:w="877" w:type="pct"/>
            <w:tcMar>
              <w:left w:w="57" w:type="dxa"/>
              <w:right w:w="57" w:type="dxa"/>
            </w:tcMar>
            <w:vAlign w:val="center"/>
          </w:tcPr>
          <w:p w14:paraId="5686A0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污水处理站出水口</w:t>
            </w:r>
          </w:p>
        </w:tc>
        <w:tc>
          <w:tcPr>
            <w:tcW w:w="974" w:type="pct"/>
            <w:tcMar>
              <w:left w:w="57" w:type="dxa"/>
              <w:right w:w="57" w:type="dxa"/>
            </w:tcMar>
            <w:vAlign w:val="center"/>
          </w:tcPr>
          <w:p w14:paraId="40D96C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BOD</w:t>
            </w:r>
            <w:r>
              <w:rPr>
                <w:rFonts w:hint="default" w:ascii="Times New Roman" w:hAnsi="Times New Roman" w:eastAsia="宋体" w:cs="Times New Roman"/>
                <w:color w:val="auto"/>
                <w:sz w:val="21"/>
                <w:szCs w:val="21"/>
                <w:highlight w:val="none"/>
                <w:vertAlign w:val="subscript"/>
              </w:rPr>
              <w:t>5</w:t>
            </w:r>
            <w:r>
              <w:rPr>
                <w:rFonts w:hint="default" w:ascii="Times New Roman" w:hAnsi="Times New Roman" w:eastAsia="宋体" w:cs="Times New Roman"/>
                <w:color w:val="auto"/>
                <w:sz w:val="21"/>
                <w:szCs w:val="21"/>
                <w:highlight w:val="none"/>
              </w:rPr>
              <w:t>、氨氮</w:t>
            </w:r>
          </w:p>
        </w:tc>
        <w:tc>
          <w:tcPr>
            <w:tcW w:w="852" w:type="pct"/>
            <w:tcMar>
              <w:left w:w="57" w:type="dxa"/>
              <w:right w:w="57" w:type="dxa"/>
            </w:tcMar>
            <w:vAlign w:val="center"/>
          </w:tcPr>
          <w:p w14:paraId="5B71B4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每季度监测1次</w:t>
            </w:r>
          </w:p>
        </w:tc>
        <w:tc>
          <w:tcPr>
            <w:tcW w:w="1823" w:type="pct"/>
            <w:tcMar>
              <w:left w:w="57" w:type="dxa"/>
              <w:right w:w="57" w:type="dxa"/>
            </w:tcMar>
            <w:vAlign w:val="center"/>
          </w:tcPr>
          <w:p w14:paraId="2F94C7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《城市污水再生利用城市杂用水质》（GB18920-2020）中城市绿化、道路清扫等水质指标</w:t>
            </w:r>
          </w:p>
        </w:tc>
      </w:tr>
      <w:tr w14:paraId="1CD0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pct"/>
            <w:tcMar>
              <w:left w:w="57" w:type="dxa"/>
              <w:right w:w="57" w:type="dxa"/>
            </w:tcMar>
            <w:vAlign w:val="center"/>
          </w:tcPr>
          <w:p w14:paraId="420D9B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w:t>
            </w:r>
          </w:p>
        </w:tc>
        <w:tc>
          <w:tcPr>
            <w:tcW w:w="877" w:type="pct"/>
            <w:tcMar>
              <w:left w:w="57" w:type="dxa"/>
              <w:right w:w="57" w:type="dxa"/>
            </w:tcMar>
            <w:vAlign w:val="center"/>
          </w:tcPr>
          <w:p w14:paraId="013113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场界</w:t>
            </w:r>
          </w:p>
        </w:tc>
        <w:tc>
          <w:tcPr>
            <w:tcW w:w="974" w:type="pct"/>
            <w:tcMar>
              <w:left w:w="57" w:type="dxa"/>
              <w:right w:w="57" w:type="dxa"/>
            </w:tcMar>
            <w:vAlign w:val="center"/>
          </w:tcPr>
          <w:p w14:paraId="3832AA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连续等效A声级</w:t>
            </w:r>
          </w:p>
        </w:tc>
        <w:tc>
          <w:tcPr>
            <w:tcW w:w="852" w:type="pct"/>
            <w:tcMar>
              <w:left w:w="57" w:type="dxa"/>
              <w:right w:w="57" w:type="dxa"/>
            </w:tcMar>
            <w:vAlign w:val="center"/>
          </w:tcPr>
          <w:p w14:paraId="470756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每季度监测1次</w:t>
            </w:r>
          </w:p>
        </w:tc>
        <w:tc>
          <w:tcPr>
            <w:tcW w:w="1823" w:type="pct"/>
            <w:tcMar>
              <w:left w:w="57" w:type="dxa"/>
              <w:right w:w="57" w:type="dxa"/>
            </w:tcMar>
            <w:vAlign w:val="center"/>
          </w:tcPr>
          <w:p w14:paraId="7723E4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《机场周围飞机噪声环境标准》（GB9660-88）</w:t>
            </w:r>
          </w:p>
        </w:tc>
      </w:tr>
    </w:tbl>
    <w:p w14:paraId="0C728B17">
      <w:pPr>
        <w:rPr>
          <w:color w:val="auto"/>
          <w:highlight w:val="none"/>
        </w:rPr>
      </w:pPr>
    </w:p>
    <w:p w14:paraId="261C47F0">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环境质量监测计划</w:t>
      </w:r>
    </w:p>
    <w:p w14:paraId="4BC9082D">
      <w:pPr>
        <w:ind w:firstLine="480" w:firstLineChars="200"/>
        <w:rPr>
          <w:color w:val="auto"/>
          <w:sz w:val="24"/>
          <w:szCs w:val="24"/>
          <w:highlight w:val="none"/>
        </w:rPr>
      </w:pPr>
      <w:r>
        <w:rPr>
          <w:color w:val="auto"/>
          <w:sz w:val="24"/>
          <w:szCs w:val="24"/>
          <w:highlight w:val="none"/>
        </w:rPr>
        <w:t>根据《排污单位自行监测技术指南</w:t>
      </w:r>
      <w:r>
        <w:rPr>
          <w:rFonts w:hint="eastAsia"/>
          <w:color w:val="auto"/>
          <w:sz w:val="24"/>
          <w:szCs w:val="24"/>
          <w:highlight w:val="none"/>
          <w:lang w:val="en-US" w:eastAsia="zh-CN"/>
        </w:rPr>
        <w:t xml:space="preserve"> </w:t>
      </w:r>
      <w:r>
        <w:rPr>
          <w:color w:val="auto"/>
          <w:sz w:val="24"/>
          <w:szCs w:val="24"/>
          <w:highlight w:val="none"/>
        </w:rPr>
        <w:t>总则》（</w:t>
      </w:r>
      <w:r>
        <w:rPr>
          <w:rFonts w:eastAsia="Times New Roman"/>
          <w:color w:val="auto"/>
          <w:sz w:val="24"/>
          <w:szCs w:val="24"/>
          <w:highlight w:val="none"/>
        </w:rPr>
        <w:t>HJ819-2017</w:t>
      </w:r>
      <w:r>
        <w:rPr>
          <w:color w:val="auto"/>
          <w:sz w:val="24"/>
          <w:szCs w:val="24"/>
          <w:highlight w:val="none"/>
        </w:rPr>
        <w:t>）要求，企业应定期开展周边环境质量影响的监测，监测方案见</w:t>
      </w:r>
      <w:r>
        <w:rPr>
          <w:rFonts w:hint="eastAsia"/>
          <w:color w:val="auto"/>
          <w:sz w:val="24"/>
          <w:szCs w:val="24"/>
          <w:highlight w:val="none"/>
        </w:rPr>
        <w:t>表7.2</w:t>
      </w:r>
      <w:r>
        <w:rPr>
          <w:rFonts w:eastAsia="Times New Roman"/>
          <w:color w:val="auto"/>
          <w:sz w:val="24"/>
          <w:szCs w:val="24"/>
          <w:highlight w:val="none"/>
        </w:rPr>
        <w:t>-3</w:t>
      </w:r>
      <w:r>
        <w:rPr>
          <w:color w:val="auto"/>
          <w:sz w:val="24"/>
          <w:szCs w:val="24"/>
          <w:highlight w:val="none"/>
        </w:rPr>
        <w:t>所示。</w:t>
      </w:r>
    </w:p>
    <w:p w14:paraId="76BFFB0E">
      <w:pPr>
        <w:spacing w:after="3"/>
        <w:ind w:left="10" w:right="244" w:hanging="10"/>
        <w:jc w:val="center"/>
        <w:rPr>
          <w:rFonts w:eastAsia="黑体"/>
          <w:color w:val="auto"/>
          <w:highlight w:val="none"/>
        </w:rPr>
      </w:pPr>
      <w:r>
        <w:rPr>
          <w:rFonts w:hint="eastAsia" w:eastAsia="黑体"/>
          <w:color w:val="auto"/>
          <w:highlight w:val="none"/>
        </w:rPr>
        <w:t>表7.2</w:t>
      </w:r>
      <w:r>
        <w:rPr>
          <w:rFonts w:eastAsia="黑体"/>
          <w:color w:val="auto"/>
          <w:highlight w:val="none"/>
        </w:rPr>
        <w:t>-3环境质量自行监测计划</w:t>
      </w:r>
    </w:p>
    <w:tbl>
      <w:tblPr>
        <w:tblStyle w:val="10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536"/>
        <w:gridCol w:w="1512"/>
        <w:gridCol w:w="1693"/>
        <w:gridCol w:w="3057"/>
      </w:tblGrid>
      <w:tr w14:paraId="296F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75" w:type="pct"/>
            <w:tcMar>
              <w:left w:w="57" w:type="dxa"/>
              <w:right w:w="57" w:type="dxa"/>
            </w:tcMar>
            <w:vAlign w:val="center"/>
          </w:tcPr>
          <w:p w14:paraId="73C991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类别</w:t>
            </w:r>
          </w:p>
        </w:tc>
        <w:tc>
          <w:tcPr>
            <w:tcW w:w="891" w:type="pct"/>
            <w:tcMar>
              <w:left w:w="57" w:type="dxa"/>
              <w:right w:w="57" w:type="dxa"/>
            </w:tcMar>
            <w:vAlign w:val="center"/>
          </w:tcPr>
          <w:p w14:paraId="24F837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监测点</w:t>
            </w:r>
          </w:p>
        </w:tc>
        <w:tc>
          <w:tcPr>
            <w:tcW w:w="877" w:type="pct"/>
            <w:tcMar>
              <w:left w:w="57" w:type="dxa"/>
              <w:right w:w="57" w:type="dxa"/>
            </w:tcMar>
            <w:vAlign w:val="center"/>
          </w:tcPr>
          <w:p w14:paraId="05206C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监测因子</w:t>
            </w:r>
          </w:p>
        </w:tc>
        <w:tc>
          <w:tcPr>
            <w:tcW w:w="982" w:type="pct"/>
            <w:tcMar>
              <w:left w:w="57" w:type="dxa"/>
              <w:right w:w="57" w:type="dxa"/>
            </w:tcMar>
            <w:vAlign w:val="center"/>
          </w:tcPr>
          <w:p w14:paraId="409B65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监测频次</w:t>
            </w:r>
          </w:p>
        </w:tc>
        <w:tc>
          <w:tcPr>
            <w:tcW w:w="1772" w:type="pct"/>
            <w:tcMar>
              <w:left w:w="57" w:type="dxa"/>
              <w:right w:w="57" w:type="dxa"/>
            </w:tcMar>
            <w:vAlign w:val="center"/>
          </w:tcPr>
          <w:p w14:paraId="2F5614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标准</w:t>
            </w:r>
          </w:p>
        </w:tc>
      </w:tr>
      <w:tr w14:paraId="3E2C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5" w:type="pct"/>
            <w:tcMar>
              <w:left w:w="57" w:type="dxa"/>
              <w:right w:w="57" w:type="dxa"/>
            </w:tcMar>
            <w:vAlign w:val="center"/>
          </w:tcPr>
          <w:p w14:paraId="6152ED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环境空气</w:t>
            </w:r>
          </w:p>
        </w:tc>
        <w:tc>
          <w:tcPr>
            <w:tcW w:w="891" w:type="pct"/>
            <w:tcMar>
              <w:left w:w="57" w:type="dxa"/>
              <w:right w:w="57" w:type="dxa"/>
            </w:tcMar>
            <w:vAlign w:val="center"/>
          </w:tcPr>
          <w:p w14:paraId="6B8F99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八家户牧业四队</w:t>
            </w:r>
          </w:p>
        </w:tc>
        <w:tc>
          <w:tcPr>
            <w:tcW w:w="877" w:type="pct"/>
            <w:tcMar>
              <w:left w:w="57" w:type="dxa"/>
              <w:right w:w="57" w:type="dxa"/>
            </w:tcMar>
            <w:vAlign w:val="center"/>
          </w:tcPr>
          <w:p w14:paraId="100A77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SO</w:t>
            </w:r>
            <w:r>
              <w:rPr>
                <w:rFonts w:hint="default" w:eastAsiaTheme="minorEastAsia"/>
                <w:color w:val="auto"/>
                <w:sz w:val="21"/>
                <w:szCs w:val="21"/>
                <w:highlight w:val="none"/>
                <w:vertAlign w:val="subscript"/>
              </w:rPr>
              <w:t>2</w:t>
            </w:r>
            <w:r>
              <w:rPr>
                <w:rFonts w:hint="default" w:eastAsiaTheme="minorEastAsia"/>
                <w:color w:val="auto"/>
                <w:sz w:val="21"/>
                <w:szCs w:val="21"/>
                <w:highlight w:val="none"/>
              </w:rPr>
              <w:t>、NO</w:t>
            </w:r>
            <w:r>
              <w:rPr>
                <w:rFonts w:hint="default" w:eastAsiaTheme="minorEastAsia"/>
                <w:color w:val="auto"/>
                <w:sz w:val="21"/>
                <w:szCs w:val="21"/>
                <w:highlight w:val="none"/>
                <w:vertAlign w:val="subscript"/>
              </w:rPr>
              <w:t>2</w:t>
            </w:r>
            <w:r>
              <w:rPr>
                <w:rFonts w:hint="default" w:eastAsiaTheme="minorEastAsia"/>
                <w:color w:val="auto"/>
                <w:sz w:val="21"/>
                <w:szCs w:val="21"/>
                <w:highlight w:val="none"/>
              </w:rPr>
              <w:t>、</w:t>
            </w:r>
          </w:p>
          <w:p w14:paraId="7D64DE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PM</w:t>
            </w:r>
            <w:r>
              <w:rPr>
                <w:rFonts w:hint="default" w:eastAsiaTheme="minorEastAsia"/>
                <w:color w:val="auto"/>
                <w:sz w:val="21"/>
                <w:szCs w:val="21"/>
                <w:highlight w:val="none"/>
                <w:vertAlign w:val="subscript"/>
              </w:rPr>
              <w:t>10</w:t>
            </w:r>
            <w:r>
              <w:rPr>
                <w:rFonts w:hint="default" w:eastAsiaTheme="minorEastAsia"/>
                <w:color w:val="auto"/>
                <w:sz w:val="21"/>
                <w:szCs w:val="21"/>
                <w:highlight w:val="none"/>
              </w:rPr>
              <w:t>、H</w:t>
            </w:r>
            <w:r>
              <w:rPr>
                <w:rFonts w:hint="default" w:eastAsiaTheme="minorEastAsia"/>
                <w:color w:val="auto"/>
                <w:sz w:val="21"/>
                <w:szCs w:val="21"/>
                <w:highlight w:val="none"/>
                <w:vertAlign w:val="subscript"/>
              </w:rPr>
              <w:t>2</w:t>
            </w:r>
            <w:r>
              <w:rPr>
                <w:rFonts w:hint="default" w:eastAsiaTheme="minorEastAsia"/>
                <w:color w:val="auto"/>
                <w:sz w:val="21"/>
                <w:szCs w:val="21"/>
                <w:highlight w:val="none"/>
              </w:rPr>
              <w:t>S、</w:t>
            </w:r>
          </w:p>
          <w:p w14:paraId="40DCFB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NH</w:t>
            </w:r>
            <w:r>
              <w:rPr>
                <w:rFonts w:hint="default" w:eastAsiaTheme="minorEastAsia"/>
                <w:color w:val="auto"/>
                <w:sz w:val="21"/>
                <w:szCs w:val="21"/>
                <w:highlight w:val="none"/>
                <w:vertAlign w:val="subscript"/>
              </w:rPr>
              <w:t>3</w:t>
            </w:r>
            <w:r>
              <w:rPr>
                <w:rFonts w:hint="default" w:eastAsiaTheme="minorEastAsia"/>
                <w:color w:val="auto"/>
                <w:sz w:val="21"/>
                <w:szCs w:val="21"/>
                <w:highlight w:val="none"/>
              </w:rPr>
              <w:t>、NMHC</w:t>
            </w:r>
          </w:p>
        </w:tc>
        <w:tc>
          <w:tcPr>
            <w:tcW w:w="982" w:type="pct"/>
            <w:tcMar>
              <w:left w:w="57" w:type="dxa"/>
              <w:right w:w="57" w:type="dxa"/>
            </w:tcMar>
            <w:vAlign w:val="center"/>
          </w:tcPr>
          <w:p w14:paraId="54D94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每年监测1次</w:t>
            </w:r>
          </w:p>
        </w:tc>
        <w:tc>
          <w:tcPr>
            <w:tcW w:w="1772" w:type="pct"/>
            <w:tcMar>
              <w:left w:w="57" w:type="dxa"/>
              <w:right w:w="57" w:type="dxa"/>
            </w:tcMar>
            <w:vAlign w:val="center"/>
          </w:tcPr>
          <w:p w14:paraId="366EFB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《环境空气质量标准》</w:t>
            </w:r>
          </w:p>
          <w:p w14:paraId="5BA9C2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（GB3095-2012）及其修改单中二级标准</w:t>
            </w:r>
          </w:p>
        </w:tc>
      </w:tr>
      <w:tr w14:paraId="7943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5" w:type="pct"/>
            <w:tcMar>
              <w:left w:w="57" w:type="dxa"/>
              <w:right w:w="57" w:type="dxa"/>
            </w:tcMar>
            <w:vAlign w:val="center"/>
          </w:tcPr>
          <w:p w14:paraId="2B07F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声环境</w:t>
            </w:r>
          </w:p>
        </w:tc>
        <w:tc>
          <w:tcPr>
            <w:tcW w:w="891" w:type="pct"/>
            <w:tcMar>
              <w:left w:w="57" w:type="dxa"/>
              <w:right w:w="57" w:type="dxa"/>
            </w:tcMar>
            <w:vAlign w:val="center"/>
          </w:tcPr>
          <w:p w14:paraId="03BA28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八家户牧业四队</w:t>
            </w:r>
          </w:p>
        </w:tc>
        <w:tc>
          <w:tcPr>
            <w:tcW w:w="877" w:type="pct"/>
            <w:tcMar>
              <w:left w:w="57" w:type="dxa"/>
              <w:right w:w="57" w:type="dxa"/>
            </w:tcMar>
            <w:vAlign w:val="center"/>
          </w:tcPr>
          <w:p w14:paraId="236949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计权等效连续感觉噪声级LWECPN</w:t>
            </w:r>
          </w:p>
        </w:tc>
        <w:tc>
          <w:tcPr>
            <w:tcW w:w="982" w:type="pct"/>
            <w:tcMar>
              <w:left w:w="57" w:type="dxa"/>
              <w:right w:w="57" w:type="dxa"/>
            </w:tcMar>
            <w:vAlign w:val="center"/>
          </w:tcPr>
          <w:p w14:paraId="271BDA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每半年监测1天（昼夜各1次）</w:t>
            </w:r>
          </w:p>
        </w:tc>
        <w:tc>
          <w:tcPr>
            <w:tcW w:w="1772" w:type="pct"/>
            <w:tcMar>
              <w:left w:w="57" w:type="dxa"/>
              <w:right w:w="57" w:type="dxa"/>
            </w:tcMar>
            <w:vAlign w:val="center"/>
          </w:tcPr>
          <w:p w14:paraId="000DBF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《机场周围飞机噪声环境标准（GB9660-88）》二类区域的标准</w:t>
            </w:r>
          </w:p>
        </w:tc>
      </w:tr>
      <w:tr w14:paraId="4BE7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5" w:type="pct"/>
            <w:tcMar>
              <w:left w:w="57" w:type="dxa"/>
              <w:right w:w="57" w:type="dxa"/>
            </w:tcMar>
            <w:vAlign w:val="center"/>
          </w:tcPr>
          <w:p w14:paraId="0314E7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地下水环境</w:t>
            </w:r>
          </w:p>
        </w:tc>
        <w:tc>
          <w:tcPr>
            <w:tcW w:w="891" w:type="pct"/>
            <w:tcMar>
              <w:left w:w="57" w:type="dxa"/>
              <w:right w:w="57" w:type="dxa"/>
            </w:tcMar>
            <w:vAlign w:val="center"/>
          </w:tcPr>
          <w:p w14:paraId="2786D6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在地下水的下游区域设置监测井1处，定期采集地下水水样，采样频率为1次/半年</w:t>
            </w:r>
          </w:p>
        </w:tc>
        <w:tc>
          <w:tcPr>
            <w:tcW w:w="877" w:type="pct"/>
            <w:tcMar>
              <w:left w:w="57" w:type="dxa"/>
              <w:right w:w="57" w:type="dxa"/>
            </w:tcMar>
            <w:vAlign w:val="center"/>
          </w:tcPr>
          <w:p w14:paraId="54F8F7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水位、pH、氨氮、硝酸盐、亚硝酸盐、硫酸盐、挥发性酚类、石油类、氰化物、铅、砷、镍、汞、总硬度、硫化物、阴离子表面活性剂、总大肠群菌、细菌总数等。</w:t>
            </w:r>
          </w:p>
        </w:tc>
        <w:tc>
          <w:tcPr>
            <w:tcW w:w="982" w:type="pct"/>
            <w:tcMar>
              <w:left w:w="57" w:type="dxa"/>
              <w:right w:w="57" w:type="dxa"/>
            </w:tcMar>
            <w:vAlign w:val="center"/>
          </w:tcPr>
          <w:p w14:paraId="73E980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正常工况下为1次/半年，事故工况发生后，监测频率为1次/日，并依据事故发生情况的严重性提高监测频率</w:t>
            </w:r>
          </w:p>
        </w:tc>
        <w:tc>
          <w:tcPr>
            <w:tcW w:w="1772" w:type="pct"/>
            <w:tcMar>
              <w:left w:w="57" w:type="dxa"/>
              <w:right w:w="57" w:type="dxa"/>
            </w:tcMar>
            <w:vAlign w:val="center"/>
          </w:tcPr>
          <w:p w14:paraId="0C7866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《地下水质量标准》</w:t>
            </w:r>
          </w:p>
          <w:p w14:paraId="5F6A00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（GB/T14848-2017）</w:t>
            </w:r>
            <w:r>
              <w:rPr>
                <w:rFonts w:hint="eastAsia" w:eastAsiaTheme="minorEastAsia"/>
                <w:color w:val="auto"/>
                <w:sz w:val="21"/>
                <w:szCs w:val="21"/>
                <w:highlight w:val="none"/>
                <w:lang w:eastAsia="zh-CN"/>
              </w:rPr>
              <w:t>Ⅲ类</w:t>
            </w:r>
          </w:p>
          <w:p w14:paraId="3C38C2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标准</w:t>
            </w:r>
          </w:p>
        </w:tc>
      </w:tr>
      <w:tr w14:paraId="3602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5" w:type="pct"/>
            <w:tcMar>
              <w:left w:w="57" w:type="dxa"/>
              <w:right w:w="57" w:type="dxa"/>
            </w:tcMar>
            <w:vAlign w:val="center"/>
          </w:tcPr>
          <w:p w14:paraId="7C4097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土壤环境</w:t>
            </w:r>
          </w:p>
        </w:tc>
        <w:tc>
          <w:tcPr>
            <w:tcW w:w="891" w:type="pct"/>
            <w:tcMar>
              <w:left w:w="57" w:type="dxa"/>
              <w:right w:w="57" w:type="dxa"/>
            </w:tcMar>
            <w:vAlign w:val="center"/>
          </w:tcPr>
          <w:p w14:paraId="17C55E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Theme="minorEastAsia"/>
                <w:color w:val="auto"/>
                <w:sz w:val="21"/>
                <w:szCs w:val="21"/>
                <w:highlight w:val="none"/>
                <w:lang w:eastAsia="zh-CN"/>
              </w:rPr>
            </w:pPr>
            <w:r>
              <w:rPr>
                <w:rFonts w:hint="eastAsia" w:eastAsiaTheme="minorEastAsia"/>
                <w:color w:val="auto"/>
                <w:sz w:val="21"/>
                <w:szCs w:val="22"/>
                <w:highlight w:val="none"/>
                <w:lang w:val="en-US" w:eastAsia="zh-CN"/>
              </w:rPr>
              <w:t>油车棚</w:t>
            </w:r>
          </w:p>
        </w:tc>
        <w:tc>
          <w:tcPr>
            <w:tcW w:w="877" w:type="pct"/>
            <w:tcMar>
              <w:left w:w="57" w:type="dxa"/>
              <w:right w:w="57" w:type="dxa"/>
            </w:tcMar>
            <w:vAlign w:val="center"/>
          </w:tcPr>
          <w:p w14:paraId="4A72A8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石油烃C</w:t>
            </w:r>
            <w:r>
              <w:rPr>
                <w:rFonts w:hint="default" w:eastAsiaTheme="minorEastAsia"/>
                <w:color w:val="auto"/>
                <w:sz w:val="21"/>
                <w:szCs w:val="21"/>
                <w:highlight w:val="none"/>
                <w:vertAlign w:val="subscript"/>
              </w:rPr>
              <w:t>10</w:t>
            </w:r>
            <w:r>
              <w:rPr>
                <w:rFonts w:hint="default" w:eastAsiaTheme="minorEastAsia"/>
                <w:color w:val="auto"/>
                <w:sz w:val="21"/>
                <w:szCs w:val="21"/>
                <w:highlight w:val="none"/>
              </w:rPr>
              <w:t>-C</w:t>
            </w:r>
            <w:r>
              <w:rPr>
                <w:rFonts w:hint="default" w:eastAsiaTheme="minorEastAsia"/>
                <w:color w:val="auto"/>
                <w:sz w:val="21"/>
                <w:szCs w:val="21"/>
                <w:highlight w:val="none"/>
                <w:vertAlign w:val="subscript"/>
              </w:rPr>
              <w:t>40</w:t>
            </w:r>
          </w:p>
        </w:tc>
        <w:tc>
          <w:tcPr>
            <w:tcW w:w="982" w:type="pct"/>
            <w:tcMar>
              <w:left w:w="57" w:type="dxa"/>
              <w:right w:w="57" w:type="dxa"/>
            </w:tcMar>
            <w:vAlign w:val="center"/>
          </w:tcPr>
          <w:p w14:paraId="54BC16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5年开展1次</w:t>
            </w:r>
          </w:p>
        </w:tc>
        <w:tc>
          <w:tcPr>
            <w:tcW w:w="1772" w:type="pct"/>
            <w:tcMar>
              <w:left w:w="57" w:type="dxa"/>
              <w:right w:w="57" w:type="dxa"/>
            </w:tcMar>
            <w:vAlign w:val="center"/>
          </w:tcPr>
          <w:p w14:paraId="0957CA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《土壤环境质量  建设用地土壤污染风险管控标准（试行）》（GB36600-2018）</w:t>
            </w:r>
          </w:p>
        </w:tc>
      </w:tr>
    </w:tbl>
    <w:p w14:paraId="6F206891">
      <w:pPr>
        <w:rPr>
          <w:color w:val="auto"/>
          <w:highlight w:val="none"/>
        </w:rPr>
      </w:pPr>
    </w:p>
    <w:p w14:paraId="386F2700">
      <w:pPr>
        <w:keepNext/>
        <w:keepLines/>
        <w:pageBreakBefore w:val="0"/>
        <w:widowControl w:val="0"/>
        <w:numPr>
          <w:ilvl w:val="3"/>
          <w:numId w:val="10"/>
        </w:numPr>
        <w:kinsoku/>
        <w:overflowPunct/>
        <w:bidi w:val="0"/>
        <w:adjustRightInd/>
        <w:snapToGrid/>
        <w:spacing w:before="0" w:beforeLines="0" w:line="360" w:lineRule="auto"/>
        <w:ind w:left="850" w:leftChars="0" w:hanging="850" w:firstLineChars="0"/>
        <w:jc w:val="both"/>
        <w:outlineLvl w:val="3"/>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生态监测计划</w:t>
      </w:r>
    </w:p>
    <w:p w14:paraId="120DB30A">
      <w:pPr>
        <w:ind w:firstLine="480" w:firstLineChars="200"/>
        <w:rPr>
          <w:rFonts w:hint="eastAsia"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根据《环境影响评价技术导则 生态影响》（HJ19-2022），大中型水利水电项目、采掘类项目、新建100km以上的高速公路及铁路项目、大型海上机场项目等应开展全生命周期生态监测；新建50~100km的高速公路及铁路项目、新建码头项目、高等级航道项目、围填海项目以及占用或穿（跨）越生态敏感区的其他项目应开展长期跟踪生态监测（施工期并延续至正式投运后5～10年），其他项目可根据情况开展常规生态监测。本项目</w:t>
      </w:r>
      <w:r>
        <w:rPr>
          <w:rFonts w:hint="eastAsia" w:cs="Times New Roman"/>
          <w:color w:val="auto"/>
          <w:sz w:val="24"/>
          <w:szCs w:val="24"/>
          <w:highlight w:val="none"/>
          <w:lang w:eastAsia="zh-CN"/>
        </w:rPr>
        <w:t>属于</w:t>
      </w:r>
      <w:r>
        <w:rPr>
          <w:rFonts w:hint="eastAsia" w:ascii="Times New Roman" w:hAnsi="Times New Roman" w:eastAsia="宋体" w:cs="Times New Roman"/>
          <w:color w:val="auto"/>
          <w:sz w:val="24"/>
          <w:szCs w:val="24"/>
          <w:highlight w:val="none"/>
        </w:rPr>
        <w:t>内陆A1级通用机场，开展常规生态监测即可</w:t>
      </w:r>
      <w:r>
        <w:rPr>
          <w:rFonts w:hint="eastAsia" w:cs="Times New Roman"/>
          <w:color w:val="auto"/>
          <w:sz w:val="24"/>
          <w:szCs w:val="24"/>
          <w:highlight w:val="none"/>
          <w:lang w:eastAsia="zh-CN"/>
        </w:rPr>
        <w:t>。</w:t>
      </w:r>
    </w:p>
    <w:p w14:paraId="3C741776">
      <w:pPr>
        <w:numPr>
          <w:ilvl w:val="0"/>
          <w:numId w:val="30"/>
        </w:numPr>
        <w:ind w:firstLine="480" w:firstLineChars="200"/>
        <w:rPr>
          <w:rFonts w:hint="eastAsia" w:cs="Times New Roman"/>
          <w:color w:val="auto"/>
          <w:highlight w:val="none"/>
          <w:lang w:val="en-US" w:eastAsia="zh-CN"/>
        </w:rPr>
      </w:pPr>
      <w:r>
        <w:rPr>
          <w:rFonts w:hint="eastAsia" w:cs="Times New Roman"/>
          <w:color w:val="auto"/>
          <w:highlight w:val="none"/>
          <w:lang w:val="en-US" w:eastAsia="zh-CN"/>
        </w:rPr>
        <w:t>监测目的：为系统掌握精河机场及周边区域的鸟类活动规律，科学评估鸟击风险，动态优化鸟击防范措施，并为机场运营期的生态保护提供数据支撑，其核心目标是实现从被动驱赶到主动预警、科学防控的转变，保障航空安全与区域生态平衡。</w:t>
      </w:r>
    </w:p>
    <w:p w14:paraId="69C5C87D">
      <w:pPr>
        <w:numPr>
          <w:ilvl w:val="0"/>
          <w:numId w:val="30"/>
        </w:numPr>
        <w:ind w:firstLine="480" w:firstLineChars="200"/>
        <w:rPr>
          <w:rFonts w:hint="eastAsia" w:cs="Times New Roman"/>
          <w:color w:val="auto"/>
          <w:highlight w:val="none"/>
          <w:lang w:val="en-US" w:eastAsia="zh-CN"/>
        </w:rPr>
      </w:pPr>
      <w:r>
        <w:rPr>
          <w:rFonts w:hint="eastAsia" w:cs="Times New Roman"/>
          <w:color w:val="auto"/>
          <w:highlight w:val="none"/>
          <w:lang w:val="en-US" w:eastAsia="zh-CN"/>
        </w:rPr>
        <w:t>监测原则：遵循“科学性、长期性、可操作性”原则，实施定点与路线调查、日常巡查与季度普查、人工观测与技术监测相结合的综合性监测。</w:t>
      </w:r>
    </w:p>
    <w:p w14:paraId="6D533AFC">
      <w:pPr>
        <w:numPr>
          <w:ilvl w:val="0"/>
          <w:numId w:val="30"/>
        </w:numPr>
        <w:ind w:firstLine="480" w:firstLineChars="200"/>
        <w:rPr>
          <w:rFonts w:hint="eastAsia" w:cs="Times New Roman"/>
          <w:color w:val="auto"/>
          <w:highlight w:val="none"/>
          <w:lang w:val="en-US" w:eastAsia="zh-CN"/>
        </w:rPr>
      </w:pPr>
      <w:r>
        <w:rPr>
          <w:rFonts w:hint="eastAsia" w:cs="Times New Roman"/>
          <w:color w:val="auto"/>
          <w:highlight w:val="none"/>
          <w:lang w:val="en-US" w:eastAsia="zh-CN"/>
        </w:rPr>
        <w:t>监测范围</w:t>
      </w:r>
    </w:p>
    <w:p w14:paraId="6C9527C7">
      <w:pPr>
        <w:numPr>
          <w:ilvl w:val="0"/>
          <w:numId w:val="0"/>
        </w:numPr>
        <w:ind w:firstLine="420" w:firstLineChars="0"/>
        <w:rPr>
          <w:rFonts w:hint="eastAsia" w:cs="Times New Roman"/>
          <w:color w:val="auto"/>
          <w:highlight w:val="none"/>
          <w:lang w:val="en-US" w:eastAsia="zh-CN"/>
        </w:rPr>
      </w:pPr>
      <w:r>
        <w:rPr>
          <w:rFonts w:hint="eastAsia" w:cs="Times New Roman"/>
          <w:color w:val="auto"/>
          <w:highlight w:val="none"/>
          <w:lang w:val="en-US" w:eastAsia="zh-CN"/>
        </w:rPr>
        <w:t>核心区：机场飞行区、航站区围界以内全部区域；</w:t>
      </w:r>
    </w:p>
    <w:p w14:paraId="5F6C3B59">
      <w:pPr>
        <w:numPr>
          <w:ilvl w:val="0"/>
          <w:numId w:val="0"/>
        </w:numPr>
        <w:ind w:firstLine="420" w:firstLineChars="0"/>
        <w:rPr>
          <w:rFonts w:hint="eastAsia" w:cs="Times New Roman"/>
          <w:color w:val="auto"/>
          <w:highlight w:val="none"/>
          <w:lang w:val="en-US" w:eastAsia="zh-CN"/>
        </w:rPr>
      </w:pPr>
      <w:r>
        <w:rPr>
          <w:rFonts w:hint="eastAsia" w:cs="Times New Roman"/>
          <w:color w:val="auto"/>
          <w:highlight w:val="none"/>
          <w:lang w:val="en-US" w:eastAsia="zh-CN"/>
        </w:rPr>
        <w:t>重点区：机场围界外临近的区域，重点关注排水沟渠、水源、垃圾站等鸟类吸引源；</w:t>
      </w:r>
    </w:p>
    <w:p w14:paraId="00C4F87A">
      <w:pPr>
        <w:numPr>
          <w:ilvl w:val="0"/>
          <w:numId w:val="0"/>
        </w:numPr>
        <w:ind w:firstLine="420" w:firstLineChars="0"/>
        <w:rPr>
          <w:rFonts w:hint="eastAsia" w:cs="Times New Roman"/>
          <w:color w:val="auto"/>
          <w:highlight w:val="none"/>
          <w:lang w:val="en-US" w:eastAsia="zh-CN"/>
        </w:rPr>
      </w:pPr>
      <w:r>
        <w:rPr>
          <w:rFonts w:hint="eastAsia" w:cs="Times New Roman"/>
          <w:color w:val="auto"/>
          <w:highlight w:val="none"/>
          <w:lang w:val="en-US" w:eastAsia="zh-CN"/>
        </w:rPr>
        <w:t>影响区：机场端净空通道两侧，以及本场起降范围（23km×12km）内的鸟类栖息生境区域，同时关注艾比湖湿地保护区的连接地带。</w:t>
      </w:r>
    </w:p>
    <w:p w14:paraId="1C49759E">
      <w:pPr>
        <w:numPr>
          <w:ilvl w:val="0"/>
          <w:numId w:val="30"/>
        </w:numPr>
        <w:ind w:firstLine="480" w:firstLineChars="200"/>
        <w:rPr>
          <w:rFonts w:hint="eastAsia" w:cs="Times New Roman"/>
          <w:color w:val="auto"/>
          <w:highlight w:val="none"/>
          <w:lang w:val="en-US" w:eastAsia="zh-CN"/>
        </w:rPr>
      </w:pPr>
      <w:r>
        <w:rPr>
          <w:rFonts w:hint="eastAsia" w:cs="Times New Roman"/>
          <w:color w:val="auto"/>
          <w:highlight w:val="none"/>
          <w:lang w:val="en-US" w:eastAsia="zh-CN"/>
        </w:rPr>
        <w:t>责任主体</w:t>
      </w:r>
    </w:p>
    <w:p w14:paraId="46D03334">
      <w:pPr>
        <w:ind w:firstLine="480" w:firstLineChars="200"/>
        <w:rPr>
          <w:rFonts w:hint="eastAsia" w:cs="Times New Roman"/>
          <w:color w:val="auto"/>
          <w:highlight w:val="none"/>
          <w:lang w:val="en-US" w:eastAsia="zh-CN"/>
        </w:rPr>
      </w:pPr>
      <w:r>
        <w:rPr>
          <w:rFonts w:hint="eastAsia" w:cs="Times New Roman"/>
          <w:color w:val="auto"/>
          <w:highlight w:val="none"/>
          <w:lang w:val="en-US" w:eastAsia="zh-CN"/>
        </w:rPr>
        <w:t>运营单位：新疆杞福机场经营管理有限责任公司为鸟类生态监测与鸟击防范的责任主体。</w:t>
      </w:r>
    </w:p>
    <w:p w14:paraId="33AD1E2B">
      <w:pPr>
        <w:ind w:firstLine="480" w:firstLineChars="200"/>
        <w:rPr>
          <w:rFonts w:hint="eastAsia" w:cs="Times New Roman"/>
          <w:color w:val="auto"/>
          <w:highlight w:val="none"/>
          <w:lang w:val="en-US" w:eastAsia="zh-CN"/>
        </w:rPr>
      </w:pPr>
      <w:r>
        <w:rPr>
          <w:rFonts w:hint="eastAsia" w:cs="Times New Roman"/>
          <w:color w:val="auto"/>
          <w:highlight w:val="none"/>
          <w:lang w:val="en-US" w:eastAsia="zh-CN"/>
        </w:rPr>
        <w:t>实施部门：公司下设的安全运行部或鸟击防范专职机构，负责具体实施、数据记录与日常报告，需配备经专业培训的鸟情监测工作人员。</w:t>
      </w:r>
    </w:p>
    <w:p w14:paraId="115A30AD">
      <w:pPr>
        <w:ind w:firstLine="480" w:firstLineChars="200"/>
        <w:rPr>
          <w:rFonts w:hint="eastAsia" w:cs="Times New Roman"/>
          <w:color w:val="auto"/>
          <w:highlight w:val="none"/>
          <w:lang w:val="en-US" w:eastAsia="zh-CN"/>
        </w:rPr>
      </w:pPr>
      <w:r>
        <w:rPr>
          <w:rFonts w:hint="eastAsia" w:cs="Times New Roman"/>
          <w:color w:val="auto"/>
          <w:highlight w:val="none"/>
          <w:lang w:val="en-US" w:eastAsia="zh-CN"/>
        </w:rPr>
        <w:t>监督机构：博州生态环境局及精河县生态环境分局负责对监测计划的落实情况进行监督与检查。</w:t>
      </w:r>
    </w:p>
    <w:p w14:paraId="3A9C76A0">
      <w:pPr>
        <w:numPr>
          <w:ilvl w:val="0"/>
          <w:numId w:val="30"/>
        </w:numPr>
        <w:ind w:firstLine="480" w:firstLineChars="200"/>
        <w:rPr>
          <w:rFonts w:hint="eastAsia" w:cs="Times New Roman"/>
          <w:color w:val="auto"/>
          <w:highlight w:val="none"/>
          <w:lang w:val="en-US" w:eastAsia="zh-CN"/>
        </w:rPr>
      </w:pPr>
      <w:r>
        <w:rPr>
          <w:rFonts w:hint="eastAsia" w:cs="Times New Roman"/>
          <w:color w:val="auto"/>
          <w:highlight w:val="none"/>
          <w:lang w:val="en-US" w:eastAsia="zh-CN"/>
        </w:rPr>
        <w:t>监测计划与指标体系</w:t>
      </w:r>
    </w:p>
    <w:p w14:paraId="62F04017">
      <w:pPr>
        <w:ind w:firstLine="480" w:firstLineChars="200"/>
        <w:rPr>
          <w:rFonts w:hint="eastAsia" w:ascii="Times New Roman" w:hAnsi="Times New Roman" w:eastAsia="宋体" w:cs="Times New Roman"/>
          <w:color w:val="auto"/>
          <w:highlight w:val="none"/>
        </w:rPr>
      </w:pPr>
      <w:r>
        <w:rPr>
          <w:rFonts w:hint="eastAsia" w:cs="Times New Roman"/>
          <w:color w:val="auto"/>
          <w:highlight w:val="none"/>
          <w:lang w:val="en-US" w:eastAsia="zh-CN"/>
        </w:rPr>
        <w:t>机场运营期</w:t>
      </w:r>
      <w:r>
        <w:rPr>
          <w:rFonts w:hint="eastAsia" w:ascii="Times New Roman" w:hAnsi="Times New Roman" w:eastAsia="宋体" w:cs="Times New Roman"/>
          <w:color w:val="auto"/>
          <w:highlight w:val="none"/>
        </w:rPr>
        <w:t>采用定点与路线调查相结合的形式进行围界内的鸟情日常巡视驱赶，观察分析鸟类的种类、数量、行为，总结日活动规律、季节活动规律以及年间变化规律。</w:t>
      </w:r>
    </w:p>
    <w:p w14:paraId="1038CAA2">
      <w:pPr>
        <w:ind w:firstLine="48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选择重点危险鸟种活动的主要区域进行外围鸟情监测。对夜鹭、家燕等威胁较大鸟种的主要活动区域进行持续监测，针对鸟情趋势和变化情况调整驱鸟工作的部署。</w:t>
      </w:r>
    </w:p>
    <w:p w14:paraId="297E3B1E">
      <w:pPr>
        <w:ind w:firstLine="48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进行围界内区域草情、虫情、鼠情监测，观察飞虫、蚯蚓、蜗牛等数量动态情况，分析变化趋势。</w:t>
      </w:r>
    </w:p>
    <w:p w14:paraId="3061EE38">
      <w:pPr>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在鸟类迁徙期间、繁殖后期以及气候变化期关注各类鸟情观察、研究信息及病虫害预测预报信息，主要关注鹭类、鹬类、雁鸭类、鸥类、燕类等的活动情况，综合预测本地即将可能出现的鸟情。通过持续的鸟情监测可以获得第一手材料，为进行科学的保护与管理提供可靠的依据。这包括定位监测、候鸟监测和环境监测，以便在发现重大影响时调整飞机运行班次与程序</w:t>
      </w:r>
      <w:r>
        <w:rPr>
          <w:rFonts w:ascii="Times New Roman" w:hAnsi="Times New Roman" w:eastAsia="宋体" w:cs="Times New Roman"/>
          <w:color w:val="auto"/>
          <w:highlight w:val="none"/>
        </w:rPr>
        <w:t>。</w:t>
      </w:r>
    </w:p>
    <w:p w14:paraId="72FDC43D">
      <w:pPr>
        <w:numPr>
          <w:ilvl w:val="0"/>
          <w:numId w:val="30"/>
        </w:numPr>
        <w:ind w:firstLine="480" w:firstLineChars="200"/>
        <w:rPr>
          <w:rFonts w:hint="eastAsia" w:cs="Times New Roman"/>
          <w:color w:val="auto"/>
          <w:highlight w:val="none"/>
          <w:lang w:val="en-US" w:eastAsia="zh-CN"/>
        </w:rPr>
      </w:pPr>
      <w:r>
        <w:rPr>
          <w:rFonts w:hint="eastAsia" w:cs="Times New Roman"/>
          <w:color w:val="auto"/>
          <w:highlight w:val="none"/>
          <w:lang w:val="en-US" w:eastAsia="zh-CN"/>
        </w:rPr>
        <w:t>长期跟踪评估与数据管理机制</w:t>
      </w:r>
    </w:p>
    <w:p w14:paraId="02B4B35E">
      <w:pPr>
        <w:ind w:firstLine="480" w:firstLineChars="200"/>
        <w:rPr>
          <w:rFonts w:hint="eastAsia" w:cs="Times New Roman"/>
          <w:color w:val="auto"/>
          <w:highlight w:val="none"/>
          <w:lang w:eastAsia="zh-CN"/>
        </w:rPr>
      </w:pPr>
      <w:r>
        <w:rPr>
          <w:rFonts w:hint="eastAsia" w:cs="Times New Roman"/>
          <w:color w:val="auto"/>
          <w:highlight w:val="none"/>
          <w:lang w:val="en-US" w:eastAsia="zh-CN"/>
        </w:rPr>
        <w:t>环评建议的</w:t>
      </w:r>
      <w:r>
        <w:rPr>
          <w:rFonts w:hint="eastAsia" w:ascii="Times New Roman" w:hAnsi="Times New Roman" w:eastAsia="宋体" w:cs="Times New Roman"/>
          <w:color w:val="auto"/>
          <w:highlight w:val="none"/>
        </w:rPr>
        <w:t>监测计划</w:t>
      </w:r>
      <w:r>
        <w:rPr>
          <w:rFonts w:hint="eastAsia" w:cs="Times New Roman"/>
          <w:color w:val="auto"/>
          <w:highlight w:val="none"/>
          <w:lang w:val="en-US" w:eastAsia="zh-CN"/>
        </w:rPr>
        <w:t>可</w:t>
      </w:r>
      <w:r>
        <w:rPr>
          <w:rFonts w:hint="eastAsia" w:ascii="Times New Roman" w:hAnsi="Times New Roman" w:eastAsia="宋体" w:cs="Times New Roman"/>
          <w:color w:val="auto"/>
          <w:highlight w:val="none"/>
        </w:rPr>
        <w:t>作为机场运营的常态化工作，长期执行，尤其关注运营期前10年的数据积累。</w:t>
      </w:r>
      <w:r>
        <w:rPr>
          <w:rFonts w:hint="eastAsia" w:cs="Times New Roman"/>
          <w:color w:val="auto"/>
          <w:highlight w:val="none"/>
          <w:lang w:val="en-US" w:eastAsia="zh-CN"/>
        </w:rPr>
        <w:t>可</w:t>
      </w:r>
      <w:r>
        <w:rPr>
          <w:rFonts w:hint="eastAsia" w:ascii="Times New Roman" w:hAnsi="Times New Roman" w:eastAsia="宋体" w:cs="Times New Roman"/>
          <w:color w:val="auto"/>
          <w:highlight w:val="none"/>
        </w:rPr>
        <w:t>每三年委托具备资质的第三方科研机构进行一次系统性评估，编制精河通用机场鸟类生态与鸟击风险评估报告，全面分析变化趋势，提出防控策略升级建议。运用统计学方法，分析鸟类活动的季节动态、年间变化、与生境因子（如草高、积水）的相关性，预测鸟击高风险时段和区域</w:t>
      </w:r>
      <w:r>
        <w:rPr>
          <w:rFonts w:hint="eastAsia" w:cs="Times New Roman"/>
          <w:color w:val="auto"/>
          <w:highlight w:val="none"/>
          <w:lang w:eastAsia="zh-CN"/>
        </w:rPr>
        <w:t>。监测与评估成果直接用于优化驱鸟设备布设、调整割草与排水计划、</w:t>
      </w:r>
      <w:r>
        <w:rPr>
          <w:rFonts w:hint="eastAsia" w:cs="Times New Roman"/>
          <w:color w:val="auto"/>
          <w:highlight w:val="none"/>
          <w:lang w:val="en-US" w:eastAsia="zh-CN"/>
        </w:rPr>
        <w:t>更新</w:t>
      </w:r>
      <w:r>
        <w:rPr>
          <w:rFonts w:hint="eastAsia" w:cs="Times New Roman"/>
          <w:color w:val="auto"/>
          <w:highlight w:val="none"/>
          <w:lang w:eastAsia="zh-CN"/>
        </w:rPr>
        <w:t>季节性防范方案，形成动态、精准的鸟击防范体系。</w:t>
      </w:r>
    </w:p>
    <w:p w14:paraId="513C08AA">
      <w:pPr>
        <w:numPr>
          <w:ilvl w:val="0"/>
          <w:numId w:val="30"/>
        </w:numPr>
        <w:ind w:firstLine="480" w:firstLineChars="200"/>
        <w:rPr>
          <w:rFonts w:hint="eastAsia" w:cs="Times New Roman"/>
          <w:color w:val="auto"/>
          <w:highlight w:val="none"/>
          <w:lang w:val="en-US" w:eastAsia="zh-CN"/>
        </w:rPr>
      </w:pPr>
      <w:r>
        <w:rPr>
          <w:rFonts w:hint="eastAsia" w:cs="Times New Roman"/>
          <w:color w:val="auto"/>
          <w:highlight w:val="none"/>
          <w:lang w:val="en-US" w:eastAsia="zh-CN"/>
        </w:rPr>
        <w:t>鸟击应急响应与信息公开机制</w:t>
      </w:r>
    </w:p>
    <w:p w14:paraId="3236DD1C">
      <w:pPr>
        <w:ind w:firstLine="48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一旦发生鸟击事件或监测到超高密度鸟群活动，立即启动精河</w:t>
      </w:r>
      <w:r>
        <w:rPr>
          <w:rFonts w:hint="eastAsia" w:cs="Times New Roman"/>
          <w:color w:val="auto"/>
          <w:highlight w:val="none"/>
          <w:lang w:val="en-US" w:eastAsia="zh-CN"/>
        </w:rPr>
        <w:t>通用</w:t>
      </w:r>
      <w:r>
        <w:rPr>
          <w:rFonts w:hint="eastAsia" w:ascii="Times New Roman" w:hAnsi="Times New Roman" w:eastAsia="宋体" w:cs="Times New Roman"/>
          <w:color w:val="auto"/>
          <w:highlight w:val="none"/>
        </w:rPr>
        <w:t>机场鸟击突发事件应急预案</w:t>
      </w:r>
      <w:r>
        <w:rPr>
          <w:rFonts w:hint="eastAsia" w:cs="Times New Roman"/>
          <w:color w:val="auto"/>
          <w:highlight w:val="none"/>
          <w:lang w:eastAsia="zh-CN"/>
        </w:rPr>
        <w:t>，现场人员立即向塔台、机场运行指挥中心和鸟击防范机构报告；塔台根据情况，立即通知后续航班变更起降跑道、复飞或暂停起降；鸟击防范人员立即赶赴现场，使用强效驱鸟手段（如驱鸟枪、爆音炮等）对鸟群进行紧急驱散；</w:t>
      </w:r>
      <w:r>
        <w:rPr>
          <w:rFonts w:hint="eastAsia" w:cs="Times New Roman"/>
          <w:color w:val="auto"/>
          <w:highlight w:val="none"/>
          <w:lang w:val="en-US" w:eastAsia="zh-CN"/>
        </w:rPr>
        <w:t>事后</w:t>
      </w:r>
      <w:r>
        <w:rPr>
          <w:rFonts w:hint="eastAsia" w:cs="Times New Roman"/>
          <w:color w:val="auto"/>
          <w:highlight w:val="none"/>
          <w:lang w:eastAsia="zh-CN"/>
        </w:rPr>
        <w:t>检查并记录航空器损伤情况，收集鸟击残骸送检鉴定，并在24小时内完成事件报告，深入分析原因，调整防范措施。</w:t>
      </w:r>
    </w:p>
    <w:p w14:paraId="54AEB1AE">
      <w:pPr>
        <w:ind w:firstLine="480" w:firstLineChars="200"/>
        <w:rPr>
          <w:rFonts w:hint="eastAsia" w:ascii="Times New Roman" w:eastAsia="宋体"/>
          <w:color w:val="auto"/>
          <w:highlight w:val="none"/>
          <w:lang w:eastAsia="zh-CN"/>
        </w:rPr>
      </w:pPr>
      <w:r>
        <w:rPr>
          <w:rFonts w:hint="eastAsia" w:ascii="Times New Roman" w:hAnsi="Times New Roman" w:eastAsia="宋体" w:cs="Times New Roman"/>
          <w:color w:val="auto"/>
          <w:highlight w:val="none"/>
        </w:rPr>
        <w:t>按《企业环境信息依法披露管理办法》要求，将年度鸟类生态监测的主要发现、鸟击事件统计、防范措施效果等纳入企业年度环境信息披露报告，向社会公开。定期与当地林草部门、生态环境部门沟通监测结果，实现数据共享与联动防控</w:t>
      </w:r>
      <w:r>
        <w:rPr>
          <w:rFonts w:hint="eastAsia" w:cs="Times New Roman"/>
          <w:color w:val="auto"/>
          <w:highlight w:val="none"/>
          <w:lang w:eastAsia="zh-CN"/>
        </w:rPr>
        <w:t>。</w:t>
      </w:r>
    </w:p>
    <w:p w14:paraId="4ABD1113">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27" w:name="_Toc24459"/>
      <w:bookmarkStart w:id="328" w:name="_Toc103694394"/>
      <w:bookmarkStart w:id="329" w:name="_Toc135728818"/>
      <w:r>
        <w:rPr>
          <w:rFonts w:hint="eastAsia" w:ascii="Times New Roman" w:hAnsi="Times New Roman" w:eastAsia="黑体" w:cs="Times New Roman"/>
          <w:bCs/>
          <w:color w:val="auto"/>
          <w:spacing w:val="0"/>
          <w:w w:val="100"/>
          <w:kern w:val="28"/>
          <w:sz w:val="30"/>
          <w:szCs w:val="30"/>
          <w:highlight w:val="none"/>
          <w:lang w:val="en-US" w:eastAsia="zh-CN" w:bidi="ar-SA"/>
        </w:rPr>
        <w:t>风险事故应急监测方案</w:t>
      </w:r>
      <w:bookmarkEnd w:id="327"/>
    </w:p>
    <w:bookmarkEnd w:id="328"/>
    <w:bookmarkEnd w:id="329"/>
    <w:p w14:paraId="75EB746E">
      <w:pPr>
        <w:ind w:firstLine="480" w:firstLineChars="200"/>
        <w:rPr>
          <w:rFonts w:hint="eastAsia" w:eastAsia="宋体"/>
          <w:color w:val="auto"/>
          <w:highlight w:val="none"/>
          <w:lang w:eastAsia="zh-CN"/>
        </w:rPr>
      </w:pPr>
      <w:r>
        <w:rPr>
          <w:color w:val="auto"/>
          <w:highlight w:val="none"/>
        </w:rPr>
        <w:t>（</w:t>
      </w:r>
      <w:r>
        <w:rPr>
          <w:rFonts w:eastAsia="Times New Roman"/>
          <w:color w:val="auto"/>
          <w:highlight w:val="none"/>
        </w:rPr>
        <w:t>1</w:t>
      </w:r>
      <w:r>
        <w:rPr>
          <w:color w:val="auto"/>
          <w:highlight w:val="none"/>
        </w:rPr>
        <w:t>）</w:t>
      </w:r>
      <w:r>
        <w:rPr>
          <w:rFonts w:hint="eastAsia"/>
          <w:color w:val="auto"/>
          <w:highlight w:val="none"/>
          <w:lang w:val="en-US" w:eastAsia="zh-CN"/>
        </w:rPr>
        <w:t>油车棚</w:t>
      </w:r>
    </w:p>
    <w:p w14:paraId="100A4D8C">
      <w:pPr>
        <w:ind w:firstLine="480" w:firstLineChars="200"/>
        <w:rPr>
          <w:color w:val="auto"/>
          <w:highlight w:val="none"/>
        </w:rPr>
      </w:pPr>
      <w:r>
        <w:rPr>
          <w:rFonts w:hint="eastAsia"/>
          <w:color w:val="auto"/>
          <w:highlight w:val="none"/>
        </w:rPr>
        <w:t>油车棚</w:t>
      </w:r>
      <w:r>
        <w:rPr>
          <w:color w:val="auto"/>
          <w:highlight w:val="none"/>
        </w:rPr>
        <w:t>的航油存在一定的泄漏事故等隐患，一旦发生风险事故，需要启动应急监测系统。应急监测包括环境空气、土壤监测两部分。</w:t>
      </w:r>
    </w:p>
    <w:p w14:paraId="2F5E6336">
      <w:pPr>
        <w:ind w:firstLine="480" w:firstLineChars="200"/>
        <w:rPr>
          <w:color w:val="auto"/>
          <w:highlight w:val="none"/>
        </w:rPr>
      </w:pPr>
      <w:r>
        <w:rPr>
          <w:rFonts w:hint="eastAsia" w:ascii="宋体" w:hAnsi="宋体" w:cs="宋体"/>
          <w:color w:val="auto"/>
          <w:highlight w:val="none"/>
        </w:rPr>
        <w:t>①</w:t>
      </w:r>
      <w:r>
        <w:rPr>
          <w:color w:val="auto"/>
          <w:highlight w:val="none"/>
        </w:rPr>
        <w:t>环境空气</w:t>
      </w:r>
    </w:p>
    <w:p w14:paraId="3FA986D1">
      <w:pPr>
        <w:ind w:firstLine="480" w:firstLineChars="200"/>
        <w:rPr>
          <w:color w:val="auto"/>
          <w:highlight w:val="none"/>
        </w:rPr>
      </w:pPr>
      <w:r>
        <w:rPr>
          <w:color w:val="auto"/>
          <w:highlight w:val="none"/>
        </w:rPr>
        <w:t>监测因子：</w:t>
      </w:r>
      <w:r>
        <w:rPr>
          <w:rFonts w:eastAsia="Times New Roman"/>
          <w:color w:val="auto"/>
          <w:highlight w:val="none"/>
        </w:rPr>
        <w:t>CO</w:t>
      </w:r>
      <w:r>
        <w:rPr>
          <w:color w:val="auto"/>
          <w:highlight w:val="none"/>
        </w:rPr>
        <w:t>、</w:t>
      </w:r>
      <w:r>
        <w:rPr>
          <w:rFonts w:hint="eastAsia"/>
          <w:color w:val="auto"/>
          <w:highlight w:val="none"/>
        </w:rPr>
        <w:t>N</w:t>
      </w:r>
      <w:r>
        <w:rPr>
          <w:color w:val="auto"/>
          <w:highlight w:val="none"/>
        </w:rPr>
        <w:t>MHC。</w:t>
      </w:r>
    </w:p>
    <w:p w14:paraId="40CB2F3B">
      <w:pPr>
        <w:ind w:firstLine="480" w:firstLineChars="200"/>
        <w:rPr>
          <w:color w:val="auto"/>
          <w:highlight w:val="none"/>
        </w:rPr>
      </w:pPr>
      <w:r>
        <w:rPr>
          <w:color w:val="auto"/>
          <w:highlight w:val="none"/>
        </w:rPr>
        <w:t>监测布点位置：</w:t>
      </w:r>
      <w:r>
        <w:rPr>
          <w:rFonts w:hint="eastAsia"/>
          <w:color w:val="auto"/>
          <w:highlight w:val="none"/>
        </w:rPr>
        <w:t>油车棚</w:t>
      </w:r>
      <w:r>
        <w:rPr>
          <w:color w:val="auto"/>
          <w:highlight w:val="none"/>
        </w:rPr>
        <w:t>下风向每</w:t>
      </w:r>
      <w:r>
        <w:rPr>
          <w:rFonts w:eastAsia="Times New Roman"/>
          <w:color w:val="auto"/>
          <w:highlight w:val="none"/>
        </w:rPr>
        <w:t>200m</w:t>
      </w:r>
      <w:r>
        <w:rPr>
          <w:color w:val="auto"/>
          <w:highlight w:val="none"/>
        </w:rPr>
        <w:t>设监测点。</w:t>
      </w:r>
    </w:p>
    <w:p w14:paraId="0CD4A9A9">
      <w:pPr>
        <w:ind w:firstLine="480" w:firstLineChars="200"/>
        <w:rPr>
          <w:color w:val="auto"/>
          <w:highlight w:val="none"/>
        </w:rPr>
      </w:pPr>
      <w:r>
        <w:rPr>
          <w:color w:val="auto"/>
          <w:highlight w:val="none"/>
        </w:rPr>
        <w:t>监测频率：事故发生后</w:t>
      </w:r>
      <w:r>
        <w:rPr>
          <w:rFonts w:eastAsia="Times New Roman"/>
          <w:color w:val="auto"/>
          <w:highlight w:val="none"/>
        </w:rPr>
        <w:t>12</w:t>
      </w:r>
      <w:r>
        <w:rPr>
          <w:color w:val="auto"/>
          <w:highlight w:val="none"/>
        </w:rPr>
        <w:t>小时内每隔</w:t>
      </w:r>
      <w:r>
        <w:rPr>
          <w:rFonts w:eastAsia="Times New Roman"/>
          <w:color w:val="auto"/>
          <w:highlight w:val="none"/>
        </w:rPr>
        <w:t>1</w:t>
      </w:r>
      <w:r>
        <w:rPr>
          <w:color w:val="auto"/>
          <w:highlight w:val="none"/>
        </w:rPr>
        <w:t>小时进行监测，待污染物浓度降低后，半天进行一次监测，直到污染物达到环境空气质量标准要求。</w:t>
      </w:r>
    </w:p>
    <w:p w14:paraId="5431BE87">
      <w:pPr>
        <w:ind w:firstLine="480" w:firstLineChars="200"/>
        <w:rPr>
          <w:color w:val="auto"/>
          <w:highlight w:val="none"/>
        </w:rPr>
      </w:pPr>
      <w:r>
        <w:rPr>
          <w:rFonts w:hint="eastAsia" w:ascii="宋体" w:hAnsi="宋体" w:cs="宋体"/>
          <w:color w:val="auto"/>
          <w:highlight w:val="none"/>
        </w:rPr>
        <w:t>②</w:t>
      </w:r>
      <w:r>
        <w:rPr>
          <w:color w:val="auto"/>
          <w:highlight w:val="none"/>
        </w:rPr>
        <w:t>土壤</w:t>
      </w:r>
    </w:p>
    <w:p w14:paraId="56D04181">
      <w:pPr>
        <w:ind w:firstLine="480" w:firstLineChars="200"/>
        <w:rPr>
          <w:color w:val="auto"/>
          <w:highlight w:val="none"/>
        </w:rPr>
      </w:pPr>
      <w:r>
        <w:rPr>
          <w:color w:val="auto"/>
          <w:highlight w:val="none"/>
        </w:rPr>
        <w:t>监测因子：石油类。</w:t>
      </w:r>
    </w:p>
    <w:p w14:paraId="5AFD54F4">
      <w:pPr>
        <w:ind w:firstLine="480" w:firstLineChars="200"/>
        <w:rPr>
          <w:color w:val="auto"/>
          <w:highlight w:val="none"/>
        </w:rPr>
      </w:pPr>
      <w:r>
        <w:rPr>
          <w:color w:val="auto"/>
          <w:highlight w:val="none"/>
        </w:rPr>
        <w:t>监测布点位置：泄漏事故点位附近。</w:t>
      </w:r>
    </w:p>
    <w:p w14:paraId="272D470E">
      <w:pPr>
        <w:ind w:firstLine="480" w:firstLineChars="200"/>
        <w:rPr>
          <w:color w:val="auto"/>
          <w:highlight w:val="none"/>
        </w:rPr>
      </w:pPr>
      <w:r>
        <w:rPr>
          <w:color w:val="auto"/>
          <w:highlight w:val="none"/>
        </w:rPr>
        <w:t>监测频率：事故发生后</w:t>
      </w:r>
      <w:r>
        <w:rPr>
          <w:rFonts w:eastAsia="Times New Roman"/>
          <w:color w:val="auto"/>
          <w:highlight w:val="none"/>
        </w:rPr>
        <w:t>24</w:t>
      </w:r>
      <w:r>
        <w:rPr>
          <w:color w:val="auto"/>
          <w:highlight w:val="none"/>
        </w:rPr>
        <w:t>小时内每隔</w:t>
      </w:r>
      <w:r>
        <w:rPr>
          <w:rFonts w:eastAsia="Times New Roman"/>
          <w:color w:val="auto"/>
          <w:highlight w:val="none"/>
        </w:rPr>
        <w:t>6</w:t>
      </w:r>
      <w:r>
        <w:rPr>
          <w:color w:val="auto"/>
          <w:highlight w:val="none"/>
        </w:rPr>
        <w:t>小时外延</w:t>
      </w:r>
      <w:r>
        <w:rPr>
          <w:rFonts w:eastAsia="Times New Roman"/>
          <w:color w:val="auto"/>
          <w:highlight w:val="none"/>
        </w:rPr>
        <w:t>20m</w:t>
      </w:r>
      <w:r>
        <w:rPr>
          <w:color w:val="auto"/>
          <w:highlight w:val="none"/>
        </w:rPr>
        <w:t>、加深</w:t>
      </w:r>
      <w:r>
        <w:rPr>
          <w:rFonts w:eastAsia="Times New Roman"/>
          <w:color w:val="auto"/>
          <w:highlight w:val="none"/>
        </w:rPr>
        <w:t>2m</w:t>
      </w:r>
      <w:r>
        <w:rPr>
          <w:color w:val="auto"/>
          <w:highlight w:val="none"/>
        </w:rPr>
        <w:t>进行监测，待污染物浓度降低后半天进行一次监测。石油类监测结果可参考地下水质量标准要求。</w:t>
      </w:r>
    </w:p>
    <w:p w14:paraId="2DE759A8">
      <w:pPr>
        <w:ind w:firstLine="480" w:firstLineChars="200"/>
        <w:rPr>
          <w:color w:val="auto"/>
          <w:highlight w:val="none"/>
        </w:rPr>
      </w:pPr>
      <w:r>
        <w:rPr>
          <w:color w:val="auto"/>
          <w:highlight w:val="none"/>
        </w:rPr>
        <w:t>（</w:t>
      </w:r>
      <w:r>
        <w:rPr>
          <w:rFonts w:eastAsia="Times New Roman"/>
          <w:color w:val="auto"/>
          <w:highlight w:val="none"/>
        </w:rPr>
        <w:t>2</w:t>
      </w:r>
      <w:r>
        <w:rPr>
          <w:color w:val="auto"/>
          <w:highlight w:val="none"/>
        </w:rPr>
        <w:t>）监测结果处理</w:t>
      </w:r>
    </w:p>
    <w:p w14:paraId="66CBEE74">
      <w:pPr>
        <w:ind w:firstLine="480" w:firstLineChars="200"/>
        <w:rPr>
          <w:color w:val="auto"/>
          <w:highlight w:val="none"/>
        </w:rPr>
      </w:pPr>
      <w:r>
        <w:rPr>
          <w:color w:val="auto"/>
          <w:highlight w:val="none"/>
        </w:rPr>
        <w:t>对上述事故监测资料及时上报上级有关</w:t>
      </w:r>
      <w:r>
        <w:rPr>
          <w:rFonts w:hint="eastAsia"/>
          <w:color w:val="auto"/>
          <w:highlight w:val="none"/>
        </w:rPr>
        <w:t>生态环境</w:t>
      </w:r>
      <w:r>
        <w:rPr>
          <w:color w:val="auto"/>
          <w:highlight w:val="none"/>
        </w:rPr>
        <w:t>部门，并对监测数据作出简要分析，与常规监测数据类比，确定事故影响、危害的贡献程度，以便有关部门提出相应的保护措施。</w:t>
      </w:r>
    </w:p>
    <w:p w14:paraId="6C25B3F0">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30" w:name="_Toc13918"/>
      <w:bookmarkStart w:id="331" w:name="_Toc135728819"/>
      <w:bookmarkStart w:id="332" w:name="_Toc103694395"/>
      <w:r>
        <w:rPr>
          <w:rFonts w:hint="eastAsia" w:ascii="Times New Roman" w:hAnsi="Times New Roman" w:eastAsia="黑体" w:cs="Times New Roman"/>
          <w:bCs/>
          <w:color w:val="auto"/>
          <w:spacing w:val="0"/>
          <w:w w:val="100"/>
          <w:kern w:val="28"/>
          <w:sz w:val="30"/>
          <w:szCs w:val="30"/>
          <w:highlight w:val="none"/>
          <w:lang w:val="en-US" w:eastAsia="zh-CN" w:bidi="ar-SA"/>
        </w:rPr>
        <w:t>施工期环境监理</w:t>
      </w:r>
      <w:bookmarkEnd w:id="330"/>
    </w:p>
    <w:bookmarkEnd w:id="331"/>
    <w:bookmarkEnd w:id="332"/>
    <w:p w14:paraId="463A7129">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监理目的</w:t>
      </w:r>
    </w:p>
    <w:p w14:paraId="475D9A25">
      <w:pPr>
        <w:ind w:firstLine="48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在施工期间应根据环境保护设计要求，开展施工期环境监理，全面监督和检查施工单位环境保护措施的实施和效果，及时处理和解决临时出现的环境污染事件。</w:t>
      </w:r>
    </w:p>
    <w:p w14:paraId="6EC857D5">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监理方式</w:t>
      </w:r>
    </w:p>
    <w:p w14:paraId="58515416">
      <w:pPr>
        <w:ind w:firstLine="48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环境监理人员常驻工地，对</w:t>
      </w:r>
      <w:r>
        <w:rPr>
          <w:rFonts w:hint="eastAsia" w:ascii="Times New Roman" w:hAnsi="Times New Roman" w:eastAsia="宋体" w:cs="Times New Roman"/>
          <w:color w:val="auto"/>
          <w:highlight w:val="none"/>
          <w:lang w:val="en-US" w:eastAsia="zh-CN"/>
        </w:rPr>
        <w:t>项目</w:t>
      </w:r>
      <w:r>
        <w:rPr>
          <w:rFonts w:hint="eastAsia" w:ascii="Times New Roman" w:hAnsi="Times New Roman" w:eastAsia="宋体" w:cs="Times New Roman"/>
          <w:color w:val="auto"/>
          <w:highlight w:val="none"/>
          <w:lang w:eastAsia="zh-CN"/>
        </w:rPr>
        <w:t>涉及</w:t>
      </w:r>
      <w:r>
        <w:rPr>
          <w:rFonts w:hint="eastAsia" w:cs="Times New Roman"/>
          <w:color w:val="auto"/>
          <w:highlight w:val="none"/>
          <w:lang w:eastAsia="zh-CN"/>
        </w:rPr>
        <w:t>区域</w:t>
      </w:r>
      <w:r>
        <w:rPr>
          <w:rFonts w:hint="eastAsia" w:ascii="Times New Roman" w:hAnsi="Times New Roman" w:eastAsia="宋体" w:cs="Times New Roman"/>
          <w:color w:val="auto"/>
          <w:highlight w:val="none"/>
          <w:lang w:val="en-US" w:eastAsia="zh-CN"/>
        </w:rPr>
        <w:t>生态</w:t>
      </w:r>
      <w:r>
        <w:rPr>
          <w:rFonts w:hint="eastAsia" w:ascii="Times New Roman" w:hAnsi="Times New Roman" w:eastAsia="宋体" w:cs="Times New Roman"/>
          <w:color w:val="auto"/>
          <w:highlight w:val="none"/>
          <w:lang w:eastAsia="zh-CN"/>
        </w:rPr>
        <w:t>环境工作进行动态管理，以巡视为主，并辅助必要的仪器，随时关注各项环境监测数据。发现问题后，监理人员应立即要求承包商限期处理，并以公文函件确认，对于处理完毕的环境问题，应按期进行检验查收，将检查结果形成纪要下发承包商。</w:t>
      </w:r>
    </w:p>
    <w:p w14:paraId="5357575E">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监理的范围及要求</w:t>
      </w:r>
    </w:p>
    <w:p w14:paraId="0B843C39">
      <w:pPr>
        <w:widowControl/>
        <w:numPr>
          <w:ilvl w:val="0"/>
          <w:numId w:val="0"/>
        </w:numPr>
        <w:ind w:left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lang w:eastAsia="zh-CN"/>
        </w:rPr>
        <w:t>）</w:t>
      </w:r>
      <w:r>
        <w:rPr>
          <w:rFonts w:ascii="Times New Roman" w:hAnsi="Times New Roman" w:eastAsia="宋体" w:cs="Times New Roman"/>
          <w:color w:val="auto"/>
          <w:highlight w:val="none"/>
        </w:rPr>
        <w:t>环境监理范围</w:t>
      </w:r>
    </w:p>
    <w:p w14:paraId="3EF6AC81">
      <w:pPr>
        <w:ind w:firstLine="480" w:firstLineChars="200"/>
        <w:rPr>
          <w:color w:val="auto"/>
          <w:highlight w:val="none"/>
        </w:rPr>
      </w:pPr>
      <w:r>
        <w:rPr>
          <w:rFonts w:hint="eastAsia" w:ascii="宋体" w:hAnsi="宋体" w:cs="宋体"/>
          <w:color w:val="auto"/>
          <w:highlight w:val="none"/>
        </w:rPr>
        <w:t>①</w:t>
      </w:r>
      <w:r>
        <w:rPr>
          <w:color w:val="auto"/>
          <w:highlight w:val="none"/>
        </w:rPr>
        <w:t>建设项目的主体工程、辅助工程、后方工程，施工期环保措施实施情况；</w:t>
      </w:r>
    </w:p>
    <w:p w14:paraId="4F6E0124">
      <w:pPr>
        <w:ind w:firstLine="480" w:firstLineChars="200"/>
        <w:rPr>
          <w:color w:val="auto"/>
          <w:highlight w:val="none"/>
        </w:rPr>
      </w:pPr>
      <w:r>
        <w:rPr>
          <w:rFonts w:hint="eastAsia" w:ascii="宋体" w:hAnsi="宋体" w:cs="宋体"/>
          <w:color w:val="auto"/>
          <w:highlight w:val="none"/>
        </w:rPr>
        <w:t>②</w:t>
      </w:r>
      <w:r>
        <w:rPr>
          <w:color w:val="auto"/>
          <w:highlight w:val="none"/>
        </w:rPr>
        <w:t>环保设施的落实情况；</w:t>
      </w:r>
    </w:p>
    <w:p w14:paraId="759310AD">
      <w:pPr>
        <w:ind w:firstLine="480" w:firstLineChars="200"/>
        <w:rPr>
          <w:color w:val="auto"/>
          <w:highlight w:val="none"/>
        </w:rPr>
      </w:pPr>
      <w:r>
        <w:rPr>
          <w:rFonts w:hint="eastAsia" w:ascii="宋体" w:hAnsi="宋体" w:cs="宋体"/>
          <w:color w:val="auto"/>
          <w:highlight w:val="none"/>
        </w:rPr>
        <w:t>③</w:t>
      </w:r>
      <w:r>
        <w:rPr>
          <w:color w:val="auto"/>
          <w:highlight w:val="none"/>
        </w:rPr>
        <w:t>环保依托工程建设运行情况；</w:t>
      </w:r>
    </w:p>
    <w:p w14:paraId="1FBF5977">
      <w:pPr>
        <w:ind w:firstLine="480" w:firstLineChars="200"/>
        <w:rPr>
          <w:color w:val="auto"/>
          <w:highlight w:val="none"/>
        </w:rPr>
      </w:pPr>
      <w:r>
        <w:rPr>
          <w:rFonts w:hint="eastAsia" w:ascii="宋体" w:hAnsi="宋体" w:cs="宋体"/>
          <w:color w:val="auto"/>
          <w:highlight w:val="none"/>
        </w:rPr>
        <w:t>④</w:t>
      </w:r>
      <w:r>
        <w:rPr>
          <w:color w:val="auto"/>
          <w:highlight w:val="none"/>
        </w:rPr>
        <w:t>变更设计后原环保设施的适用性提出质疑和相应要求；</w:t>
      </w:r>
    </w:p>
    <w:p w14:paraId="364D825B">
      <w:pPr>
        <w:ind w:firstLine="480" w:firstLineChars="200"/>
        <w:rPr>
          <w:color w:val="auto"/>
          <w:highlight w:val="none"/>
        </w:rPr>
      </w:pPr>
      <w:r>
        <w:rPr>
          <w:rFonts w:hint="eastAsia" w:ascii="宋体" w:hAnsi="宋体" w:cs="宋体"/>
          <w:color w:val="auto"/>
          <w:highlight w:val="none"/>
        </w:rPr>
        <w:t>⑤</w:t>
      </w:r>
      <w:r>
        <w:rPr>
          <w:color w:val="auto"/>
          <w:highlight w:val="none"/>
        </w:rPr>
        <w:t>环保范畴内对建设项目其它方面的监理工程（工程监理、水保监理等）。</w:t>
      </w:r>
    </w:p>
    <w:p w14:paraId="23F0C70E">
      <w:pPr>
        <w:widowControl/>
        <w:numPr>
          <w:ilvl w:val="0"/>
          <w:numId w:val="0"/>
        </w:numPr>
        <w:ind w:leftChars="200"/>
        <w:rPr>
          <w:color w:val="auto"/>
          <w:highlight w:val="none"/>
        </w:rPr>
      </w:pPr>
      <w:r>
        <w:rPr>
          <w:rFonts w:hint="eastAsia" w:eastAsia="宋体"/>
          <w:color w:val="auto"/>
          <w:highlight w:val="none"/>
          <w:lang w:eastAsia="zh-CN"/>
        </w:rPr>
        <w:t>（</w:t>
      </w:r>
      <w:r>
        <w:rPr>
          <w:rFonts w:hint="eastAsia" w:ascii="Times New Roman" w:eastAsia="宋体"/>
          <w:color w:val="auto"/>
          <w:highlight w:val="none"/>
          <w:lang w:val="en-US" w:eastAsia="zh-CN"/>
        </w:rPr>
        <w:t>2</w:t>
      </w:r>
      <w:r>
        <w:rPr>
          <w:rFonts w:hint="eastAsia" w:eastAsia="宋体"/>
          <w:color w:val="auto"/>
          <w:highlight w:val="none"/>
          <w:lang w:eastAsia="zh-CN"/>
        </w:rPr>
        <w:t>）</w:t>
      </w:r>
      <w:r>
        <w:rPr>
          <w:color w:val="auto"/>
          <w:highlight w:val="none"/>
        </w:rPr>
        <w:t>监理要求</w:t>
      </w:r>
    </w:p>
    <w:p w14:paraId="61329AAE">
      <w:pPr>
        <w:pStyle w:val="649"/>
        <w:widowControl/>
        <w:numPr>
          <w:ilvl w:val="0"/>
          <w:numId w:val="0"/>
        </w:numPr>
        <w:ind w:left="480" w:leftChars="0"/>
        <w:rPr>
          <w:color w:val="auto"/>
          <w:highlight w:val="none"/>
        </w:rPr>
      </w:pPr>
      <w:r>
        <w:rPr>
          <w:rFonts w:hint="eastAsia"/>
          <w:color w:val="auto"/>
          <w:highlight w:val="none"/>
          <w:lang w:val="en-US" w:eastAsia="zh-CN"/>
        </w:rPr>
        <w:t>①</w:t>
      </w:r>
      <w:r>
        <w:rPr>
          <w:color w:val="auto"/>
          <w:highlight w:val="none"/>
        </w:rPr>
        <w:t>环境监理单位同时对建设单位及生态环境主管部门负责；</w:t>
      </w:r>
    </w:p>
    <w:p w14:paraId="120F99BF">
      <w:pPr>
        <w:ind w:firstLine="480" w:firstLineChars="200"/>
        <w:rPr>
          <w:color w:val="auto"/>
          <w:highlight w:val="none"/>
        </w:rPr>
      </w:pPr>
      <w:r>
        <w:rPr>
          <w:rFonts w:hint="eastAsia" w:ascii="宋体" w:hAnsi="宋体" w:cs="宋体"/>
          <w:color w:val="auto"/>
          <w:highlight w:val="none"/>
        </w:rPr>
        <w:t>②</w:t>
      </w:r>
      <w:r>
        <w:rPr>
          <w:color w:val="auto"/>
          <w:highlight w:val="none"/>
        </w:rPr>
        <w:t>环境监理人员会同施工单位编写环境监理文件，包括：日志、月报、中期报告、年报作为“三同时”验收的技术文件；</w:t>
      </w:r>
    </w:p>
    <w:p w14:paraId="72294FB6">
      <w:pPr>
        <w:ind w:firstLine="480" w:firstLineChars="200"/>
        <w:rPr>
          <w:color w:val="auto"/>
          <w:highlight w:val="none"/>
        </w:rPr>
      </w:pPr>
      <w:r>
        <w:rPr>
          <w:rFonts w:hint="eastAsia" w:ascii="宋体" w:hAnsi="宋体" w:cs="宋体"/>
          <w:color w:val="auto"/>
          <w:highlight w:val="none"/>
        </w:rPr>
        <w:t>③</w:t>
      </w:r>
      <w:r>
        <w:rPr>
          <w:color w:val="auto"/>
          <w:highlight w:val="none"/>
        </w:rPr>
        <w:t>环境监理单位根据需要在建设过程中采取必要的</w:t>
      </w:r>
      <w:r>
        <w:rPr>
          <w:rFonts w:hint="eastAsia"/>
          <w:color w:val="auto"/>
          <w:highlight w:val="none"/>
          <w:lang w:eastAsia="zh-CN"/>
        </w:rPr>
        <w:t>环境监测</w:t>
      </w:r>
      <w:r>
        <w:rPr>
          <w:color w:val="auto"/>
          <w:highlight w:val="none"/>
        </w:rPr>
        <w:t>技术手段；</w:t>
      </w:r>
    </w:p>
    <w:p w14:paraId="22725909">
      <w:pPr>
        <w:ind w:firstLine="480" w:firstLineChars="200"/>
        <w:rPr>
          <w:color w:val="auto"/>
          <w:highlight w:val="none"/>
        </w:rPr>
      </w:pPr>
      <w:r>
        <w:rPr>
          <w:rFonts w:hint="eastAsia" w:ascii="宋体" w:hAnsi="宋体" w:cs="宋体"/>
          <w:color w:val="auto"/>
          <w:highlight w:val="none"/>
        </w:rPr>
        <w:t>④</w:t>
      </w:r>
      <w:r>
        <w:rPr>
          <w:color w:val="auto"/>
          <w:highlight w:val="none"/>
        </w:rPr>
        <w:t>具有综合性，在环保范畴内对项目其它方面的监理（工程监理、水保监理等）提出建议。</w:t>
      </w:r>
    </w:p>
    <w:p w14:paraId="2A0776FB">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环境监理程序、职责</w:t>
      </w:r>
    </w:p>
    <w:p w14:paraId="7160C04D">
      <w:pPr>
        <w:widowControl/>
        <w:numPr>
          <w:ilvl w:val="0"/>
          <w:numId w:val="31"/>
        </w:numPr>
        <w:ind w:left="0" w:firstLine="480" w:firstLineChars="200"/>
        <w:rPr>
          <w:color w:val="auto"/>
          <w:highlight w:val="none"/>
        </w:rPr>
      </w:pPr>
      <w:r>
        <w:rPr>
          <w:color w:val="auto"/>
          <w:highlight w:val="none"/>
        </w:rPr>
        <w:t>环境监理程序</w:t>
      </w:r>
    </w:p>
    <w:p w14:paraId="050F2AC5">
      <w:pPr>
        <w:ind w:firstLine="480" w:firstLineChars="200"/>
        <w:rPr>
          <w:color w:val="auto"/>
          <w:highlight w:val="none"/>
        </w:rPr>
      </w:pPr>
      <w:r>
        <w:rPr>
          <w:color w:val="auto"/>
          <w:highlight w:val="none"/>
        </w:rPr>
        <w:t>编制环境监理方案。根据所承担的环境监理工作，按照环境影响评价文件及生态环境主管部门批复的要求编制环境监理方案；</w:t>
      </w:r>
    </w:p>
    <w:p w14:paraId="7B629DF5">
      <w:pPr>
        <w:ind w:firstLine="480" w:firstLineChars="200"/>
        <w:rPr>
          <w:color w:val="auto"/>
          <w:highlight w:val="none"/>
        </w:rPr>
      </w:pPr>
      <w:r>
        <w:rPr>
          <w:color w:val="auto"/>
          <w:highlight w:val="none"/>
        </w:rPr>
        <w:t>依据项目建设进度，按单项措施编制环境监理实施细则；</w:t>
      </w:r>
    </w:p>
    <w:p w14:paraId="4BB46EB8">
      <w:pPr>
        <w:ind w:firstLine="480" w:firstLineChars="200"/>
        <w:rPr>
          <w:color w:val="auto"/>
          <w:highlight w:val="none"/>
        </w:rPr>
      </w:pPr>
      <w:r>
        <w:rPr>
          <w:color w:val="auto"/>
          <w:highlight w:val="none"/>
        </w:rPr>
        <w:t>按照监理实施细则实施监理，定期向项目建设单位提交监理报告和专题报告；环境监理单位应每</w:t>
      </w:r>
      <w:r>
        <w:rPr>
          <w:rFonts w:hint="eastAsia"/>
          <w:color w:val="auto"/>
          <w:highlight w:val="none"/>
          <w:lang w:eastAsia="zh-CN"/>
        </w:rPr>
        <w:t>季度</w:t>
      </w:r>
      <w:r>
        <w:rPr>
          <w:color w:val="auto"/>
          <w:highlight w:val="none"/>
        </w:rPr>
        <w:t>向审批建设项目的</w:t>
      </w:r>
      <w:r>
        <w:rPr>
          <w:rFonts w:hint="eastAsia" w:eastAsia="宋体"/>
          <w:color w:val="auto"/>
          <w:highlight w:val="none"/>
          <w:lang w:eastAsia="zh-CN"/>
        </w:rPr>
        <w:t>生态环境部门</w:t>
      </w:r>
      <w:r>
        <w:rPr>
          <w:color w:val="auto"/>
          <w:highlight w:val="none"/>
        </w:rPr>
        <w:t>报送季度监理报告，出现污染事故要向</w:t>
      </w:r>
      <w:r>
        <w:rPr>
          <w:rFonts w:hint="eastAsia" w:eastAsia="宋体"/>
          <w:color w:val="auto"/>
          <w:highlight w:val="none"/>
          <w:lang w:eastAsia="zh-CN"/>
        </w:rPr>
        <w:t>生态环境部门</w:t>
      </w:r>
      <w:r>
        <w:rPr>
          <w:color w:val="auto"/>
          <w:highlight w:val="none"/>
        </w:rPr>
        <w:t>报送监理报告日报；</w:t>
      </w:r>
    </w:p>
    <w:p w14:paraId="6D719D85">
      <w:pPr>
        <w:ind w:firstLine="480" w:firstLineChars="200"/>
        <w:rPr>
          <w:color w:val="auto"/>
          <w:highlight w:val="none"/>
        </w:rPr>
      </w:pPr>
      <w:r>
        <w:rPr>
          <w:color w:val="auto"/>
          <w:highlight w:val="none"/>
        </w:rPr>
        <w:t>建设项目环境监理业务完成后，向项目建设单位提交工程监理工作报告，移交档案资料。</w:t>
      </w:r>
    </w:p>
    <w:p w14:paraId="2677BA05">
      <w:pPr>
        <w:widowControl/>
        <w:numPr>
          <w:ilvl w:val="0"/>
          <w:numId w:val="31"/>
        </w:numPr>
        <w:ind w:left="0" w:firstLine="480" w:firstLineChars="200"/>
        <w:rPr>
          <w:color w:val="auto"/>
          <w:highlight w:val="none"/>
        </w:rPr>
      </w:pPr>
      <w:r>
        <w:rPr>
          <w:color w:val="auto"/>
          <w:highlight w:val="none"/>
        </w:rPr>
        <w:t>环境监理职责</w:t>
      </w:r>
    </w:p>
    <w:p w14:paraId="040375E2">
      <w:pPr>
        <w:ind w:firstLine="480" w:firstLineChars="200"/>
        <w:rPr>
          <w:color w:val="auto"/>
          <w:highlight w:val="none"/>
        </w:rPr>
      </w:pPr>
      <w:r>
        <w:rPr>
          <w:color w:val="auto"/>
          <w:highlight w:val="none"/>
        </w:rPr>
        <w:t>环境监理人员的职责主要是根据建设项目有关环境保护法律法规、招投标文件、环境监理方案以及环境影响报告等对环境保护的要求，规范项目的施工过程与管理，指导建设单位、承包方等落实各项环保措施，并负责管理各种相关文件、文档的收集、存档、备案和上报，为顺利进行项目竣工环境保护验收奠定良好基础。具体职责分工：</w:t>
      </w:r>
    </w:p>
    <w:p w14:paraId="5020DB53">
      <w:pPr>
        <w:ind w:firstLine="480" w:firstLineChars="200"/>
        <w:rPr>
          <w:color w:val="auto"/>
          <w:highlight w:val="none"/>
        </w:rPr>
      </w:pPr>
      <w:r>
        <w:rPr>
          <w:rFonts w:hint="eastAsia" w:ascii="宋体" w:hAnsi="宋体" w:cs="宋体"/>
          <w:color w:val="auto"/>
          <w:highlight w:val="none"/>
        </w:rPr>
        <w:t>①</w:t>
      </w:r>
      <w:r>
        <w:rPr>
          <w:color w:val="auto"/>
          <w:highlight w:val="none"/>
        </w:rPr>
        <w:t>建设单位负责建设中环保工作的组织实施、监督检查、调查处理污染事件；</w:t>
      </w:r>
    </w:p>
    <w:p w14:paraId="695C751A">
      <w:pPr>
        <w:ind w:firstLine="480" w:firstLineChars="200"/>
        <w:rPr>
          <w:color w:val="auto"/>
          <w:highlight w:val="none"/>
        </w:rPr>
      </w:pPr>
      <w:r>
        <w:rPr>
          <w:rFonts w:hint="eastAsia" w:ascii="宋体" w:hAnsi="宋体" w:cs="宋体"/>
          <w:color w:val="auto"/>
          <w:highlight w:val="none"/>
        </w:rPr>
        <w:t>②</w:t>
      </w:r>
      <w:r>
        <w:rPr>
          <w:color w:val="auto"/>
          <w:highlight w:val="none"/>
        </w:rPr>
        <w:t>施工单位是实施者、责任者；</w:t>
      </w:r>
    </w:p>
    <w:p w14:paraId="7DEB712D">
      <w:pPr>
        <w:ind w:firstLine="480" w:firstLineChars="200"/>
        <w:rPr>
          <w:color w:val="auto"/>
          <w:highlight w:val="none"/>
        </w:rPr>
      </w:pPr>
      <w:r>
        <w:rPr>
          <w:rFonts w:hint="eastAsia" w:ascii="宋体" w:hAnsi="宋体" w:cs="宋体"/>
          <w:color w:val="auto"/>
          <w:highlight w:val="none"/>
        </w:rPr>
        <w:t>③</w:t>
      </w:r>
      <w:r>
        <w:rPr>
          <w:color w:val="auto"/>
          <w:highlight w:val="none"/>
        </w:rPr>
        <w:t>监理单位要按照环评报告书及环保审批部门批复要求展开环境监理；</w:t>
      </w:r>
    </w:p>
    <w:p w14:paraId="67BE9D42">
      <w:pPr>
        <w:ind w:firstLine="480" w:firstLineChars="200"/>
        <w:rPr>
          <w:color w:val="auto"/>
          <w:highlight w:val="none"/>
        </w:rPr>
      </w:pPr>
      <w:r>
        <w:rPr>
          <w:rFonts w:hint="eastAsia" w:ascii="宋体" w:hAnsi="宋体" w:cs="宋体"/>
          <w:color w:val="auto"/>
          <w:highlight w:val="none"/>
        </w:rPr>
        <w:t>④</w:t>
      </w:r>
      <w:r>
        <w:rPr>
          <w:color w:val="auto"/>
          <w:highlight w:val="none"/>
        </w:rPr>
        <w:t>设计单位要严格按照环评报告书及环保审批部门批复要求进行设计。</w:t>
      </w:r>
    </w:p>
    <w:p w14:paraId="265D640F">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环境监理工作制度</w:t>
      </w:r>
    </w:p>
    <w:p w14:paraId="1A577737">
      <w:pPr>
        <w:ind w:firstLine="480" w:firstLineChars="200"/>
        <w:rPr>
          <w:color w:val="auto"/>
          <w:highlight w:val="none"/>
        </w:rPr>
      </w:pPr>
      <w:r>
        <w:rPr>
          <w:color w:val="auto"/>
          <w:highlight w:val="none"/>
        </w:rPr>
        <w:t>会议制度：如首次会议、监理例会、专题会议等；</w:t>
      </w:r>
    </w:p>
    <w:p w14:paraId="1D36ACDE">
      <w:pPr>
        <w:ind w:firstLine="480" w:firstLineChars="200"/>
        <w:rPr>
          <w:color w:val="auto"/>
          <w:highlight w:val="none"/>
        </w:rPr>
      </w:pPr>
      <w:r>
        <w:rPr>
          <w:color w:val="auto"/>
          <w:highlight w:val="none"/>
        </w:rPr>
        <w:t>记录制度：过程记录，监测记录（采样、结果及分析等），竣工记录等；</w:t>
      </w:r>
    </w:p>
    <w:p w14:paraId="1FF3CE15">
      <w:pPr>
        <w:ind w:firstLine="480" w:firstLineChars="200"/>
        <w:rPr>
          <w:color w:val="auto"/>
          <w:highlight w:val="none"/>
        </w:rPr>
      </w:pPr>
      <w:r>
        <w:rPr>
          <w:color w:val="auto"/>
          <w:highlight w:val="none"/>
        </w:rPr>
        <w:t>报告制度：日报、中期报告（主体工程完成</w:t>
      </w:r>
      <w:r>
        <w:rPr>
          <w:rFonts w:eastAsia="Times New Roman"/>
          <w:color w:val="auto"/>
          <w:highlight w:val="none"/>
        </w:rPr>
        <w:t>45%~50%</w:t>
      </w:r>
      <w:r>
        <w:rPr>
          <w:color w:val="auto"/>
          <w:highlight w:val="none"/>
        </w:rPr>
        <w:t>）；</w:t>
      </w:r>
    </w:p>
    <w:p w14:paraId="6281067D">
      <w:pPr>
        <w:ind w:firstLine="480" w:firstLineChars="200"/>
        <w:rPr>
          <w:color w:val="auto"/>
          <w:highlight w:val="none"/>
        </w:rPr>
      </w:pPr>
      <w:r>
        <w:rPr>
          <w:color w:val="auto"/>
          <w:highlight w:val="none"/>
        </w:rPr>
        <w:t>书函制度：所有决定都以书面的形式传达，如情况确实紧急，可暂时以口头形式传达，但事后一定要以书函的形式进行补充。</w:t>
      </w:r>
    </w:p>
    <w:p w14:paraId="48590FB7">
      <w:pPr>
        <w:ind w:firstLine="480" w:firstLineChars="200"/>
        <w:rPr>
          <w:rFonts w:hint="eastAsia" w:eastAsia="宋体"/>
          <w:color w:val="auto"/>
          <w:highlight w:val="none"/>
          <w:lang w:eastAsia="zh-CN"/>
        </w:rPr>
      </w:pPr>
      <w:r>
        <w:rPr>
          <w:rFonts w:hint="eastAsia"/>
          <w:color w:val="auto"/>
          <w:highlight w:val="none"/>
          <w:lang w:eastAsia="zh-CN"/>
        </w:rPr>
        <w:t>环境监理工程师每天对施工期环保措施的落实进行监督记录，检查内容包括环保设备是否正常运行、施工行为是否符合要求等；每月向环境保护办公室提交环境月报，并组织会议对监理结果进行讨论，对本月环境监理工作进行全面总结；每半年编制一份环境保护工作进度报告，进行阶段性总结。</w:t>
      </w:r>
    </w:p>
    <w:p w14:paraId="3614BCD3">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环境监理内容</w:t>
      </w:r>
    </w:p>
    <w:p w14:paraId="77F8185C">
      <w:pPr>
        <w:ind w:firstLine="480" w:firstLineChars="200"/>
        <w:rPr>
          <w:color w:val="auto"/>
          <w:highlight w:val="none"/>
        </w:rPr>
      </w:pPr>
      <w:r>
        <w:rPr>
          <w:color w:val="auto"/>
          <w:highlight w:val="none"/>
        </w:rPr>
        <w:t>环境监理主要包括施工期的环境保护达标监理、生态保护措施监理和环保设施监理：环境保护达标监理是监督检查项目施工建设过程中各种污染因子达到环境保护标准要求的情况；生态保护措施监理是监督检查项目施工建设过程中自然生态保护和恢复措施、水土保护措施及环境敏感保护目标的保护措施落实情况。</w:t>
      </w:r>
    </w:p>
    <w:p w14:paraId="0CC5F720">
      <w:pPr>
        <w:ind w:firstLine="480" w:firstLineChars="200"/>
        <w:rPr>
          <w:color w:val="auto"/>
          <w:highlight w:val="none"/>
        </w:rPr>
      </w:pPr>
      <w:r>
        <w:rPr>
          <w:color w:val="auto"/>
          <w:highlight w:val="none"/>
        </w:rPr>
        <w:t>根据施工时段的具体内容不同，环境监理可分为</w:t>
      </w:r>
      <w:r>
        <w:rPr>
          <w:rFonts w:eastAsia="Times New Roman"/>
          <w:color w:val="auto"/>
          <w:highlight w:val="none"/>
        </w:rPr>
        <w:t>3</w:t>
      </w:r>
      <w:r>
        <w:rPr>
          <w:color w:val="auto"/>
          <w:highlight w:val="none"/>
        </w:rPr>
        <w:t>个阶段进行，即施工准备阶段、施工阶段、交工以及缺陷责任期。</w:t>
      </w:r>
    </w:p>
    <w:p w14:paraId="6819AACC">
      <w:pPr>
        <w:ind w:firstLine="480" w:firstLineChars="200"/>
        <w:rPr>
          <w:color w:val="auto"/>
          <w:highlight w:val="none"/>
        </w:rPr>
      </w:pPr>
      <w:r>
        <w:rPr>
          <w:color w:val="auto"/>
          <w:highlight w:val="none"/>
        </w:rPr>
        <w:t>施工准备阶段：这一阶段的监理任务主要是编制环境监理细则，审核施工合同中的环保条款、承包商施工期环境管理计划和施工组织设计中的环保措施，核实项目占地和准备工作，审核施工物料的堆放是否符合环保要求。</w:t>
      </w:r>
    </w:p>
    <w:p w14:paraId="330D7343">
      <w:pPr>
        <w:ind w:firstLine="480" w:firstLineChars="200"/>
        <w:rPr>
          <w:color w:val="auto"/>
          <w:highlight w:val="none"/>
        </w:rPr>
      </w:pPr>
      <w:r>
        <w:rPr>
          <w:color w:val="auto"/>
          <w:highlight w:val="none"/>
        </w:rPr>
        <w:t>施工阶段：施工过程的环境</w:t>
      </w:r>
      <w:r>
        <w:rPr>
          <w:rFonts w:hint="eastAsia"/>
          <w:color w:val="auto"/>
          <w:highlight w:val="none"/>
          <w:lang w:eastAsia="zh-CN"/>
        </w:rPr>
        <w:t>监理</w:t>
      </w:r>
      <w:r>
        <w:rPr>
          <w:color w:val="auto"/>
          <w:highlight w:val="none"/>
        </w:rPr>
        <w:t>内容主要是督促施工单位落实环境影响报告中提出的各项环境保护措施，规范施工过程。本项目施工阶段主要的环境监理要点见</w:t>
      </w:r>
      <w:r>
        <w:rPr>
          <w:rFonts w:hint="eastAsia"/>
          <w:color w:val="auto"/>
          <w:highlight w:val="none"/>
        </w:rPr>
        <w:t>表7.</w:t>
      </w:r>
      <w:r>
        <w:rPr>
          <w:rFonts w:hint="eastAsia"/>
          <w:color w:val="auto"/>
          <w:highlight w:val="none"/>
          <w:lang w:val="en-US" w:eastAsia="zh-CN"/>
        </w:rPr>
        <w:t>4</w:t>
      </w:r>
      <w:r>
        <w:rPr>
          <w:rFonts w:eastAsia="Times New Roman"/>
          <w:color w:val="auto"/>
          <w:highlight w:val="none"/>
        </w:rPr>
        <w:t>-1</w:t>
      </w:r>
      <w:r>
        <w:rPr>
          <w:color w:val="auto"/>
          <w:highlight w:val="none"/>
        </w:rPr>
        <w:t>。</w:t>
      </w:r>
    </w:p>
    <w:p w14:paraId="54AC1031">
      <w:pPr>
        <w:ind w:firstLine="480" w:firstLineChars="200"/>
        <w:rPr>
          <w:rFonts w:hint="eastAsia"/>
          <w:color w:val="auto"/>
          <w:highlight w:val="none"/>
          <w:lang w:eastAsia="zh-CN"/>
        </w:rPr>
      </w:pPr>
      <w:r>
        <w:rPr>
          <w:color w:val="auto"/>
          <w:highlight w:val="none"/>
        </w:rPr>
        <w:t>交工及缺陷负责期阶段：这一阶段的工作主要是项目竣工环境保护验收的相关资料的汇总、环保工程的施工等以及缺陷责任期阶段针对施工场地清理的监理</w:t>
      </w:r>
      <w:r>
        <w:rPr>
          <w:rFonts w:hint="eastAsia" w:eastAsia="宋体"/>
          <w:color w:val="auto"/>
          <w:highlight w:val="none"/>
          <w:lang w:eastAsia="zh-CN"/>
        </w:rPr>
        <w:t>。</w:t>
      </w:r>
    </w:p>
    <w:p w14:paraId="14B9480E">
      <w:pPr>
        <w:spacing w:after="3"/>
        <w:ind w:left="10" w:right="244" w:hanging="10"/>
        <w:jc w:val="center"/>
        <w:rPr>
          <w:rFonts w:eastAsia="黑体"/>
          <w:color w:val="auto"/>
          <w:sz w:val="21"/>
          <w:szCs w:val="21"/>
          <w:highlight w:val="none"/>
        </w:rPr>
      </w:pPr>
      <w:r>
        <w:rPr>
          <w:rFonts w:hint="eastAsia" w:eastAsia="黑体"/>
          <w:color w:val="auto"/>
          <w:sz w:val="21"/>
          <w:szCs w:val="21"/>
          <w:highlight w:val="none"/>
        </w:rPr>
        <w:t>表7.4</w:t>
      </w:r>
      <w:r>
        <w:rPr>
          <w:rFonts w:eastAsia="黑体"/>
          <w:color w:val="auto"/>
          <w:sz w:val="21"/>
          <w:szCs w:val="21"/>
          <w:highlight w:val="none"/>
        </w:rPr>
        <w:t>-1施工期环境监理情况</w:t>
      </w:r>
    </w:p>
    <w:tbl>
      <w:tblPr>
        <w:tblStyle w:val="40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6231"/>
        <w:gridCol w:w="689"/>
        <w:gridCol w:w="713"/>
      </w:tblGrid>
      <w:tr w14:paraId="27724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vAlign w:val="center"/>
          </w:tcPr>
          <w:p w14:paraId="7C3002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Cs w:val="22"/>
                <w:highlight w:val="none"/>
              </w:rPr>
            </w:pPr>
            <w:r>
              <w:rPr>
                <w:rFonts w:hint="default"/>
                <w:color w:val="auto"/>
                <w:sz w:val="21"/>
                <w:szCs w:val="22"/>
                <w:highlight w:val="none"/>
              </w:rPr>
              <w:t>环境影响</w:t>
            </w:r>
          </w:p>
        </w:tc>
        <w:tc>
          <w:tcPr>
            <w:tcW w:w="3573" w:type="pct"/>
            <w:vAlign w:val="center"/>
          </w:tcPr>
          <w:p w14:paraId="3B6256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Cs w:val="22"/>
                <w:highlight w:val="none"/>
              </w:rPr>
            </w:pPr>
            <w:r>
              <w:rPr>
                <w:rFonts w:hint="default"/>
                <w:color w:val="auto"/>
                <w:sz w:val="21"/>
                <w:szCs w:val="22"/>
                <w:highlight w:val="none"/>
              </w:rPr>
              <w:t>环境监理重点具体内容</w:t>
            </w:r>
          </w:p>
        </w:tc>
        <w:tc>
          <w:tcPr>
            <w:tcW w:w="395" w:type="pct"/>
            <w:vAlign w:val="center"/>
          </w:tcPr>
          <w:p w14:paraId="55F93C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Cs w:val="22"/>
                <w:highlight w:val="none"/>
              </w:rPr>
            </w:pPr>
            <w:r>
              <w:rPr>
                <w:rFonts w:hint="default"/>
                <w:color w:val="auto"/>
                <w:sz w:val="21"/>
                <w:szCs w:val="22"/>
                <w:highlight w:val="none"/>
              </w:rPr>
              <w:t>实施机构</w:t>
            </w:r>
          </w:p>
        </w:tc>
        <w:tc>
          <w:tcPr>
            <w:tcW w:w="409" w:type="pct"/>
            <w:vAlign w:val="center"/>
          </w:tcPr>
          <w:p w14:paraId="696D12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Cs w:val="22"/>
                <w:highlight w:val="none"/>
              </w:rPr>
            </w:pPr>
            <w:r>
              <w:rPr>
                <w:rFonts w:hint="default"/>
                <w:color w:val="auto"/>
                <w:sz w:val="21"/>
                <w:szCs w:val="22"/>
                <w:highlight w:val="none"/>
              </w:rPr>
              <w:t>监督机构</w:t>
            </w:r>
          </w:p>
        </w:tc>
      </w:tr>
      <w:tr w14:paraId="6216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623" w:type="pct"/>
            <w:vAlign w:val="center"/>
          </w:tcPr>
          <w:p w14:paraId="02BD3E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Cs w:val="22"/>
                <w:highlight w:val="none"/>
              </w:rPr>
            </w:pPr>
            <w:r>
              <w:rPr>
                <w:rFonts w:hint="default"/>
                <w:color w:val="auto"/>
                <w:sz w:val="21"/>
                <w:szCs w:val="22"/>
                <w:highlight w:val="none"/>
              </w:rPr>
              <w:t>废水</w:t>
            </w:r>
          </w:p>
        </w:tc>
        <w:tc>
          <w:tcPr>
            <w:tcW w:w="3573" w:type="pct"/>
            <w:vAlign w:val="center"/>
          </w:tcPr>
          <w:p w14:paraId="686E99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Cs w:val="22"/>
                <w:highlight w:val="none"/>
              </w:rPr>
            </w:pPr>
            <w:r>
              <w:rPr>
                <w:rFonts w:hint="eastAsia" w:ascii="宋体" w:hAnsi="宋体" w:cs="宋体"/>
                <w:color w:val="auto"/>
                <w:sz w:val="21"/>
                <w:szCs w:val="22"/>
                <w:highlight w:val="none"/>
              </w:rPr>
              <w:t>①</w:t>
            </w:r>
            <w:r>
              <w:rPr>
                <w:rFonts w:hint="default"/>
                <w:color w:val="auto"/>
                <w:sz w:val="21"/>
                <w:szCs w:val="22"/>
                <w:highlight w:val="none"/>
              </w:rPr>
              <w:t>施工营地设置防渗化粪池，定期清掏。</w:t>
            </w:r>
          </w:p>
          <w:p w14:paraId="065DBE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Cs w:val="22"/>
                <w:highlight w:val="none"/>
              </w:rPr>
            </w:pPr>
            <w:r>
              <w:rPr>
                <w:rFonts w:hint="eastAsia" w:ascii="宋体" w:hAnsi="宋体" w:cs="宋体"/>
                <w:color w:val="auto"/>
                <w:sz w:val="21"/>
                <w:szCs w:val="22"/>
                <w:highlight w:val="none"/>
              </w:rPr>
              <w:t>②</w:t>
            </w:r>
            <w:r>
              <w:rPr>
                <w:rFonts w:hint="default"/>
                <w:color w:val="auto"/>
                <w:sz w:val="21"/>
                <w:szCs w:val="22"/>
                <w:highlight w:val="none"/>
              </w:rPr>
              <w:t>施工现场应建造沉淀池、隔油池等污水临时处理设施，对含油量大的施工机械冲洗水或悬浮物含量高的其它施工废水处理后排放，砂浆和石灰浆等废液要集中处理，干燥后与固体废弃物一起处置。</w:t>
            </w:r>
          </w:p>
          <w:p w14:paraId="7F3C8C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Cs w:val="22"/>
                <w:highlight w:val="none"/>
              </w:rPr>
            </w:pPr>
            <w:r>
              <w:rPr>
                <w:rFonts w:hint="eastAsia" w:ascii="宋体" w:hAnsi="宋体" w:cs="宋体"/>
                <w:color w:val="auto"/>
                <w:sz w:val="21"/>
                <w:szCs w:val="22"/>
                <w:highlight w:val="none"/>
              </w:rPr>
              <w:t>③</w:t>
            </w:r>
            <w:r>
              <w:rPr>
                <w:rFonts w:hint="default"/>
                <w:color w:val="auto"/>
                <w:sz w:val="21"/>
                <w:szCs w:val="22"/>
                <w:highlight w:val="none"/>
              </w:rPr>
              <w:t>水泥、石灰类的建筑材料应集中堆放，并采取一定的防雨淋措施及时清扫施工运输过程中</w:t>
            </w:r>
            <w:r>
              <w:rPr>
                <w:rFonts w:hint="eastAsia"/>
                <w:color w:val="auto"/>
                <w:sz w:val="21"/>
                <w:szCs w:val="22"/>
                <w:highlight w:val="none"/>
                <w:lang w:eastAsia="zh-CN"/>
              </w:rPr>
              <w:t>抛撒</w:t>
            </w:r>
            <w:r>
              <w:rPr>
                <w:rFonts w:hint="default"/>
                <w:color w:val="auto"/>
                <w:sz w:val="21"/>
                <w:szCs w:val="22"/>
                <w:highlight w:val="none"/>
              </w:rPr>
              <w:t>的建筑材料。</w:t>
            </w:r>
          </w:p>
        </w:tc>
        <w:tc>
          <w:tcPr>
            <w:tcW w:w="395" w:type="pct"/>
            <w:vMerge w:val="restart"/>
            <w:vAlign w:val="center"/>
          </w:tcPr>
          <w:p w14:paraId="181887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Cs w:val="22"/>
                <w:highlight w:val="none"/>
              </w:rPr>
            </w:pPr>
            <w:r>
              <w:rPr>
                <w:rFonts w:hint="default"/>
                <w:color w:val="auto"/>
                <w:sz w:val="21"/>
                <w:szCs w:val="22"/>
                <w:highlight w:val="none"/>
              </w:rPr>
              <w:t>施工单位</w:t>
            </w:r>
          </w:p>
        </w:tc>
        <w:tc>
          <w:tcPr>
            <w:tcW w:w="409" w:type="pct"/>
            <w:vMerge w:val="restart"/>
            <w:vAlign w:val="center"/>
          </w:tcPr>
          <w:p w14:paraId="6A51DD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Cs w:val="22"/>
                <w:highlight w:val="none"/>
              </w:rPr>
            </w:pPr>
            <w:r>
              <w:rPr>
                <w:rFonts w:hint="default"/>
                <w:color w:val="auto"/>
                <w:sz w:val="21"/>
                <w:szCs w:val="22"/>
                <w:highlight w:val="none"/>
              </w:rPr>
              <w:t>监理单位及</w:t>
            </w:r>
            <w:r>
              <w:rPr>
                <w:rFonts w:hint="eastAsia"/>
                <w:color w:val="auto"/>
                <w:sz w:val="21"/>
                <w:szCs w:val="22"/>
                <w:highlight w:val="none"/>
              </w:rPr>
              <w:t>当地生态环境</w:t>
            </w:r>
            <w:r>
              <w:rPr>
                <w:rFonts w:hint="default"/>
                <w:color w:val="auto"/>
                <w:sz w:val="21"/>
                <w:szCs w:val="22"/>
                <w:highlight w:val="none"/>
              </w:rPr>
              <w:t>局</w:t>
            </w:r>
          </w:p>
        </w:tc>
      </w:tr>
      <w:tr w14:paraId="042D3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vAlign w:val="center"/>
          </w:tcPr>
          <w:p w14:paraId="7FDE9D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Cs w:val="22"/>
                <w:highlight w:val="none"/>
              </w:rPr>
            </w:pPr>
            <w:r>
              <w:rPr>
                <w:rFonts w:hint="default"/>
                <w:color w:val="auto"/>
                <w:sz w:val="21"/>
                <w:szCs w:val="22"/>
                <w:highlight w:val="none"/>
              </w:rPr>
              <w:t>废气</w:t>
            </w:r>
          </w:p>
        </w:tc>
        <w:tc>
          <w:tcPr>
            <w:tcW w:w="3573" w:type="pct"/>
            <w:vAlign w:val="center"/>
          </w:tcPr>
          <w:p w14:paraId="1A7CD3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Cs w:val="22"/>
                <w:highlight w:val="none"/>
              </w:rPr>
            </w:pPr>
            <w:r>
              <w:rPr>
                <w:rFonts w:hint="eastAsia" w:ascii="宋体" w:hAnsi="宋体" w:cs="宋体"/>
                <w:color w:val="auto"/>
                <w:sz w:val="21"/>
                <w:szCs w:val="22"/>
                <w:highlight w:val="none"/>
              </w:rPr>
              <w:t>①</w:t>
            </w:r>
            <w:r>
              <w:rPr>
                <w:rFonts w:hint="default"/>
                <w:color w:val="auto"/>
                <w:sz w:val="21"/>
                <w:szCs w:val="22"/>
                <w:highlight w:val="none"/>
              </w:rPr>
              <w:t>施工期间，厂区应进行围挡，减少扬尘污染。</w:t>
            </w:r>
          </w:p>
          <w:p w14:paraId="5AC1F3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Cs w:val="22"/>
                <w:highlight w:val="none"/>
              </w:rPr>
            </w:pPr>
            <w:r>
              <w:rPr>
                <w:rFonts w:hint="eastAsia" w:ascii="宋体" w:hAnsi="宋体" w:cs="宋体"/>
                <w:color w:val="auto"/>
                <w:sz w:val="21"/>
                <w:szCs w:val="22"/>
                <w:highlight w:val="none"/>
              </w:rPr>
              <w:t>②</w:t>
            </w:r>
            <w:r>
              <w:rPr>
                <w:rFonts w:hint="default"/>
                <w:color w:val="auto"/>
                <w:sz w:val="21"/>
                <w:szCs w:val="22"/>
                <w:highlight w:val="none"/>
              </w:rPr>
              <w:t>运输车辆加盖篷布，施工便道定期洒水。</w:t>
            </w:r>
          </w:p>
        </w:tc>
        <w:tc>
          <w:tcPr>
            <w:tcW w:w="395" w:type="pct"/>
            <w:vMerge w:val="continue"/>
            <w:vAlign w:val="center"/>
          </w:tcPr>
          <w:p w14:paraId="5D1D82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Cs w:val="22"/>
                <w:highlight w:val="none"/>
              </w:rPr>
            </w:pPr>
          </w:p>
        </w:tc>
        <w:tc>
          <w:tcPr>
            <w:tcW w:w="409" w:type="pct"/>
            <w:vMerge w:val="continue"/>
            <w:vAlign w:val="center"/>
          </w:tcPr>
          <w:p w14:paraId="24E079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Cs w:val="22"/>
                <w:highlight w:val="none"/>
              </w:rPr>
            </w:pPr>
          </w:p>
        </w:tc>
      </w:tr>
      <w:tr w14:paraId="2B99C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623" w:type="pct"/>
            <w:vAlign w:val="center"/>
          </w:tcPr>
          <w:p w14:paraId="16D4AB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Cs w:val="22"/>
                <w:highlight w:val="none"/>
              </w:rPr>
            </w:pPr>
            <w:r>
              <w:rPr>
                <w:rFonts w:hint="default"/>
                <w:color w:val="auto"/>
                <w:sz w:val="21"/>
                <w:szCs w:val="22"/>
                <w:highlight w:val="none"/>
              </w:rPr>
              <w:t>噪声</w:t>
            </w:r>
          </w:p>
        </w:tc>
        <w:tc>
          <w:tcPr>
            <w:tcW w:w="3573" w:type="pct"/>
            <w:vAlign w:val="center"/>
          </w:tcPr>
          <w:p w14:paraId="7B58FE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Cs w:val="22"/>
                <w:highlight w:val="none"/>
              </w:rPr>
            </w:pPr>
            <w:r>
              <w:rPr>
                <w:rFonts w:hint="default"/>
                <w:color w:val="auto"/>
                <w:sz w:val="21"/>
                <w:szCs w:val="22"/>
                <w:highlight w:val="none"/>
              </w:rPr>
              <w:t>加强对施工机械的维护保养，以避免由于设备性能差而增大机械噪声的现象发生。</w:t>
            </w:r>
          </w:p>
        </w:tc>
        <w:tc>
          <w:tcPr>
            <w:tcW w:w="395" w:type="pct"/>
            <w:vMerge w:val="continue"/>
            <w:vAlign w:val="center"/>
          </w:tcPr>
          <w:p w14:paraId="1CADC6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Cs w:val="22"/>
                <w:highlight w:val="none"/>
              </w:rPr>
            </w:pPr>
          </w:p>
        </w:tc>
        <w:tc>
          <w:tcPr>
            <w:tcW w:w="409" w:type="pct"/>
            <w:vMerge w:val="continue"/>
            <w:vAlign w:val="center"/>
          </w:tcPr>
          <w:p w14:paraId="7CE51E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Cs w:val="22"/>
                <w:highlight w:val="none"/>
              </w:rPr>
            </w:pPr>
          </w:p>
        </w:tc>
      </w:tr>
      <w:tr w14:paraId="48D0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vAlign w:val="center"/>
          </w:tcPr>
          <w:p w14:paraId="37B53A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Cs w:val="22"/>
                <w:highlight w:val="none"/>
              </w:rPr>
            </w:pPr>
            <w:r>
              <w:rPr>
                <w:rFonts w:hint="default"/>
                <w:color w:val="auto"/>
                <w:sz w:val="21"/>
                <w:szCs w:val="22"/>
                <w:highlight w:val="none"/>
              </w:rPr>
              <w:t>固废</w:t>
            </w:r>
          </w:p>
        </w:tc>
        <w:tc>
          <w:tcPr>
            <w:tcW w:w="3573" w:type="pct"/>
            <w:vAlign w:val="center"/>
          </w:tcPr>
          <w:p w14:paraId="038DD5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Cs w:val="22"/>
                <w:highlight w:val="none"/>
              </w:rPr>
            </w:pPr>
            <w:r>
              <w:rPr>
                <w:rFonts w:hint="eastAsia" w:ascii="宋体" w:hAnsi="宋体" w:cs="宋体"/>
                <w:color w:val="auto"/>
                <w:sz w:val="21"/>
                <w:szCs w:val="22"/>
                <w:highlight w:val="none"/>
              </w:rPr>
              <w:t>①</w:t>
            </w:r>
            <w:r>
              <w:rPr>
                <w:rFonts w:hint="default"/>
                <w:color w:val="auto"/>
                <w:sz w:val="21"/>
                <w:szCs w:val="22"/>
                <w:highlight w:val="none"/>
              </w:rPr>
              <w:t>生活垃圾应集中堆放，统一清运处置；</w:t>
            </w:r>
          </w:p>
          <w:p w14:paraId="4CFC70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color w:val="auto"/>
                <w:szCs w:val="22"/>
                <w:highlight w:val="none"/>
              </w:rPr>
            </w:pPr>
            <w:r>
              <w:rPr>
                <w:rFonts w:hint="eastAsia" w:ascii="宋体" w:hAnsi="宋体" w:cs="宋体"/>
                <w:color w:val="auto"/>
                <w:sz w:val="21"/>
                <w:szCs w:val="22"/>
                <w:highlight w:val="none"/>
              </w:rPr>
              <w:t>②</w:t>
            </w:r>
            <w:r>
              <w:rPr>
                <w:rFonts w:hint="default"/>
                <w:color w:val="auto"/>
                <w:sz w:val="21"/>
                <w:szCs w:val="22"/>
                <w:highlight w:val="none"/>
              </w:rPr>
              <w:t>建筑垃圾应按市政规划地点进行处理。</w:t>
            </w:r>
          </w:p>
        </w:tc>
        <w:tc>
          <w:tcPr>
            <w:tcW w:w="395" w:type="pct"/>
            <w:vMerge w:val="continue"/>
            <w:vAlign w:val="center"/>
          </w:tcPr>
          <w:p w14:paraId="157946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Cs w:val="22"/>
                <w:highlight w:val="none"/>
              </w:rPr>
            </w:pPr>
          </w:p>
        </w:tc>
        <w:tc>
          <w:tcPr>
            <w:tcW w:w="409" w:type="pct"/>
            <w:vMerge w:val="continue"/>
            <w:vAlign w:val="center"/>
          </w:tcPr>
          <w:p w14:paraId="05D868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color w:val="auto"/>
                <w:szCs w:val="22"/>
                <w:highlight w:val="none"/>
              </w:rPr>
            </w:pPr>
          </w:p>
        </w:tc>
      </w:tr>
    </w:tbl>
    <w:p w14:paraId="5A6B238E">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eastAsia="黑体" w:cs="Times New Roman"/>
          <w:color w:val="auto"/>
          <w:spacing w:val="0"/>
          <w:kern w:val="2"/>
          <w:sz w:val="28"/>
          <w:szCs w:val="28"/>
          <w:highlight w:val="none"/>
          <w:lang w:val="en-US" w:eastAsia="zh-CN" w:bidi="ar-SA"/>
        </w:rPr>
        <w:t>环境监理事故处理</w:t>
      </w:r>
    </w:p>
    <w:p w14:paraId="1ADAD752">
      <w:pPr>
        <w:ind w:firstLine="480" w:firstLineChars="200"/>
        <w:rPr>
          <w:color w:val="auto"/>
          <w:highlight w:val="none"/>
        </w:rPr>
      </w:pPr>
      <w:r>
        <w:rPr>
          <w:color w:val="auto"/>
          <w:highlight w:val="none"/>
        </w:rPr>
        <w:t>环境监理人员发现建设项目施工中存在如下问题时，应及时报告建设单位和环境保护行政主管部门：</w:t>
      </w:r>
    </w:p>
    <w:p w14:paraId="3B6C6D81">
      <w:pPr>
        <w:widowControl/>
        <w:numPr>
          <w:ilvl w:val="0"/>
          <w:numId w:val="32"/>
        </w:numPr>
        <w:ind w:left="0" w:firstLine="480" w:firstLineChars="200"/>
        <w:rPr>
          <w:color w:val="auto"/>
          <w:highlight w:val="none"/>
        </w:rPr>
      </w:pPr>
      <w:r>
        <w:rPr>
          <w:color w:val="auto"/>
          <w:highlight w:val="none"/>
        </w:rPr>
        <w:t>项目施工过程中存在超过国家或地方环境标准排放污染物的环境违法行为；</w:t>
      </w:r>
    </w:p>
    <w:p w14:paraId="0C626824">
      <w:pPr>
        <w:widowControl/>
        <w:numPr>
          <w:ilvl w:val="0"/>
          <w:numId w:val="32"/>
        </w:numPr>
        <w:ind w:left="0" w:firstLine="480" w:firstLineChars="200"/>
        <w:rPr>
          <w:color w:val="auto"/>
          <w:highlight w:val="none"/>
        </w:rPr>
      </w:pPr>
      <w:r>
        <w:rPr>
          <w:color w:val="auto"/>
          <w:highlight w:val="none"/>
        </w:rPr>
        <w:t>项目施工过程中存在污染的情况；</w:t>
      </w:r>
    </w:p>
    <w:p w14:paraId="66A9CDBC">
      <w:pPr>
        <w:widowControl/>
        <w:numPr>
          <w:ilvl w:val="0"/>
          <w:numId w:val="32"/>
        </w:numPr>
        <w:ind w:left="0" w:firstLine="480" w:firstLineChars="200"/>
        <w:rPr>
          <w:color w:val="auto"/>
          <w:highlight w:val="none"/>
        </w:rPr>
      </w:pPr>
      <w:r>
        <w:rPr>
          <w:color w:val="auto"/>
          <w:highlight w:val="none"/>
        </w:rPr>
        <w:t>项目施工过程中未按照环境影响评价及批复要求实施的；</w:t>
      </w:r>
    </w:p>
    <w:p w14:paraId="7CC0B316">
      <w:pPr>
        <w:widowControl/>
        <w:numPr>
          <w:ilvl w:val="0"/>
          <w:numId w:val="32"/>
        </w:numPr>
        <w:ind w:left="0" w:firstLine="480" w:firstLineChars="200"/>
        <w:rPr>
          <w:color w:val="auto"/>
          <w:highlight w:val="none"/>
        </w:rPr>
      </w:pPr>
      <w:r>
        <w:rPr>
          <w:color w:val="auto"/>
          <w:highlight w:val="none"/>
        </w:rPr>
        <w:t>环境污染治理设施、环境风险防范设施未按照环境影响评价及批复要求实施生态恢复的；</w:t>
      </w:r>
    </w:p>
    <w:p w14:paraId="4FD50D26">
      <w:pPr>
        <w:widowControl/>
        <w:numPr>
          <w:ilvl w:val="0"/>
          <w:numId w:val="32"/>
        </w:numPr>
        <w:ind w:left="0" w:firstLine="480" w:firstLineChars="200"/>
        <w:rPr>
          <w:color w:val="auto"/>
          <w:highlight w:val="none"/>
        </w:rPr>
      </w:pPr>
      <w:r>
        <w:rPr>
          <w:color w:val="auto"/>
          <w:highlight w:val="none"/>
        </w:rPr>
        <w:t>环境污染治理设施、环境风险防范设施施工进度与主体工程施工进度不符合建设项目环境保护“三同时”要求的；</w:t>
      </w:r>
    </w:p>
    <w:p w14:paraId="10785837">
      <w:pPr>
        <w:widowControl/>
        <w:numPr>
          <w:ilvl w:val="0"/>
          <w:numId w:val="32"/>
        </w:numPr>
        <w:ind w:left="0" w:firstLine="480" w:firstLineChars="200"/>
        <w:rPr>
          <w:color w:val="auto"/>
          <w:highlight w:val="none"/>
        </w:rPr>
      </w:pPr>
      <w:r>
        <w:rPr>
          <w:color w:val="auto"/>
          <w:highlight w:val="none"/>
        </w:rPr>
        <w:t>项目施工过程中存在其它环境违法行为的。</w:t>
      </w:r>
    </w:p>
    <w:p w14:paraId="060275DD">
      <w:pPr>
        <w:ind w:firstLine="480" w:firstLineChars="200"/>
        <w:rPr>
          <w:color w:val="auto"/>
          <w:highlight w:val="none"/>
        </w:rPr>
      </w:pPr>
      <w:r>
        <w:rPr>
          <w:color w:val="auto"/>
          <w:highlight w:val="none"/>
        </w:rPr>
        <w:t>如在工程施工过程中，出现重大污染事故时，应按如下程序处理：</w:t>
      </w:r>
    </w:p>
    <w:p w14:paraId="0B3A76B5">
      <w:pPr>
        <w:ind w:firstLine="480" w:firstLineChars="200"/>
        <w:rPr>
          <w:color w:val="auto"/>
          <w:highlight w:val="none"/>
        </w:rPr>
      </w:pPr>
      <w:r>
        <w:rPr>
          <w:color w:val="auto"/>
          <w:highlight w:val="none"/>
        </w:rPr>
        <w:t>环境总监理工程师在接到环境监理工程师报告后，应立即与业主代表联系，同时书面通知承包人暂停该项目的施工，并采取有效的环保措施。</w:t>
      </w:r>
    </w:p>
    <w:p w14:paraId="43F958C7">
      <w:pPr>
        <w:ind w:firstLine="480" w:firstLineChars="200"/>
        <w:rPr>
          <w:color w:val="auto"/>
          <w:highlight w:val="none"/>
        </w:rPr>
      </w:pPr>
      <w:r>
        <w:rPr>
          <w:color w:val="auto"/>
          <w:highlight w:val="none"/>
        </w:rPr>
        <w:t>在发生事故后，承包人除口头报告环境监理工程师外，应事后书面报告－填表《工程污染事故报告单》附事故初步调查报告环境监理工程师，污染事故报告初步反映该项目名称、部位、污染事故原因、应急环保措施等。该报告经环境监理工程师签署意见，环境总监理工程师审核批准后转报业主。</w:t>
      </w:r>
    </w:p>
    <w:p w14:paraId="5DAB6F2F">
      <w:pPr>
        <w:ind w:firstLine="480" w:firstLineChars="200"/>
        <w:rPr>
          <w:color w:val="auto"/>
          <w:highlight w:val="none"/>
        </w:rPr>
      </w:pPr>
      <w:r>
        <w:rPr>
          <w:color w:val="auto"/>
          <w:highlight w:val="none"/>
        </w:rPr>
        <w:t>环境监理工程师和承包人对污染事故继续深入调查，并和有关方面商讨后，提出事故处理的初步方案并填报《工程污染事故处理方案报审表》（附工程污染事故详细报告和处理方案）报环境总监理工程师核准后再转报业主研究处理。</w:t>
      </w:r>
    </w:p>
    <w:p w14:paraId="10EC6923">
      <w:pPr>
        <w:ind w:firstLine="480" w:firstLineChars="200"/>
        <w:rPr>
          <w:color w:val="auto"/>
          <w:highlight w:val="none"/>
        </w:rPr>
      </w:pPr>
      <w:r>
        <w:rPr>
          <w:color w:val="auto"/>
          <w:highlight w:val="none"/>
        </w:rPr>
        <w:t>环境总监理工程师会同业主组织有关人员在对污染事故现场进行审查分析、监测、化验的基础上，对承包人提出的处理方案予以审查、修正、批准，形成决定，方案确定后由承包人</w:t>
      </w:r>
      <w:r>
        <w:rPr>
          <w:rFonts w:hint="eastAsia"/>
          <w:color w:val="auto"/>
          <w:highlight w:val="none"/>
          <w:lang w:eastAsia="zh-CN"/>
        </w:rPr>
        <w:t>填写</w:t>
      </w:r>
      <w:r>
        <w:rPr>
          <w:color w:val="auto"/>
          <w:highlight w:val="none"/>
        </w:rPr>
        <w:t>《复工报审表》向环境监理工程师申请复工。</w:t>
      </w:r>
    </w:p>
    <w:p w14:paraId="75D9E960">
      <w:pPr>
        <w:ind w:firstLine="480" w:firstLineChars="200"/>
        <w:rPr>
          <w:color w:val="auto"/>
          <w:highlight w:val="none"/>
        </w:rPr>
      </w:pPr>
      <w:r>
        <w:rPr>
          <w:color w:val="auto"/>
          <w:highlight w:val="none"/>
        </w:rPr>
        <w:t>环境总监理工程师组织对污染事故的责任进行判定。判定时将全面审查有关本项目施工记录。</w:t>
      </w:r>
    </w:p>
    <w:p w14:paraId="5398FA63">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33" w:name="_Toc25842"/>
      <w:bookmarkStart w:id="334" w:name="_Toc103694396"/>
      <w:bookmarkStart w:id="335" w:name="_Toc135728820"/>
      <w:r>
        <w:rPr>
          <w:rFonts w:hint="eastAsia" w:ascii="Times New Roman" w:hAnsi="Times New Roman" w:eastAsia="黑体" w:cs="Times New Roman"/>
          <w:bCs/>
          <w:color w:val="auto"/>
          <w:spacing w:val="0"/>
          <w:w w:val="100"/>
          <w:kern w:val="28"/>
          <w:sz w:val="30"/>
          <w:szCs w:val="30"/>
          <w:highlight w:val="none"/>
          <w:lang w:val="en-US" w:eastAsia="zh-CN" w:bidi="ar-SA"/>
        </w:rPr>
        <w:t>环保设施竣工验收</w:t>
      </w:r>
      <w:bookmarkEnd w:id="333"/>
    </w:p>
    <w:bookmarkEnd w:id="334"/>
    <w:bookmarkEnd w:id="335"/>
    <w:p w14:paraId="22FE0C58">
      <w:pPr>
        <w:ind w:firstLine="480" w:firstLineChars="200"/>
        <w:rPr>
          <w:color w:val="auto"/>
          <w:highlight w:val="none"/>
        </w:rPr>
      </w:pPr>
      <w:r>
        <w:rPr>
          <w:color w:val="auto"/>
          <w:highlight w:val="none"/>
        </w:rPr>
        <w:t>本项目建设后，按照《建设项目环境保护管理条例》</w:t>
      </w:r>
      <w:r>
        <w:rPr>
          <w:rFonts w:hint="eastAsia"/>
          <w:color w:val="auto"/>
          <w:highlight w:val="none"/>
          <w:lang w:eastAsia="zh-CN"/>
        </w:rPr>
        <w:t>（国务院令第682号，2017年7月16日修订，2017年10月1日起施行）</w:t>
      </w:r>
      <w:r>
        <w:rPr>
          <w:color w:val="auto"/>
          <w:highlight w:val="none"/>
        </w:rPr>
        <w:t>的规定申请办理竣工环保验收手续，经审批部门验收合格后方可正式投入使用。环保设施竣工验收主要内容见表</w:t>
      </w:r>
      <w:r>
        <w:rPr>
          <w:rFonts w:hint="eastAsia" w:eastAsia="宋体"/>
          <w:color w:val="auto"/>
          <w:highlight w:val="none"/>
          <w:lang w:val="en-US" w:eastAsia="zh-CN"/>
        </w:rPr>
        <w:t>7.</w:t>
      </w:r>
      <w:r>
        <w:rPr>
          <w:rFonts w:eastAsia="Times New Roman"/>
          <w:color w:val="auto"/>
          <w:highlight w:val="none"/>
        </w:rPr>
        <w:t>5-1</w:t>
      </w:r>
      <w:r>
        <w:rPr>
          <w:color w:val="auto"/>
          <w:highlight w:val="none"/>
        </w:rPr>
        <w:t>。</w:t>
      </w:r>
    </w:p>
    <w:p w14:paraId="01B5DD45">
      <w:pPr>
        <w:spacing w:after="3"/>
        <w:ind w:left="10" w:right="244" w:hanging="10"/>
        <w:jc w:val="center"/>
        <w:rPr>
          <w:rFonts w:eastAsia="黑体"/>
          <w:color w:val="auto"/>
          <w:sz w:val="21"/>
          <w:highlight w:val="none"/>
        </w:rPr>
      </w:pPr>
      <w:r>
        <w:rPr>
          <w:rFonts w:hint="eastAsia" w:eastAsia="黑体"/>
          <w:color w:val="auto"/>
          <w:sz w:val="21"/>
          <w:highlight w:val="none"/>
        </w:rPr>
        <w:t>表7.5</w:t>
      </w:r>
      <w:r>
        <w:rPr>
          <w:rFonts w:eastAsia="黑体"/>
          <w:color w:val="auto"/>
          <w:sz w:val="21"/>
          <w:highlight w:val="none"/>
        </w:rPr>
        <w:t>-1环保设施竣工验收主要内容</w:t>
      </w:r>
    </w:p>
    <w:tbl>
      <w:tblPr>
        <w:tblStyle w:val="40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1273"/>
        <w:gridCol w:w="2358"/>
        <w:gridCol w:w="1656"/>
        <w:gridCol w:w="2455"/>
      </w:tblGrid>
      <w:tr w14:paraId="6EB2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blHeader/>
        </w:trPr>
        <w:tc>
          <w:tcPr>
            <w:tcW w:w="560" w:type="pct"/>
            <w:vAlign w:val="center"/>
          </w:tcPr>
          <w:p w14:paraId="3A3C57DB">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项目</w:t>
            </w:r>
          </w:p>
        </w:tc>
        <w:tc>
          <w:tcPr>
            <w:tcW w:w="730" w:type="pct"/>
            <w:vAlign w:val="center"/>
          </w:tcPr>
          <w:p w14:paraId="09D5E438">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污染源</w:t>
            </w:r>
          </w:p>
        </w:tc>
        <w:tc>
          <w:tcPr>
            <w:tcW w:w="2301" w:type="pct"/>
            <w:gridSpan w:val="2"/>
            <w:vAlign w:val="center"/>
          </w:tcPr>
          <w:p w14:paraId="0E6A48CC">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验收内容</w:t>
            </w:r>
          </w:p>
        </w:tc>
        <w:tc>
          <w:tcPr>
            <w:tcW w:w="1407" w:type="pct"/>
            <w:vAlign w:val="center"/>
          </w:tcPr>
          <w:p w14:paraId="3D1E373E">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验收标准</w:t>
            </w:r>
          </w:p>
        </w:tc>
      </w:tr>
      <w:tr w14:paraId="62EF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60" w:type="pct"/>
            <w:vAlign w:val="center"/>
          </w:tcPr>
          <w:p w14:paraId="5C3D0F3E">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噪声</w:t>
            </w:r>
          </w:p>
        </w:tc>
        <w:tc>
          <w:tcPr>
            <w:tcW w:w="730" w:type="pct"/>
            <w:vAlign w:val="center"/>
          </w:tcPr>
          <w:p w14:paraId="5E4C73EF">
            <w:pPr>
              <w:keepNext w:val="0"/>
              <w:keepLines w:val="0"/>
              <w:widowControl/>
              <w:suppressLineNumbers w:val="0"/>
              <w:spacing w:before="0" w:beforeAutospacing="0" w:after="0" w:afterAutospacing="0" w:line="240" w:lineRule="atLeast"/>
              <w:ind w:left="0" w:right="0" w:firstLine="0"/>
              <w:jc w:val="center"/>
              <w:rPr>
                <w:rFonts w:hint="eastAsia" w:eastAsia="宋体"/>
                <w:color w:val="auto"/>
                <w:sz w:val="21"/>
                <w:szCs w:val="21"/>
                <w:highlight w:val="none"/>
                <w:lang w:eastAsia="zh-CN"/>
              </w:rPr>
            </w:pPr>
            <w:r>
              <w:rPr>
                <w:rFonts w:hint="eastAsia"/>
                <w:color w:val="auto"/>
                <w:sz w:val="21"/>
                <w:szCs w:val="21"/>
                <w:highlight w:val="none"/>
                <w:lang w:val="en-US" w:eastAsia="zh-CN"/>
              </w:rPr>
              <w:t>航空器</w:t>
            </w:r>
          </w:p>
        </w:tc>
        <w:tc>
          <w:tcPr>
            <w:tcW w:w="1352" w:type="pct"/>
            <w:vAlign w:val="center"/>
          </w:tcPr>
          <w:p w14:paraId="1791FD0B">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机场周围及飞行航线下方主要敏感点</w:t>
            </w:r>
          </w:p>
        </w:tc>
        <w:tc>
          <w:tcPr>
            <w:tcW w:w="949" w:type="pct"/>
            <w:vAlign w:val="center"/>
          </w:tcPr>
          <w:p w14:paraId="6A3C6A2C">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敏感点噪声</w:t>
            </w:r>
          </w:p>
        </w:tc>
        <w:tc>
          <w:tcPr>
            <w:tcW w:w="1407" w:type="pct"/>
            <w:vAlign w:val="center"/>
          </w:tcPr>
          <w:p w14:paraId="2FBDD154">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《机场周围飞机噪声环境标准》（GB9660-88）</w:t>
            </w:r>
          </w:p>
        </w:tc>
      </w:tr>
      <w:tr w14:paraId="3722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60" w:type="pct"/>
            <w:vAlign w:val="center"/>
          </w:tcPr>
          <w:p w14:paraId="7F45493B">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废水</w:t>
            </w:r>
          </w:p>
        </w:tc>
        <w:tc>
          <w:tcPr>
            <w:tcW w:w="730" w:type="pct"/>
            <w:vAlign w:val="center"/>
          </w:tcPr>
          <w:p w14:paraId="25B9854D">
            <w:pPr>
              <w:keepNext w:val="0"/>
              <w:keepLines w:val="0"/>
              <w:widowControl/>
              <w:suppressLineNumbers w:val="0"/>
              <w:spacing w:before="0" w:beforeAutospacing="0" w:after="0" w:afterAutospacing="0" w:line="240" w:lineRule="atLeast"/>
              <w:ind w:left="0" w:right="0" w:firstLine="0"/>
              <w:rPr>
                <w:rFonts w:hint="default"/>
                <w:color w:val="auto"/>
                <w:sz w:val="21"/>
                <w:szCs w:val="21"/>
                <w:highlight w:val="none"/>
              </w:rPr>
            </w:pPr>
            <w:r>
              <w:rPr>
                <w:rFonts w:hint="eastAsia"/>
                <w:color w:val="auto"/>
                <w:sz w:val="21"/>
                <w:szCs w:val="21"/>
                <w:highlight w:val="none"/>
                <w:lang w:val="en-US" w:eastAsia="zh-CN"/>
              </w:rPr>
              <w:t>机场内配套</w:t>
            </w:r>
            <w:r>
              <w:rPr>
                <w:rFonts w:hint="default"/>
                <w:color w:val="auto"/>
                <w:sz w:val="21"/>
                <w:szCs w:val="21"/>
                <w:highlight w:val="none"/>
              </w:rPr>
              <w:t>污水处理站</w:t>
            </w:r>
          </w:p>
        </w:tc>
        <w:tc>
          <w:tcPr>
            <w:tcW w:w="1352" w:type="pct"/>
            <w:vAlign w:val="center"/>
          </w:tcPr>
          <w:p w14:paraId="65177436">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污水处理站出水水质</w:t>
            </w:r>
          </w:p>
        </w:tc>
        <w:tc>
          <w:tcPr>
            <w:tcW w:w="949" w:type="pct"/>
            <w:vAlign w:val="center"/>
          </w:tcPr>
          <w:p w14:paraId="12D4CA27">
            <w:pPr>
              <w:keepNext w:val="0"/>
              <w:keepLines w:val="0"/>
              <w:widowControl/>
              <w:suppressLineNumbers w:val="0"/>
              <w:spacing w:before="0" w:beforeAutospacing="0" w:after="0" w:afterAutospacing="0" w:line="240" w:lineRule="atLeast"/>
              <w:ind w:left="0" w:right="0" w:firstLine="0"/>
              <w:jc w:val="both"/>
              <w:rPr>
                <w:rFonts w:hint="default"/>
                <w:color w:val="auto"/>
                <w:sz w:val="21"/>
                <w:szCs w:val="21"/>
                <w:highlight w:val="none"/>
              </w:rPr>
            </w:pPr>
            <w:r>
              <w:rPr>
                <w:rFonts w:hint="default"/>
                <w:color w:val="auto"/>
                <w:sz w:val="21"/>
                <w:szCs w:val="21"/>
                <w:highlight w:val="none"/>
              </w:rPr>
              <w:t>BOD</w:t>
            </w:r>
            <w:r>
              <w:rPr>
                <w:rFonts w:hint="default"/>
                <w:color w:val="auto"/>
                <w:sz w:val="21"/>
                <w:szCs w:val="21"/>
                <w:highlight w:val="none"/>
                <w:vertAlign w:val="subscript"/>
              </w:rPr>
              <w:t>5</w:t>
            </w:r>
            <w:r>
              <w:rPr>
                <w:rFonts w:hint="default"/>
                <w:color w:val="auto"/>
                <w:sz w:val="21"/>
                <w:szCs w:val="21"/>
                <w:highlight w:val="none"/>
              </w:rPr>
              <w:t>、氨氮</w:t>
            </w:r>
          </w:p>
        </w:tc>
        <w:tc>
          <w:tcPr>
            <w:tcW w:w="1407" w:type="pct"/>
            <w:vAlign w:val="center"/>
          </w:tcPr>
          <w:p w14:paraId="6EDFD545">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《城市污水再生利用城市杂用水质》（GB18920-2020）中城市绿化、道路清扫等水质指标</w:t>
            </w:r>
          </w:p>
        </w:tc>
      </w:tr>
      <w:tr w14:paraId="64BB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60" w:type="pct"/>
            <w:vAlign w:val="center"/>
          </w:tcPr>
          <w:p w14:paraId="1F081D29">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废气</w:t>
            </w:r>
          </w:p>
        </w:tc>
        <w:tc>
          <w:tcPr>
            <w:tcW w:w="730" w:type="pct"/>
            <w:vAlign w:val="center"/>
          </w:tcPr>
          <w:p w14:paraId="7759ECB3">
            <w:pPr>
              <w:keepNext w:val="0"/>
              <w:keepLines w:val="0"/>
              <w:widowControl/>
              <w:suppressLineNumbers w:val="0"/>
              <w:spacing w:before="0" w:beforeAutospacing="0" w:after="0" w:afterAutospacing="0" w:line="240" w:lineRule="atLeast"/>
              <w:ind w:left="0" w:right="0" w:firstLine="0"/>
              <w:jc w:val="center"/>
              <w:rPr>
                <w:rFonts w:hint="eastAsia" w:eastAsia="宋体"/>
                <w:color w:val="auto"/>
                <w:sz w:val="21"/>
                <w:szCs w:val="21"/>
                <w:highlight w:val="none"/>
                <w:lang w:eastAsia="zh-CN"/>
              </w:rPr>
            </w:pPr>
            <w:r>
              <w:rPr>
                <w:rFonts w:hint="eastAsia"/>
                <w:color w:val="auto"/>
                <w:sz w:val="21"/>
                <w:szCs w:val="21"/>
                <w:highlight w:val="none"/>
                <w:lang w:val="en-US" w:eastAsia="zh-CN"/>
              </w:rPr>
              <w:t>油车棚</w:t>
            </w:r>
          </w:p>
        </w:tc>
        <w:tc>
          <w:tcPr>
            <w:tcW w:w="1352" w:type="pct"/>
            <w:vAlign w:val="center"/>
          </w:tcPr>
          <w:p w14:paraId="2B8D7178">
            <w:pPr>
              <w:keepNext w:val="0"/>
              <w:keepLines w:val="0"/>
              <w:widowControl/>
              <w:suppressLineNumbers w:val="0"/>
              <w:spacing w:before="0" w:beforeAutospacing="0" w:after="0" w:afterAutospacing="0" w:line="240" w:lineRule="atLeast"/>
              <w:ind w:left="0" w:right="0" w:firstLine="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油车棚内2辆罐式加油车</w:t>
            </w:r>
          </w:p>
        </w:tc>
        <w:tc>
          <w:tcPr>
            <w:tcW w:w="949" w:type="pct"/>
            <w:vAlign w:val="center"/>
          </w:tcPr>
          <w:p w14:paraId="73FDE42B">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eastAsia"/>
                <w:color w:val="auto"/>
                <w:sz w:val="21"/>
                <w:szCs w:val="21"/>
                <w:highlight w:val="none"/>
              </w:rPr>
              <w:t>油车棚</w:t>
            </w:r>
            <w:r>
              <w:rPr>
                <w:rFonts w:hint="default"/>
                <w:color w:val="auto"/>
                <w:sz w:val="21"/>
                <w:szCs w:val="21"/>
                <w:highlight w:val="none"/>
              </w:rPr>
              <w:t>周界非甲烷总烃无组织监控</w:t>
            </w:r>
          </w:p>
        </w:tc>
        <w:tc>
          <w:tcPr>
            <w:tcW w:w="1407" w:type="pct"/>
            <w:vAlign w:val="center"/>
          </w:tcPr>
          <w:p w14:paraId="02D0FFE1">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《大气污染物综合排放标准》（GB16297-1996）</w:t>
            </w:r>
          </w:p>
        </w:tc>
      </w:tr>
      <w:tr w14:paraId="15AA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60" w:type="pct"/>
            <w:vMerge w:val="restart"/>
            <w:vAlign w:val="center"/>
          </w:tcPr>
          <w:p w14:paraId="4DD79C96">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固体废物</w:t>
            </w:r>
          </w:p>
        </w:tc>
        <w:tc>
          <w:tcPr>
            <w:tcW w:w="730" w:type="pct"/>
            <w:vAlign w:val="center"/>
          </w:tcPr>
          <w:p w14:paraId="6D7A7344">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国内航空垃圾、生活垃圾</w:t>
            </w:r>
          </w:p>
        </w:tc>
        <w:tc>
          <w:tcPr>
            <w:tcW w:w="1352" w:type="pct"/>
            <w:vAlign w:val="center"/>
          </w:tcPr>
          <w:p w14:paraId="525D775B">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垃圾采用密封垃圾箱收集于垃圾站，</w:t>
            </w:r>
            <w:r>
              <w:rPr>
                <w:rFonts w:hint="default" w:eastAsiaTheme="minorEastAsia"/>
                <w:color w:val="auto"/>
                <w:sz w:val="21"/>
                <w:szCs w:val="21"/>
                <w:highlight w:val="none"/>
              </w:rPr>
              <w:t>由环卫管理部门统一清运</w:t>
            </w:r>
          </w:p>
        </w:tc>
        <w:tc>
          <w:tcPr>
            <w:tcW w:w="949" w:type="pct"/>
            <w:vAlign w:val="center"/>
          </w:tcPr>
          <w:p w14:paraId="2EBA7D68">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妥善处理</w:t>
            </w:r>
          </w:p>
        </w:tc>
        <w:tc>
          <w:tcPr>
            <w:tcW w:w="1407" w:type="pct"/>
            <w:vAlign w:val="center"/>
          </w:tcPr>
          <w:p w14:paraId="31A78933">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r>
      <w:tr w14:paraId="1667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60" w:type="pct"/>
            <w:vMerge w:val="continue"/>
            <w:vAlign w:val="center"/>
          </w:tcPr>
          <w:p w14:paraId="086F192A">
            <w:pPr>
              <w:keepNext w:val="0"/>
              <w:keepLines w:val="0"/>
              <w:widowControl/>
              <w:suppressLineNumbers w:val="0"/>
              <w:spacing w:before="0" w:beforeAutospacing="0" w:after="0" w:afterAutospacing="0" w:line="240" w:lineRule="atLeast"/>
              <w:ind w:left="0" w:right="0" w:firstLine="0"/>
              <w:jc w:val="center"/>
              <w:rPr>
                <w:rFonts w:hint="default" w:eastAsia="等线"/>
                <w:color w:val="auto"/>
                <w:sz w:val="21"/>
                <w:szCs w:val="21"/>
                <w:highlight w:val="none"/>
              </w:rPr>
            </w:pPr>
          </w:p>
        </w:tc>
        <w:tc>
          <w:tcPr>
            <w:tcW w:w="730" w:type="pct"/>
            <w:vAlign w:val="center"/>
          </w:tcPr>
          <w:p w14:paraId="522B5C73">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污水处理站污泥</w:t>
            </w:r>
          </w:p>
        </w:tc>
        <w:tc>
          <w:tcPr>
            <w:tcW w:w="1352" w:type="pct"/>
            <w:vAlign w:val="center"/>
          </w:tcPr>
          <w:p w14:paraId="3C726ABC">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由环卫管理部门统一收集清运</w:t>
            </w:r>
          </w:p>
        </w:tc>
        <w:tc>
          <w:tcPr>
            <w:tcW w:w="949" w:type="pct"/>
            <w:vAlign w:val="center"/>
          </w:tcPr>
          <w:p w14:paraId="21A7F52D">
            <w:pPr>
              <w:keepNext w:val="0"/>
              <w:keepLines w:val="0"/>
              <w:widowControl/>
              <w:suppressLineNumbers w:val="0"/>
              <w:spacing w:before="0" w:beforeAutospacing="0" w:after="0" w:afterAutospacing="0" w:line="240" w:lineRule="atLeast"/>
              <w:ind w:left="0" w:right="0" w:firstLine="0"/>
              <w:jc w:val="center"/>
              <w:rPr>
                <w:rFonts w:hint="default" w:eastAsia="等线"/>
                <w:color w:val="auto"/>
                <w:sz w:val="21"/>
                <w:szCs w:val="21"/>
                <w:highlight w:val="none"/>
              </w:rPr>
            </w:pPr>
            <w:r>
              <w:rPr>
                <w:rFonts w:hint="default"/>
                <w:color w:val="auto"/>
                <w:sz w:val="21"/>
                <w:szCs w:val="21"/>
                <w:highlight w:val="none"/>
              </w:rPr>
              <w:t>妥善处理</w:t>
            </w:r>
          </w:p>
        </w:tc>
        <w:tc>
          <w:tcPr>
            <w:tcW w:w="1407" w:type="pct"/>
            <w:vAlign w:val="center"/>
          </w:tcPr>
          <w:p w14:paraId="5D0EB57F">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r>
      <w:tr w14:paraId="2196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60" w:type="pct"/>
            <w:vMerge w:val="continue"/>
            <w:vAlign w:val="center"/>
          </w:tcPr>
          <w:p w14:paraId="746265D3">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730" w:type="pct"/>
            <w:vAlign w:val="center"/>
          </w:tcPr>
          <w:p w14:paraId="5C27A9C2">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污油、油泥、废机油</w:t>
            </w:r>
          </w:p>
        </w:tc>
        <w:tc>
          <w:tcPr>
            <w:tcW w:w="1352" w:type="pct"/>
            <w:vAlign w:val="center"/>
          </w:tcPr>
          <w:p w14:paraId="75B77014">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设置1座</w:t>
            </w:r>
            <w:r>
              <w:rPr>
                <w:rFonts w:hint="eastAsia"/>
                <w:color w:val="auto"/>
                <w:sz w:val="21"/>
                <w:szCs w:val="21"/>
                <w:highlight w:val="none"/>
                <w:lang w:eastAsia="zh-CN"/>
              </w:rPr>
              <w:t>危废贮存点</w:t>
            </w:r>
            <w:r>
              <w:rPr>
                <w:rFonts w:hint="default"/>
                <w:color w:val="auto"/>
                <w:sz w:val="21"/>
                <w:szCs w:val="21"/>
                <w:highlight w:val="none"/>
              </w:rPr>
              <w:t>，委托危废处理单位处置</w:t>
            </w:r>
          </w:p>
        </w:tc>
        <w:tc>
          <w:tcPr>
            <w:tcW w:w="949" w:type="pct"/>
            <w:vAlign w:val="center"/>
          </w:tcPr>
          <w:p w14:paraId="260DE6FA">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安全处理</w:t>
            </w:r>
          </w:p>
        </w:tc>
        <w:tc>
          <w:tcPr>
            <w:tcW w:w="1407" w:type="pct"/>
            <w:vAlign w:val="center"/>
          </w:tcPr>
          <w:p w14:paraId="7596FE9F">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eastAsia"/>
                <w:color w:val="auto"/>
                <w:sz w:val="21"/>
                <w:szCs w:val="21"/>
                <w:highlight w:val="none"/>
              </w:rPr>
              <w:t>《危险废物贮存污染控制标准》（GB18597-2023）</w:t>
            </w:r>
          </w:p>
        </w:tc>
      </w:tr>
      <w:tr w14:paraId="7E76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60" w:type="pct"/>
            <w:vMerge w:val="restart"/>
            <w:vAlign w:val="center"/>
          </w:tcPr>
          <w:p w14:paraId="35B7E44E">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生态</w:t>
            </w:r>
          </w:p>
        </w:tc>
        <w:tc>
          <w:tcPr>
            <w:tcW w:w="730" w:type="pct"/>
            <w:vAlign w:val="center"/>
          </w:tcPr>
          <w:p w14:paraId="0ECDDB65">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水土保持</w:t>
            </w:r>
          </w:p>
        </w:tc>
        <w:tc>
          <w:tcPr>
            <w:tcW w:w="1352" w:type="pct"/>
            <w:vAlign w:val="center"/>
          </w:tcPr>
          <w:p w14:paraId="3590C1EF">
            <w:pPr>
              <w:keepNext w:val="0"/>
              <w:keepLines w:val="0"/>
              <w:widowControl/>
              <w:suppressLineNumbers w:val="0"/>
              <w:spacing w:before="0" w:beforeAutospacing="0" w:after="0" w:afterAutospacing="0" w:line="240" w:lineRule="atLeast"/>
              <w:ind w:left="0" w:right="0" w:firstLine="0"/>
              <w:jc w:val="left"/>
              <w:rPr>
                <w:rFonts w:hint="default"/>
                <w:color w:val="auto"/>
                <w:sz w:val="21"/>
                <w:szCs w:val="21"/>
                <w:highlight w:val="none"/>
              </w:rPr>
            </w:pPr>
            <w:r>
              <w:rPr>
                <w:rFonts w:hint="default"/>
                <w:color w:val="auto"/>
                <w:sz w:val="21"/>
                <w:szCs w:val="21"/>
                <w:highlight w:val="none"/>
              </w:rPr>
              <w:t>工程措施（排水沟、护坡、砾石压盖、覆土、灌溉系统、防洪堤、截洪沟、土地整治等）；</w:t>
            </w:r>
          </w:p>
          <w:p w14:paraId="30E47891">
            <w:pPr>
              <w:keepNext w:val="0"/>
              <w:keepLines w:val="0"/>
              <w:widowControl/>
              <w:suppressLineNumbers w:val="0"/>
              <w:spacing w:before="0" w:beforeAutospacing="0" w:after="0" w:afterAutospacing="0" w:line="240" w:lineRule="atLeast"/>
              <w:ind w:left="0" w:right="0" w:firstLine="0"/>
              <w:jc w:val="left"/>
              <w:rPr>
                <w:rFonts w:hint="default"/>
                <w:color w:val="auto"/>
                <w:sz w:val="21"/>
                <w:szCs w:val="21"/>
                <w:highlight w:val="none"/>
              </w:rPr>
            </w:pPr>
            <w:r>
              <w:rPr>
                <w:rFonts w:hint="default"/>
                <w:color w:val="auto"/>
                <w:sz w:val="21"/>
                <w:szCs w:val="21"/>
                <w:highlight w:val="none"/>
              </w:rPr>
              <w:t>植被措施（航站区景观绿化）；临时措施（临时苫盖、装土编织袋、临时洒水、密目网等）</w:t>
            </w:r>
          </w:p>
        </w:tc>
        <w:tc>
          <w:tcPr>
            <w:tcW w:w="949" w:type="pct"/>
            <w:vAlign w:val="center"/>
          </w:tcPr>
          <w:p w14:paraId="566C837B">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参照水土保持设施验收调查报告</w:t>
            </w:r>
          </w:p>
        </w:tc>
        <w:tc>
          <w:tcPr>
            <w:tcW w:w="1407" w:type="pct"/>
            <w:vAlign w:val="center"/>
          </w:tcPr>
          <w:p w14:paraId="11F46C90">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r>
      <w:tr w14:paraId="6BFD7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60" w:type="pct"/>
            <w:vMerge w:val="continue"/>
            <w:vAlign w:val="center"/>
          </w:tcPr>
          <w:p w14:paraId="3260B0E1">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730" w:type="pct"/>
            <w:vAlign w:val="center"/>
          </w:tcPr>
          <w:p w14:paraId="59B6ED1C">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场内绿化</w:t>
            </w:r>
          </w:p>
        </w:tc>
        <w:tc>
          <w:tcPr>
            <w:tcW w:w="1352" w:type="pct"/>
            <w:vAlign w:val="center"/>
          </w:tcPr>
          <w:p w14:paraId="7C217C6A">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场内绿化、临时占地生态恢复</w:t>
            </w:r>
          </w:p>
        </w:tc>
        <w:tc>
          <w:tcPr>
            <w:tcW w:w="949" w:type="pct"/>
            <w:vAlign w:val="center"/>
          </w:tcPr>
          <w:p w14:paraId="78005D68">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1407" w:type="pct"/>
            <w:vAlign w:val="center"/>
          </w:tcPr>
          <w:p w14:paraId="64A9FAB7">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r>
      <w:tr w14:paraId="5031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60" w:type="pct"/>
            <w:vMerge w:val="continue"/>
            <w:vAlign w:val="center"/>
          </w:tcPr>
          <w:p w14:paraId="4710D19D">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730" w:type="pct"/>
            <w:vAlign w:val="center"/>
          </w:tcPr>
          <w:p w14:paraId="08070C0C">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鸟类保护</w:t>
            </w:r>
          </w:p>
        </w:tc>
        <w:tc>
          <w:tcPr>
            <w:tcW w:w="1352" w:type="pct"/>
            <w:vAlign w:val="center"/>
          </w:tcPr>
          <w:p w14:paraId="7C15D47B">
            <w:pPr>
              <w:keepNext w:val="0"/>
              <w:keepLines w:val="0"/>
              <w:widowControl/>
              <w:suppressLineNumbers w:val="0"/>
              <w:spacing w:before="0" w:beforeAutospacing="0" w:after="0" w:afterAutospacing="0" w:line="240" w:lineRule="atLeast"/>
              <w:ind w:left="0" w:right="0" w:firstLine="0"/>
              <w:jc w:val="both"/>
              <w:rPr>
                <w:rFonts w:hint="eastAsia" w:eastAsia="宋体"/>
                <w:color w:val="auto"/>
                <w:sz w:val="21"/>
                <w:szCs w:val="21"/>
                <w:highlight w:val="none"/>
                <w:lang w:val="en-US" w:eastAsia="zh-CN"/>
              </w:rPr>
            </w:pPr>
            <w:r>
              <w:rPr>
                <w:rFonts w:hint="eastAsia"/>
                <w:color w:val="auto"/>
                <w:sz w:val="21"/>
                <w:szCs w:val="21"/>
                <w:highlight w:val="none"/>
                <w:lang w:eastAsia="zh-CN"/>
              </w:rPr>
              <w:t>（</w:t>
            </w:r>
            <w:r>
              <w:rPr>
                <w:rFonts w:hint="eastAsia"/>
                <w:color w:val="auto"/>
                <w:sz w:val="21"/>
                <w:szCs w:val="21"/>
                <w:highlight w:val="none"/>
                <w:lang w:val="en-US" w:eastAsia="zh-CN"/>
              </w:rPr>
              <w:t>1</w:t>
            </w:r>
            <w:r>
              <w:rPr>
                <w:rFonts w:hint="eastAsia"/>
                <w:color w:val="auto"/>
                <w:sz w:val="21"/>
                <w:szCs w:val="21"/>
                <w:highlight w:val="none"/>
                <w:lang w:eastAsia="zh-CN"/>
              </w:rPr>
              <w:t>）</w:t>
            </w:r>
            <w:r>
              <w:rPr>
                <w:rFonts w:hint="default"/>
                <w:color w:val="auto"/>
                <w:sz w:val="21"/>
                <w:szCs w:val="21"/>
                <w:highlight w:val="none"/>
              </w:rPr>
              <w:t>鸟类监测，可使用高倍望远镜、雷达、声学监测等专业设备，以及建立观测点</w:t>
            </w:r>
            <w:r>
              <w:rPr>
                <w:rFonts w:hint="eastAsia"/>
                <w:color w:val="auto"/>
                <w:sz w:val="21"/>
                <w:szCs w:val="21"/>
                <w:highlight w:val="none"/>
                <w:lang w:eastAsia="zh-CN"/>
              </w:rPr>
              <w:t>；</w:t>
            </w:r>
          </w:p>
          <w:p w14:paraId="007F47B0">
            <w:pPr>
              <w:keepNext w:val="0"/>
              <w:keepLines w:val="0"/>
              <w:widowControl/>
              <w:suppressLineNumbers w:val="0"/>
              <w:spacing w:before="0" w:beforeAutospacing="0" w:after="0" w:afterAutospacing="0" w:line="240" w:lineRule="atLeast"/>
              <w:ind w:left="0" w:right="0" w:firstLine="0"/>
              <w:jc w:val="both"/>
              <w:rPr>
                <w:rFonts w:hint="eastAsia" w:eastAsia="宋体"/>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w:t>
            </w:r>
            <w:r>
              <w:rPr>
                <w:rFonts w:hint="eastAsia"/>
                <w:color w:val="auto"/>
                <w:sz w:val="21"/>
                <w:szCs w:val="21"/>
                <w:highlight w:val="none"/>
                <w:lang w:val="en-US" w:eastAsia="zh-CN"/>
              </w:rPr>
              <w:t>配备</w:t>
            </w:r>
            <w:r>
              <w:rPr>
                <w:rFonts w:hint="default"/>
                <w:color w:val="auto"/>
                <w:sz w:val="21"/>
                <w:szCs w:val="21"/>
                <w:highlight w:val="none"/>
              </w:rPr>
              <w:t>主动驱鸟设备，采购煤气炮、声波驱鸟器、驱鸟车、激光驱鸟器、猎枪等综合设备</w:t>
            </w:r>
            <w:r>
              <w:rPr>
                <w:rFonts w:hint="eastAsia"/>
                <w:color w:val="auto"/>
                <w:sz w:val="21"/>
                <w:szCs w:val="21"/>
                <w:highlight w:val="none"/>
                <w:lang w:eastAsia="zh-CN"/>
              </w:rPr>
              <w:t>；</w:t>
            </w:r>
          </w:p>
          <w:p w14:paraId="08E6EF28">
            <w:pPr>
              <w:keepNext w:val="0"/>
              <w:keepLines w:val="0"/>
              <w:widowControl/>
              <w:suppressLineNumbers w:val="0"/>
              <w:spacing w:before="0" w:beforeAutospacing="0" w:after="0" w:afterAutospacing="0" w:line="240" w:lineRule="atLeast"/>
              <w:ind w:left="0" w:right="0" w:firstLine="0"/>
              <w:jc w:val="both"/>
              <w:rPr>
                <w:rFonts w:hint="eastAsia" w:eastAsia="宋体"/>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w:t>
            </w:r>
            <w:r>
              <w:rPr>
                <w:rFonts w:hint="default"/>
                <w:color w:val="auto"/>
                <w:sz w:val="21"/>
                <w:szCs w:val="21"/>
                <w:highlight w:val="none"/>
              </w:rPr>
              <w:t>生态调控与管理，包括场区环境治理（除草、杀虫）、不吸引鸟类植物的养护等</w:t>
            </w:r>
            <w:r>
              <w:rPr>
                <w:rFonts w:hint="eastAsia"/>
                <w:color w:val="auto"/>
                <w:sz w:val="21"/>
                <w:szCs w:val="21"/>
                <w:highlight w:val="none"/>
                <w:lang w:eastAsia="zh-CN"/>
              </w:rPr>
              <w:t>；</w:t>
            </w:r>
          </w:p>
          <w:p w14:paraId="600F99EC">
            <w:pPr>
              <w:keepNext w:val="0"/>
              <w:keepLines w:val="0"/>
              <w:widowControl/>
              <w:suppressLineNumbers w:val="0"/>
              <w:spacing w:before="0" w:beforeAutospacing="0" w:after="0" w:afterAutospacing="0" w:line="240" w:lineRule="atLeast"/>
              <w:ind w:left="0" w:right="0" w:firstLine="0"/>
              <w:jc w:val="both"/>
              <w:rPr>
                <w:rFonts w:hint="eastAsia" w:eastAsia="宋体"/>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4</w:t>
            </w:r>
            <w:r>
              <w:rPr>
                <w:rFonts w:hint="eastAsia"/>
                <w:color w:val="auto"/>
                <w:sz w:val="21"/>
                <w:szCs w:val="21"/>
                <w:highlight w:val="none"/>
                <w:lang w:eastAsia="zh-CN"/>
              </w:rPr>
              <w:t>）</w:t>
            </w:r>
            <w:r>
              <w:rPr>
                <w:rFonts w:hint="eastAsia"/>
                <w:color w:val="auto"/>
                <w:sz w:val="21"/>
                <w:szCs w:val="21"/>
                <w:highlight w:val="none"/>
                <w:lang w:val="en-US" w:eastAsia="zh-CN"/>
              </w:rPr>
              <w:t>设置</w:t>
            </w:r>
            <w:r>
              <w:rPr>
                <w:rFonts w:hint="default"/>
                <w:color w:val="auto"/>
                <w:sz w:val="21"/>
                <w:szCs w:val="21"/>
                <w:highlight w:val="none"/>
              </w:rPr>
              <w:t>专业队伍与运维，或委托专业鸟情监测人员、定期进行培训</w:t>
            </w:r>
            <w:r>
              <w:rPr>
                <w:rFonts w:hint="eastAsia"/>
                <w:color w:val="auto"/>
                <w:sz w:val="21"/>
                <w:szCs w:val="21"/>
                <w:highlight w:val="none"/>
                <w:lang w:eastAsia="zh-CN"/>
              </w:rPr>
              <w:t>；</w:t>
            </w:r>
          </w:p>
          <w:p w14:paraId="430B2668">
            <w:pPr>
              <w:keepNext w:val="0"/>
              <w:keepLines w:val="0"/>
              <w:widowControl/>
              <w:suppressLineNumbers w:val="0"/>
              <w:spacing w:before="0" w:beforeAutospacing="0" w:after="0" w:afterAutospacing="0" w:line="240" w:lineRule="atLeast"/>
              <w:ind w:left="0" w:right="0" w:firstLine="0"/>
              <w:jc w:val="both"/>
              <w:rPr>
                <w:rFonts w:hint="eastAsia" w:eastAsia="宋体"/>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5</w:t>
            </w:r>
            <w:r>
              <w:rPr>
                <w:rFonts w:hint="eastAsia"/>
                <w:color w:val="auto"/>
                <w:sz w:val="21"/>
                <w:szCs w:val="21"/>
                <w:highlight w:val="none"/>
                <w:lang w:eastAsia="zh-CN"/>
              </w:rPr>
              <w:t>）</w:t>
            </w:r>
            <w:r>
              <w:rPr>
                <w:rFonts w:hint="default"/>
                <w:color w:val="auto"/>
                <w:sz w:val="21"/>
                <w:szCs w:val="21"/>
                <w:highlight w:val="none"/>
              </w:rPr>
              <w:t>开展施工期及运营期环境监测与监理，覆盖项目全生命周期、特别是运营期核心环境风险的防治需求</w:t>
            </w:r>
            <w:r>
              <w:rPr>
                <w:rFonts w:hint="eastAsia"/>
                <w:color w:val="auto"/>
                <w:sz w:val="21"/>
                <w:szCs w:val="21"/>
                <w:highlight w:val="none"/>
                <w:lang w:eastAsia="zh-CN"/>
              </w:rPr>
              <w:t>；</w:t>
            </w:r>
          </w:p>
        </w:tc>
        <w:tc>
          <w:tcPr>
            <w:tcW w:w="949" w:type="pct"/>
            <w:vAlign w:val="center"/>
          </w:tcPr>
          <w:p w14:paraId="619EB310">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1407" w:type="pct"/>
            <w:vAlign w:val="center"/>
          </w:tcPr>
          <w:p w14:paraId="61633A9F">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r>
      <w:tr w14:paraId="6528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60" w:type="pct"/>
            <w:vAlign w:val="center"/>
          </w:tcPr>
          <w:p w14:paraId="23421B8B">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地下水</w:t>
            </w:r>
          </w:p>
        </w:tc>
        <w:tc>
          <w:tcPr>
            <w:tcW w:w="730" w:type="pct"/>
            <w:vAlign w:val="center"/>
          </w:tcPr>
          <w:p w14:paraId="733F229F">
            <w:pPr>
              <w:keepNext w:val="0"/>
              <w:keepLines w:val="0"/>
              <w:widowControl/>
              <w:suppressLineNumbers w:val="0"/>
              <w:spacing w:before="0" w:beforeAutospacing="0" w:after="0" w:afterAutospacing="0" w:line="240" w:lineRule="atLeast"/>
              <w:ind w:left="0" w:right="0" w:firstLine="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油车棚</w:t>
            </w:r>
            <w:r>
              <w:rPr>
                <w:rFonts w:hint="default"/>
                <w:color w:val="auto"/>
                <w:sz w:val="21"/>
                <w:szCs w:val="21"/>
                <w:highlight w:val="none"/>
              </w:rPr>
              <w:t>、污水处理系统</w:t>
            </w:r>
            <w:r>
              <w:rPr>
                <w:rFonts w:hint="eastAsia"/>
                <w:color w:val="auto"/>
                <w:sz w:val="21"/>
                <w:szCs w:val="21"/>
                <w:highlight w:val="none"/>
                <w:lang w:eastAsia="zh-CN"/>
              </w:rPr>
              <w:t>、</w:t>
            </w:r>
            <w:r>
              <w:rPr>
                <w:rFonts w:hint="eastAsia"/>
                <w:color w:val="auto"/>
                <w:sz w:val="21"/>
                <w:szCs w:val="21"/>
                <w:highlight w:val="none"/>
                <w:lang w:val="en-US" w:eastAsia="zh-CN"/>
              </w:rPr>
              <w:t>事故池</w:t>
            </w:r>
          </w:p>
        </w:tc>
        <w:tc>
          <w:tcPr>
            <w:tcW w:w="1352" w:type="pct"/>
            <w:vAlign w:val="center"/>
          </w:tcPr>
          <w:p w14:paraId="694BD5ED">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eastAsia"/>
                <w:color w:val="auto"/>
                <w:sz w:val="21"/>
                <w:szCs w:val="21"/>
                <w:highlight w:val="none"/>
                <w:lang w:val="en-US" w:eastAsia="zh-CN"/>
              </w:rPr>
              <w:t>进行</w:t>
            </w:r>
            <w:r>
              <w:rPr>
                <w:rFonts w:hint="default"/>
                <w:color w:val="auto"/>
                <w:sz w:val="21"/>
                <w:szCs w:val="21"/>
                <w:highlight w:val="none"/>
              </w:rPr>
              <w:t>分区防渗</w:t>
            </w:r>
          </w:p>
        </w:tc>
        <w:tc>
          <w:tcPr>
            <w:tcW w:w="949" w:type="pct"/>
            <w:vAlign w:val="center"/>
          </w:tcPr>
          <w:p w14:paraId="7568650D">
            <w:pPr>
              <w:keepNext w:val="0"/>
              <w:keepLines w:val="0"/>
              <w:widowControl/>
              <w:suppressLineNumbers w:val="0"/>
              <w:spacing w:before="0" w:beforeAutospacing="0" w:after="0" w:afterAutospacing="0" w:line="240" w:lineRule="atLeast"/>
              <w:ind w:left="0" w:right="0" w:firstLine="0"/>
              <w:jc w:val="center"/>
              <w:rPr>
                <w:rFonts w:hint="default" w:eastAsia="宋体"/>
                <w:color w:val="auto"/>
                <w:sz w:val="21"/>
                <w:szCs w:val="21"/>
                <w:highlight w:val="none"/>
                <w:lang w:val="en-US" w:eastAsia="zh-CN"/>
              </w:rPr>
            </w:pPr>
            <w:r>
              <w:rPr>
                <w:rFonts w:hint="default"/>
                <w:color w:val="auto"/>
                <w:sz w:val="21"/>
                <w:szCs w:val="21"/>
                <w:highlight w:val="none"/>
              </w:rPr>
              <w:t>防渗措施</w:t>
            </w:r>
            <w:r>
              <w:rPr>
                <w:rFonts w:hint="eastAsia"/>
                <w:color w:val="auto"/>
                <w:sz w:val="21"/>
                <w:szCs w:val="21"/>
                <w:highlight w:val="none"/>
                <w:lang w:val="en-US" w:eastAsia="zh-CN"/>
              </w:rPr>
              <w:t>落实</w:t>
            </w:r>
            <w:r>
              <w:rPr>
                <w:rFonts w:hint="default"/>
                <w:color w:val="auto"/>
                <w:sz w:val="21"/>
                <w:szCs w:val="21"/>
                <w:highlight w:val="none"/>
              </w:rPr>
              <w:t>情况</w:t>
            </w:r>
            <w:r>
              <w:rPr>
                <w:rFonts w:hint="eastAsia"/>
                <w:color w:val="auto"/>
                <w:sz w:val="21"/>
                <w:szCs w:val="21"/>
                <w:highlight w:val="none"/>
                <w:lang w:eastAsia="zh-CN"/>
              </w:rPr>
              <w:t>、</w:t>
            </w:r>
            <w:r>
              <w:rPr>
                <w:rFonts w:hint="eastAsia"/>
                <w:color w:val="auto"/>
                <w:sz w:val="21"/>
                <w:szCs w:val="21"/>
                <w:highlight w:val="none"/>
                <w:lang w:val="en-US" w:eastAsia="zh-CN"/>
              </w:rPr>
              <w:t>项目周边地下水水质情况</w:t>
            </w:r>
          </w:p>
        </w:tc>
        <w:tc>
          <w:tcPr>
            <w:tcW w:w="1407" w:type="pct"/>
            <w:vAlign w:val="center"/>
          </w:tcPr>
          <w:p w14:paraId="70860BD6">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r>
      <w:tr w14:paraId="7CFF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60" w:type="pct"/>
            <w:vAlign w:val="center"/>
          </w:tcPr>
          <w:p w14:paraId="53690CF4">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环境风险</w:t>
            </w:r>
          </w:p>
        </w:tc>
        <w:tc>
          <w:tcPr>
            <w:tcW w:w="730" w:type="pct"/>
            <w:vAlign w:val="center"/>
          </w:tcPr>
          <w:p w14:paraId="76772104">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事故</w:t>
            </w:r>
            <w:r>
              <w:rPr>
                <w:rFonts w:hint="eastAsia"/>
                <w:color w:val="auto"/>
                <w:sz w:val="21"/>
                <w:szCs w:val="21"/>
                <w:highlight w:val="none"/>
                <w:lang w:val="en-US" w:eastAsia="zh-CN"/>
              </w:rPr>
              <w:t>污</w:t>
            </w:r>
            <w:r>
              <w:rPr>
                <w:rFonts w:hint="default"/>
                <w:color w:val="auto"/>
                <w:sz w:val="21"/>
                <w:szCs w:val="21"/>
                <w:highlight w:val="none"/>
              </w:rPr>
              <w:t>水</w:t>
            </w:r>
          </w:p>
        </w:tc>
        <w:tc>
          <w:tcPr>
            <w:tcW w:w="1352" w:type="pct"/>
            <w:vAlign w:val="center"/>
          </w:tcPr>
          <w:p w14:paraId="775CA78E">
            <w:pPr>
              <w:keepNext w:val="0"/>
              <w:keepLines w:val="0"/>
              <w:widowControl/>
              <w:suppressLineNumbers w:val="0"/>
              <w:spacing w:before="0" w:beforeAutospacing="0" w:after="0" w:afterAutospacing="0" w:line="240" w:lineRule="atLeast"/>
              <w:ind w:left="0" w:right="0" w:firstLine="0"/>
              <w:jc w:val="center"/>
              <w:rPr>
                <w:rFonts w:hint="default" w:eastAsia="宋体"/>
                <w:color w:val="auto"/>
                <w:sz w:val="21"/>
                <w:szCs w:val="21"/>
                <w:highlight w:val="none"/>
                <w:lang w:val="en-US" w:eastAsia="zh-CN"/>
              </w:rPr>
            </w:pPr>
            <w:r>
              <w:rPr>
                <w:rFonts w:hint="eastAsia"/>
                <w:color w:val="auto"/>
                <w:sz w:val="21"/>
                <w:szCs w:val="21"/>
                <w:highlight w:val="none"/>
              </w:rPr>
              <w:t>在油车棚下游设置不小于82.45m</w:t>
            </w:r>
            <w:r>
              <w:rPr>
                <w:rFonts w:hint="eastAsia"/>
                <w:color w:val="auto"/>
                <w:sz w:val="21"/>
                <w:szCs w:val="21"/>
                <w:highlight w:val="none"/>
                <w:vertAlign w:val="superscript"/>
              </w:rPr>
              <w:t>3</w:t>
            </w:r>
            <w:r>
              <w:rPr>
                <w:rFonts w:hint="eastAsia"/>
                <w:color w:val="auto"/>
                <w:sz w:val="21"/>
                <w:szCs w:val="21"/>
                <w:highlight w:val="none"/>
              </w:rPr>
              <w:t>的防渗事故池</w:t>
            </w:r>
          </w:p>
        </w:tc>
        <w:tc>
          <w:tcPr>
            <w:tcW w:w="949" w:type="pct"/>
            <w:vAlign w:val="center"/>
          </w:tcPr>
          <w:p w14:paraId="3F037275">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1407" w:type="pct"/>
            <w:vAlign w:val="center"/>
          </w:tcPr>
          <w:p w14:paraId="43E1A5E8">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r>
      <w:tr w14:paraId="22FF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60" w:type="pct"/>
            <w:vAlign w:val="center"/>
          </w:tcPr>
          <w:p w14:paraId="515CDADB">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环境监测与监理</w:t>
            </w:r>
          </w:p>
        </w:tc>
        <w:tc>
          <w:tcPr>
            <w:tcW w:w="730" w:type="pct"/>
            <w:vAlign w:val="center"/>
          </w:tcPr>
          <w:p w14:paraId="49A3C13D">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1352" w:type="pct"/>
            <w:vAlign w:val="center"/>
          </w:tcPr>
          <w:p w14:paraId="39077295">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开展施工期环境监理</w:t>
            </w:r>
          </w:p>
        </w:tc>
        <w:tc>
          <w:tcPr>
            <w:tcW w:w="949" w:type="pct"/>
            <w:vAlign w:val="center"/>
          </w:tcPr>
          <w:p w14:paraId="1B439BE7">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1407" w:type="pct"/>
            <w:vAlign w:val="center"/>
          </w:tcPr>
          <w:p w14:paraId="3ACE8750">
            <w:pPr>
              <w:keepNext w:val="0"/>
              <w:keepLines w:val="0"/>
              <w:widowControl/>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r>
    </w:tbl>
    <w:p w14:paraId="1F57A801">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36" w:name="_Toc2623"/>
      <w:bookmarkStart w:id="337" w:name="_Toc135728821"/>
      <w:bookmarkStart w:id="338" w:name="_Toc103694397"/>
      <w:r>
        <w:rPr>
          <w:rFonts w:hint="eastAsia" w:ascii="Times New Roman" w:hAnsi="Times New Roman" w:eastAsia="黑体" w:cs="Times New Roman"/>
          <w:bCs/>
          <w:color w:val="auto"/>
          <w:spacing w:val="0"/>
          <w:w w:val="100"/>
          <w:kern w:val="28"/>
          <w:sz w:val="30"/>
          <w:szCs w:val="30"/>
          <w:highlight w:val="none"/>
          <w:lang w:val="en-US" w:eastAsia="zh-CN" w:bidi="ar-SA"/>
        </w:rPr>
        <w:t>污染物排放清单</w:t>
      </w:r>
      <w:bookmarkEnd w:id="336"/>
    </w:p>
    <w:bookmarkEnd w:id="337"/>
    <w:bookmarkEnd w:id="338"/>
    <w:p w14:paraId="64C8C545">
      <w:pPr>
        <w:ind w:firstLine="480" w:firstLineChars="200"/>
        <w:rPr>
          <w:color w:val="auto"/>
          <w:highlight w:val="none"/>
        </w:rPr>
      </w:pPr>
      <w:r>
        <w:rPr>
          <w:color w:val="auto"/>
          <w:highlight w:val="none"/>
        </w:rPr>
        <w:t>本项目的污染物排放清单见表</w:t>
      </w:r>
      <w:r>
        <w:rPr>
          <w:rFonts w:hint="eastAsia" w:eastAsia="宋体"/>
          <w:color w:val="auto"/>
          <w:highlight w:val="none"/>
          <w:lang w:val="en-US" w:eastAsia="zh-CN"/>
        </w:rPr>
        <w:t>7.</w:t>
      </w:r>
      <w:r>
        <w:rPr>
          <w:rFonts w:eastAsia="Times New Roman"/>
          <w:color w:val="auto"/>
          <w:highlight w:val="none"/>
        </w:rPr>
        <w:t>6-1</w:t>
      </w:r>
      <w:r>
        <w:rPr>
          <w:color w:val="auto"/>
          <w:highlight w:val="none"/>
        </w:rPr>
        <w:t>。</w:t>
      </w:r>
    </w:p>
    <w:p w14:paraId="3F8EA025">
      <w:pPr>
        <w:ind w:firstLine="0"/>
        <w:jc w:val="center"/>
        <w:rPr>
          <w:rFonts w:eastAsia="黑体"/>
          <w:color w:val="auto"/>
          <w:sz w:val="21"/>
          <w:highlight w:val="none"/>
        </w:rPr>
      </w:pPr>
      <w:r>
        <w:rPr>
          <w:rFonts w:eastAsia="黑体"/>
          <w:color w:val="auto"/>
          <w:sz w:val="21"/>
          <w:highlight w:val="none"/>
        </w:rPr>
        <w:t>表</w:t>
      </w:r>
      <w:r>
        <w:rPr>
          <w:rFonts w:hint="eastAsia" w:eastAsia="黑体"/>
          <w:color w:val="auto"/>
          <w:sz w:val="21"/>
          <w:highlight w:val="none"/>
        </w:rPr>
        <w:t>7.6</w:t>
      </w:r>
      <w:r>
        <w:rPr>
          <w:rFonts w:eastAsia="黑体"/>
          <w:color w:val="auto"/>
          <w:sz w:val="21"/>
          <w:highlight w:val="none"/>
        </w:rPr>
        <w:t>-1   主要污染物排放清单汇总表</w:t>
      </w:r>
    </w:p>
    <w:tbl>
      <w:tblPr>
        <w:tblStyle w:val="10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
        <w:gridCol w:w="534"/>
        <w:gridCol w:w="1133"/>
        <w:gridCol w:w="964"/>
        <w:gridCol w:w="1093"/>
        <w:gridCol w:w="769"/>
        <w:gridCol w:w="362"/>
        <w:gridCol w:w="1086"/>
        <w:gridCol w:w="2352"/>
      </w:tblGrid>
      <w:tr w14:paraId="3DFE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restart"/>
            <w:tcMar>
              <w:left w:w="57" w:type="dxa"/>
              <w:right w:w="57" w:type="dxa"/>
            </w:tcMar>
            <w:vAlign w:val="center"/>
          </w:tcPr>
          <w:p w14:paraId="240888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污染物类别</w:t>
            </w:r>
          </w:p>
        </w:tc>
        <w:tc>
          <w:tcPr>
            <w:tcW w:w="309" w:type="pct"/>
            <w:vMerge w:val="restart"/>
            <w:tcMar>
              <w:left w:w="57" w:type="dxa"/>
              <w:right w:w="57" w:type="dxa"/>
            </w:tcMar>
            <w:vAlign w:val="center"/>
          </w:tcPr>
          <w:p w14:paraId="5081D4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污染源名称</w:t>
            </w:r>
          </w:p>
        </w:tc>
        <w:tc>
          <w:tcPr>
            <w:tcW w:w="658" w:type="pct"/>
            <w:vMerge w:val="restart"/>
            <w:tcMar>
              <w:left w:w="57" w:type="dxa"/>
              <w:right w:w="57" w:type="dxa"/>
            </w:tcMar>
            <w:vAlign w:val="center"/>
          </w:tcPr>
          <w:p w14:paraId="75532D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污染因子</w:t>
            </w:r>
          </w:p>
        </w:tc>
        <w:tc>
          <w:tcPr>
            <w:tcW w:w="559" w:type="pct"/>
            <w:vMerge w:val="restart"/>
            <w:tcMar>
              <w:left w:w="57" w:type="dxa"/>
              <w:right w:w="57" w:type="dxa"/>
            </w:tcMar>
            <w:vAlign w:val="center"/>
          </w:tcPr>
          <w:p w14:paraId="056D50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治理措施</w:t>
            </w:r>
          </w:p>
        </w:tc>
        <w:tc>
          <w:tcPr>
            <w:tcW w:w="634" w:type="pct"/>
            <w:vMerge w:val="restart"/>
            <w:tcMar>
              <w:left w:w="57" w:type="dxa"/>
              <w:right w:w="57" w:type="dxa"/>
            </w:tcMar>
            <w:vAlign w:val="center"/>
          </w:tcPr>
          <w:p w14:paraId="1F8719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排放浓度</w:t>
            </w:r>
          </w:p>
          <w:p w14:paraId="70B26F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（mg/m</w:t>
            </w:r>
            <w:r>
              <w:rPr>
                <w:rFonts w:hint="default" w:eastAsiaTheme="minorEastAsia"/>
                <w:color w:val="auto"/>
                <w:sz w:val="21"/>
                <w:szCs w:val="21"/>
                <w:highlight w:val="none"/>
                <w:vertAlign w:val="superscript"/>
              </w:rPr>
              <w:t>3</w:t>
            </w:r>
            <w:r>
              <w:rPr>
                <w:rFonts w:hint="eastAsia" w:eastAsiaTheme="minorEastAsia"/>
                <w:color w:val="auto"/>
                <w:sz w:val="21"/>
                <w:szCs w:val="21"/>
                <w:highlight w:val="none"/>
                <w:vertAlign w:val="superscript"/>
                <w:lang w:eastAsia="zh-CN"/>
              </w:rPr>
              <w:t>)</w:t>
            </w:r>
          </w:p>
        </w:tc>
        <w:tc>
          <w:tcPr>
            <w:tcW w:w="446" w:type="pct"/>
            <w:vMerge w:val="restart"/>
            <w:tcMar>
              <w:left w:w="57" w:type="dxa"/>
              <w:right w:w="57" w:type="dxa"/>
            </w:tcMar>
            <w:vAlign w:val="center"/>
          </w:tcPr>
          <w:p w14:paraId="7ABF92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排放量</w:t>
            </w:r>
          </w:p>
          <w:p w14:paraId="12C868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（t/a</w:t>
            </w:r>
            <w:r>
              <w:rPr>
                <w:rFonts w:hint="eastAsia" w:eastAsiaTheme="minorEastAsia"/>
                <w:color w:val="auto"/>
                <w:sz w:val="21"/>
                <w:szCs w:val="21"/>
                <w:highlight w:val="none"/>
                <w:lang w:eastAsia="zh-CN"/>
              </w:rPr>
              <w:t>)</w:t>
            </w:r>
          </w:p>
        </w:tc>
        <w:tc>
          <w:tcPr>
            <w:tcW w:w="210" w:type="pct"/>
            <w:vMerge w:val="restart"/>
            <w:tcMar>
              <w:left w:w="57" w:type="dxa"/>
              <w:right w:w="57" w:type="dxa"/>
            </w:tcMar>
            <w:vAlign w:val="center"/>
          </w:tcPr>
          <w:p w14:paraId="7AAC9D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排放方式</w:t>
            </w:r>
          </w:p>
        </w:tc>
        <w:tc>
          <w:tcPr>
            <w:tcW w:w="1994" w:type="pct"/>
            <w:gridSpan w:val="2"/>
            <w:tcMar>
              <w:left w:w="57" w:type="dxa"/>
              <w:right w:w="57" w:type="dxa"/>
            </w:tcMar>
            <w:vAlign w:val="center"/>
          </w:tcPr>
          <w:p w14:paraId="2F09DD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执行标准</w:t>
            </w:r>
          </w:p>
        </w:tc>
      </w:tr>
      <w:tr w14:paraId="7344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continue"/>
            <w:tcMar>
              <w:left w:w="57" w:type="dxa"/>
              <w:right w:w="57" w:type="dxa"/>
            </w:tcMar>
            <w:vAlign w:val="center"/>
          </w:tcPr>
          <w:p w14:paraId="039600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309" w:type="pct"/>
            <w:vMerge w:val="continue"/>
            <w:tcMar>
              <w:left w:w="57" w:type="dxa"/>
              <w:right w:w="57" w:type="dxa"/>
            </w:tcMar>
            <w:vAlign w:val="center"/>
          </w:tcPr>
          <w:p w14:paraId="74AB6E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58" w:type="pct"/>
            <w:vMerge w:val="continue"/>
            <w:tcMar>
              <w:left w:w="57" w:type="dxa"/>
              <w:right w:w="57" w:type="dxa"/>
            </w:tcMar>
            <w:vAlign w:val="center"/>
          </w:tcPr>
          <w:p w14:paraId="75357C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559" w:type="pct"/>
            <w:vMerge w:val="continue"/>
            <w:tcMar>
              <w:left w:w="57" w:type="dxa"/>
              <w:right w:w="57" w:type="dxa"/>
            </w:tcMar>
            <w:vAlign w:val="center"/>
          </w:tcPr>
          <w:p w14:paraId="63AF40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4" w:type="pct"/>
            <w:vMerge w:val="continue"/>
            <w:tcMar>
              <w:left w:w="57" w:type="dxa"/>
              <w:right w:w="57" w:type="dxa"/>
            </w:tcMar>
            <w:vAlign w:val="center"/>
          </w:tcPr>
          <w:p w14:paraId="213E63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446" w:type="pct"/>
            <w:vMerge w:val="continue"/>
            <w:tcMar>
              <w:left w:w="57" w:type="dxa"/>
              <w:right w:w="57" w:type="dxa"/>
            </w:tcMar>
            <w:vAlign w:val="center"/>
          </w:tcPr>
          <w:p w14:paraId="5F4BFF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210" w:type="pct"/>
            <w:vMerge w:val="continue"/>
            <w:tcMar>
              <w:left w:w="57" w:type="dxa"/>
              <w:right w:w="57" w:type="dxa"/>
            </w:tcMar>
            <w:vAlign w:val="center"/>
          </w:tcPr>
          <w:p w14:paraId="4A2FD9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0" w:type="pct"/>
            <w:tcMar>
              <w:left w:w="57" w:type="dxa"/>
              <w:right w:w="57" w:type="dxa"/>
            </w:tcMar>
            <w:vAlign w:val="center"/>
          </w:tcPr>
          <w:p w14:paraId="408A5D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限值</w:t>
            </w:r>
          </w:p>
          <w:p w14:paraId="248DDE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（mg/m³</w:t>
            </w:r>
            <w:r>
              <w:rPr>
                <w:rFonts w:hint="eastAsia" w:eastAsiaTheme="minorEastAsia"/>
                <w:color w:val="auto"/>
                <w:sz w:val="21"/>
                <w:szCs w:val="21"/>
                <w:highlight w:val="none"/>
                <w:lang w:eastAsia="zh-CN"/>
              </w:rPr>
              <w:t>)</w:t>
            </w:r>
          </w:p>
        </w:tc>
        <w:tc>
          <w:tcPr>
            <w:tcW w:w="1363" w:type="pct"/>
            <w:tcMar>
              <w:left w:w="57" w:type="dxa"/>
              <w:right w:w="57" w:type="dxa"/>
            </w:tcMar>
            <w:vAlign w:val="center"/>
          </w:tcPr>
          <w:p w14:paraId="5199BC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标准来源</w:t>
            </w:r>
          </w:p>
        </w:tc>
      </w:tr>
      <w:tr w14:paraId="14B5A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restart"/>
            <w:tcMar>
              <w:left w:w="57" w:type="dxa"/>
              <w:right w:w="57" w:type="dxa"/>
            </w:tcMar>
            <w:vAlign w:val="center"/>
          </w:tcPr>
          <w:p w14:paraId="3D1B05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无组织废气</w:t>
            </w:r>
          </w:p>
        </w:tc>
        <w:tc>
          <w:tcPr>
            <w:tcW w:w="309" w:type="pct"/>
            <w:vMerge w:val="restart"/>
            <w:tcMar>
              <w:left w:w="57" w:type="dxa"/>
              <w:right w:w="57" w:type="dxa"/>
            </w:tcMar>
            <w:vAlign w:val="center"/>
          </w:tcPr>
          <w:p w14:paraId="7B3332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飞机尾气</w:t>
            </w:r>
          </w:p>
        </w:tc>
        <w:tc>
          <w:tcPr>
            <w:tcW w:w="658" w:type="pct"/>
            <w:tcMar>
              <w:left w:w="57" w:type="dxa"/>
              <w:right w:w="57" w:type="dxa"/>
            </w:tcMar>
            <w:vAlign w:val="center"/>
          </w:tcPr>
          <w:p w14:paraId="77845D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等线"/>
                <w:color w:val="auto"/>
                <w:sz w:val="21"/>
                <w:szCs w:val="21"/>
                <w:highlight w:val="none"/>
              </w:rPr>
              <w:t>CO</w:t>
            </w:r>
          </w:p>
        </w:tc>
        <w:tc>
          <w:tcPr>
            <w:tcW w:w="559" w:type="pct"/>
            <w:vMerge w:val="restart"/>
            <w:tcMar>
              <w:left w:w="57" w:type="dxa"/>
              <w:right w:w="57" w:type="dxa"/>
            </w:tcMar>
            <w:vAlign w:val="center"/>
          </w:tcPr>
          <w:p w14:paraId="248256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634" w:type="pct"/>
            <w:tcMar>
              <w:left w:w="57" w:type="dxa"/>
              <w:right w:w="57" w:type="dxa"/>
            </w:tcMar>
            <w:vAlign w:val="center"/>
          </w:tcPr>
          <w:p w14:paraId="4B3579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446" w:type="pct"/>
            <w:tcMar>
              <w:left w:w="57" w:type="dxa"/>
              <w:right w:w="57" w:type="dxa"/>
            </w:tcMar>
            <w:vAlign w:val="center"/>
          </w:tcPr>
          <w:p w14:paraId="15105C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等线"/>
                <w:color w:val="auto"/>
                <w:sz w:val="21"/>
                <w:szCs w:val="21"/>
                <w:highlight w:val="none"/>
              </w:rPr>
            </w:pPr>
            <w:r>
              <w:rPr>
                <w:rFonts w:hint="default" w:eastAsia="等线"/>
                <w:color w:val="auto"/>
                <w:sz w:val="21"/>
                <w:szCs w:val="21"/>
                <w:highlight w:val="none"/>
              </w:rPr>
              <w:t>20.196</w:t>
            </w:r>
          </w:p>
        </w:tc>
        <w:tc>
          <w:tcPr>
            <w:tcW w:w="210" w:type="pct"/>
            <w:vMerge w:val="restart"/>
            <w:tcMar>
              <w:left w:w="57" w:type="dxa"/>
              <w:right w:w="57" w:type="dxa"/>
            </w:tcMar>
            <w:vAlign w:val="center"/>
          </w:tcPr>
          <w:p w14:paraId="47B079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间断</w:t>
            </w:r>
          </w:p>
        </w:tc>
        <w:tc>
          <w:tcPr>
            <w:tcW w:w="630" w:type="pct"/>
            <w:vMerge w:val="restart"/>
            <w:tcMar>
              <w:left w:w="57" w:type="dxa"/>
              <w:right w:w="57" w:type="dxa"/>
            </w:tcMar>
            <w:vAlign w:val="center"/>
          </w:tcPr>
          <w:p w14:paraId="1CEDD4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1363" w:type="pct"/>
            <w:vMerge w:val="restart"/>
            <w:tcMar>
              <w:left w:w="57" w:type="dxa"/>
              <w:right w:w="57" w:type="dxa"/>
            </w:tcMar>
            <w:vAlign w:val="center"/>
          </w:tcPr>
          <w:p w14:paraId="1857E5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r>
      <w:tr w14:paraId="1CF91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continue"/>
            <w:tcMar>
              <w:left w:w="57" w:type="dxa"/>
              <w:right w:w="57" w:type="dxa"/>
            </w:tcMar>
            <w:vAlign w:val="center"/>
          </w:tcPr>
          <w:p w14:paraId="1A4B96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309" w:type="pct"/>
            <w:vMerge w:val="continue"/>
            <w:tcMar>
              <w:left w:w="57" w:type="dxa"/>
              <w:right w:w="57" w:type="dxa"/>
            </w:tcMar>
            <w:vAlign w:val="center"/>
          </w:tcPr>
          <w:p w14:paraId="2A8862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58" w:type="pct"/>
            <w:tcMar>
              <w:left w:w="57" w:type="dxa"/>
              <w:right w:w="57" w:type="dxa"/>
            </w:tcMar>
            <w:vAlign w:val="center"/>
          </w:tcPr>
          <w:p w14:paraId="7D076E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eastAsia" w:eastAsia="等线"/>
                <w:color w:val="auto"/>
                <w:sz w:val="21"/>
                <w:szCs w:val="21"/>
                <w:highlight w:val="none"/>
              </w:rPr>
              <w:t>N</w:t>
            </w:r>
            <w:r>
              <w:rPr>
                <w:rFonts w:hint="default" w:eastAsia="等线"/>
                <w:color w:val="auto"/>
                <w:sz w:val="21"/>
                <w:szCs w:val="21"/>
                <w:highlight w:val="none"/>
              </w:rPr>
              <w:t>MHC</w:t>
            </w:r>
          </w:p>
        </w:tc>
        <w:tc>
          <w:tcPr>
            <w:tcW w:w="559" w:type="pct"/>
            <w:vMerge w:val="continue"/>
            <w:tcMar>
              <w:left w:w="57" w:type="dxa"/>
              <w:right w:w="57" w:type="dxa"/>
            </w:tcMar>
            <w:vAlign w:val="center"/>
          </w:tcPr>
          <w:p w14:paraId="0F1703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4" w:type="pct"/>
            <w:tcMar>
              <w:left w:w="57" w:type="dxa"/>
              <w:right w:w="57" w:type="dxa"/>
            </w:tcMar>
            <w:vAlign w:val="center"/>
          </w:tcPr>
          <w:p w14:paraId="030B37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446" w:type="pct"/>
            <w:tcMar>
              <w:left w:w="57" w:type="dxa"/>
              <w:right w:w="57" w:type="dxa"/>
            </w:tcMar>
            <w:vAlign w:val="center"/>
          </w:tcPr>
          <w:p w14:paraId="18A237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等线"/>
                <w:color w:val="auto"/>
                <w:sz w:val="21"/>
                <w:szCs w:val="21"/>
                <w:highlight w:val="none"/>
              </w:rPr>
            </w:pPr>
            <w:r>
              <w:rPr>
                <w:rFonts w:hint="default" w:eastAsia="等线"/>
                <w:color w:val="auto"/>
                <w:sz w:val="21"/>
                <w:szCs w:val="21"/>
                <w:highlight w:val="none"/>
              </w:rPr>
              <w:t>5.148</w:t>
            </w:r>
          </w:p>
        </w:tc>
        <w:tc>
          <w:tcPr>
            <w:tcW w:w="210" w:type="pct"/>
            <w:vMerge w:val="continue"/>
            <w:tcMar>
              <w:left w:w="57" w:type="dxa"/>
              <w:right w:w="57" w:type="dxa"/>
            </w:tcMar>
            <w:vAlign w:val="center"/>
          </w:tcPr>
          <w:p w14:paraId="3AE57E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0" w:type="pct"/>
            <w:vMerge w:val="continue"/>
            <w:tcMar>
              <w:left w:w="57" w:type="dxa"/>
              <w:right w:w="57" w:type="dxa"/>
            </w:tcMar>
            <w:vAlign w:val="center"/>
          </w:tcPr>
          <w:p w14:paraId="5D4452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1363" w:type="pct"/>
            <w:vMerge w:val="continue"/>
            <w:tcMar>
              <w:left w:w="57" w:type="dxa"/>
              <w:right w:w="57" w:type="dxa"/>
            </w:tcMar>
            <w:vAlign w:val="center"/>
          </w:tcPr>
          <w:p w14:paraId="782C4D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r>
      <w:tr w14:paraId="55B2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continue"/>
            <w:tcMar>
              <w:left w:w="57" w:type="dxa"/>
              <w:right w:w="57" w:type="dxa"/>
            </w:tcMar>
            <w:vAlign w:val="center"/>
          </w:tcPr>
          <w:p w14:paraId="2B0036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309" w:type="pct"/>
            <w:vMerge w:val="continue"/>
            <w:tcMar>
              <w:left w:w="57" w:type="dxa"/>
              <w:right w:w="57" w:type="dxa"/>
            </w:tcMar>
            <w:vAlign w:val="center"/>
          </w:tcPr>
          <w:p w14:paraId="68533E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58" w:type="pct"/>
            <w:tcMar>
              <w:left w:w="57" w:type="dxa"/>
              <w:right w:w="57" w:type="dxa"/>
            </w:tcMar>
            <w:vAlign w:val="center"/>
          </w:tcPr>
          <w:p w14:paraId="08C599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等线"/>
                <w:color w:val="auto"/>
                <w:sz w:val="21"/>
                <w:szCs w:val="21"/>
                <w:highlight w:val="none"/>
              </w:rPr>
              <w:t>SO</w:t>
            </w:r>
            <w:r>
              <w:rPr>
                <w:rFonts w:hint="default" w:eastAsia="等线"/>
                <w:color w:val="auto"/>
                <w:sz w:val="21"/>
                <w:szCs w:val="21"/>
                <w:highlight w:val="none"/>
                <w:vertAlign w:val="subscript"/>
              </w:rPr>
              <w:t>2</w:t>
            </w:r>
          </w:p>
        </w:tc>
        <w:tc>
          <w:tcPr>
            <w:tcW w:w="559" w:type="pct"/>
            <w:vMerge w:val="continue"/>
            <w:tcMar>
              <w:left w:w="57" w:type="dxa"/>
              <w:right w:w="57" w:type="dxa"/>
            </w:tcMar>
            <w:vAlign w:val="center"/>
          </w:tcPr>
          <w:p w14:paraId="6EE246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4" w:type="pct"/>
            <w:tcMar>
              <w:left w:w="57" w:type="dxa"/>
              <w:right w:w="57" w:type="dxa"/>
            </w:tcMar>
            <w:vAlign w:val="center"/>
          </w:tcPr>
          <w:p w14:paraId="0E0638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446" w:type="pct"/>
            <w:tcMar>
              <w:left w:w="57" w:type="dxa"/>
              <w:right w:w="57" w:type="dxa"/>
            </w:tcMar>
            <w:vAlign w:val="center"/>
          </w:tcPr>
          <w:p w14:paraId="3E2839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等线"/>
                <w:color w:val="auto"/>
                <w:sz w:val="21"/>
                <w:szCs w:val="21"/>
                <w:highlight w:val="none"/>
              </w:rPr>
            </w:pPr>
            <w:r>
              <w:rPr>
                <w:rFonts w:hint="default" w:eastAsia="等线"/>
                <w:color w:val="auto"/>
                <w:sz w:val="21"/>
                <w:szCs w:val="21"/>
                <w:highlight w:val="none"/>
              </w:rPr>
              <w:t>-</w:t>
            </w:r>
          </w:p>
        </w:tc>
        <w:tc>
          <w:tcPr>
            <w:tcW w:w="210" w:type="pct"/>
            <w:vMerge w:val="continue"/>
            <w:tcMar>
              <w:left w:w="57" w:type="dxa"/>
              <w:right w:w="57" w:type="dxa"/>
            </w:tcMar>
            <w:vAlign w:val="center"/>
          </w:tcPr>
          <w:p w14:paraId="494B0E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0" w:type="pct"/>
            <w:vMerge w:val="continue"/>
            <w:tcMar>
              <w:left w:w="57" w:type="dxa"/>
              <w:right w:w="57" w:type="dxa"/>
            </w:tcMar>
            <w:vAlign w:val="center"/>
          </w:tcPr>
          <w:p w14:paraId="6036BA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1363" w:type="pct"/>
            <w:vMerge w:val="continue"/>
            <w:tcMar>
              <w:left w:w="57" w:type="dxa"/>
              <w:right w:w="57" w:type="dxa"/>
            </w:tcMar>
            <w:vAlign w:val="center"/>
          </w:tcPr>
          <w:p w14:paraId="2CC21C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r>
      <w:tr w14:paraId="12EF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continue"/>
            <w:tcMar>
              <w:left w:w="57" w:type="dxa"/>
              <w:right w:w="57" w:type="dxa"/>
            </w:tcMar>
            <w:vAlign w:val="center"/>
          </w:tcPr>
          <w:p w14:paraId="43EE2A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309" w:type="pct"/>
            <w:vMerge w:val="continue"/>
            <w:tcMar>
              <w:left w:w="57" w:type="dxa"/>
              <w:right w:w="57" w:type="dxa"/>
            </w:tcMar>
            <w:vAlign w:val="center"/>
          </w:tcPr>
          <w:p w14:paraId="7BA6D7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58" w:type="pct"/>
            <w:tcMar>
              <w:left w:w="57" w:type="dxa"/>
              <w:right w:w="57" w:type="dxa"/>
            </w:tcMar>
            <w:vAlign w:val="center"/>
          </w:tcPr>
          <w:p w14:paraId="594BE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等线"/>
                <w:color w:val="auto"/>
                <w:sz w:val="21"/>
                <w:szCs w:val="21"/>
                <w:highlight w:val="none"/>
              </w:rPr>
              <w:t>NO</w:t>
            </w:r>
            <w:r>
              <w:rPr>
                <w:rFonts w:hint="default" w:eastAsia="等线"/>
                <w:color w:val="auto"/>
                <w:sz w:val="21"/>
                <w:szCs w:val="21"/>
                <w:highlight w:val="none"/>
                <w:vertAlign w:val="subscript"/>
              </w:rPr>
              <w:t>X</w:t>
            </w:r>
          </w:p>
        </w:tc>
        <w:tc>
          <w:tcPr>
            <w:tcW w:w="559" w:type="pct"/>
            <w:vMerge w:val="continue"/>
            <w:tcMar>
              <w:left w:w="57" w:type="dxa"/>
              <w:right w:w="57" w:type="dxa"/>
            </w:tcMar>
            <w:vAlign w:val="center"/>
          </w:tcPr>
          <w:p w14:paraId="53557F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4" w:type="pct"/>
            <w:tcMar>
              <w:left w:w="57" w:type="dxa"/>
              <w:right w:w="57" w:type="dxa"/>
            </w:tcMar>
            <w:vAlign w:val="center"/>
          </w:tcPr>
          <w:p w14:paraId="65558B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446" w:type="pct"/>
            <w:tcMar>
              <w:left w:w="57" w:type="dxa"/>
              <w:right w:w="57" w:type="dxa"/>
            </w:tcMar>
            <w:vAlign w:val="center"/>
          </w:tcPr>
          <w:p w14:paraId="55A300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等线"/>
                <w:color w:val="auto"/>
                <w:sz w:val="21"/>
                <w:szCs w:val="21"/>
                <w:highlight w:val="none"/>
              </w:rPr>
            </w:pPr>
            <w:r>
              <w:rPr>
                <w:rFonts w:hint="eastAsia" w:eastAsia="等线"/>
                <w:color w:val="auto"/>
                <w:sz w:val="21"/>
                <w:szCs w:val="21"/>
                <w:highlight w:val="none"/>
              </w:rPr>
              <w:t>11.237</w:t>
            </w:r>
          </w:p>
        </w:tc>
        <w:tc>
          <w:tcPr>
            <w:tcW w:w="210" w:type="pct"/>
            <w:vMerge w:val="continue"/>
            <w:tcMar>
              <w:left w:w="57" w:type="dxa"/>
              <w:right w:w="57" w:type="dxa"/>
            </w:tcMar>
            <w:vAlign w:val="center"/>
          </w:tcPr>
          <w:p w14:paraId="387C6E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0" w:type="pct"/>
            <w:vMerge w:val="continue"/>
            <w:tcMar>
              <w:left w:w="57" w:type="dxa"/>
              <w:right w:w="57" w:type="dxa"/>
            </w:tcMar>
            <w:vAlign w:val="center"/>
          </w:tcPr>
          <w:p w14:paraId="780516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1363" w:type="pct"/>
            <w:vMerge w:val="continue"/>
            <w:tcMar>
              <w:left w:w="57" w:type="dxa"/>
              <w:right w:w="57" w:type="dxa"/>
            </w:tcMar>
            <w:vAlign w:val="center"/>
          </w:tcPr>
          <w:p w14:paraId="755454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r>
      <w:tr w14:paraId="1BEA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continue"/>
            <w:tcMar>
              <w:left w:w="57" w:type="dxa"/>
              <w:right w:w="57" w:type="dxa"/>
            </w:tcMar>
            <w:vAlign w:val="center"/>
          </w:tcPr>
          <w:p w14:paraId="2397C5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309" w:type="pct"/>
            <w:vMerge w:val="restart"/>
            <w:tcMar>
              <w:left w:w="57" w:type="dxa"/>
              <w:right w:w="57" w:type="dxa"/>
            </w:tcMar>
            <w:vAlign w:val="center"/>
          </w:tcPr>
          <w:p w14:paraId="6AB198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汽车尾气</w:t>
            </w:r>
          </w:p>
        </w:tc>
        <w:tc>
          <w:tcPr>
            <w:tcW w:w="658" w:type="pct"/>
            <w:tcMar>
              <w:left w:w="57" w:type="dxa"/>
              <w:right w:w="57" w:type="dxa"/>
            </w:tcMar>
            <w:vAlign w:val="center"/>
          </w:tcPr>
          <w:p w14:paraId="2A3BE3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等线"/>
                <w:color w:val="auto"/>
                <w:sz w:val="21"/>
                <w:szCs w:val="21"/>
                <w:highlight w:val="none"/>
              </w:rPr>
              <w:t>CO</w:t>
            </w:r>
          </w:p>
        </w:tc>
        <w:tc>
          <w:tcPr>
            <w:tcW w:w="559" w:type="pct"/>
            <w:vMerge w:val="restart"/>
            <w:tcMar>
              <w:left w:w="57" w:type="dxa"/>
              <w:right w:w="57" w:type="dxa"/>
            </w:tcMar>
            <w:vAlign w:val="center"/>
          </w:tcPr>
          <w:p w14:paraId="0CFAE8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634" w:type="pct"/>
            <w:tcMar>
              <w:left w:w="57" w:type="dxa"/>
              <w:right w:w="57" w:type="dxa"/>
            </w:tcMar>
            <w:vAlign w:val="center"/>
          </w:tcPr>
          <w:p w14:paraId="043752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446" w:type="pct"/>
            <w:tcMar>
              <w:left w:w="57" w:type="dxa"/>
              <w:right w:w="57" w:type="dxa"/>
            </w:tcMar>
            <w:vAlign w:val="center"/>
          </w:tcPr>
          <w:p w14:paraId="3467D3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等线"/>
                <w:color w:val="auto"/>
                <w:sz w:val="21"/>
                <w:szCs w:val="21"/>
                <w:highlight w:val="none"/>
              </w:rPr>
            </w:pPr>
            <w:r>
              <w:rPr>
                <w:rFonts w:hint="default" w:eastAsia="等线"/>
                <w:color w:val="auto"/>
                <w:sz w:val="21"/>
                <w:szCs w:val="21"/>
                <w:highlight w:val="none"/>
              </w:rPr>
              <w:t>0.446</w:t>
            </w:r>
          </w:p>
        </w:tc>
        <w:tc>
          <w:tcPr>
            <w:tcW w:w="210" w:type="pct"/>
            <w:vMerge w:val="restart"/>
            <w:tcMar>
              <w:left w:w="57" w:type="dxa"/>
              <w:right w:w="57" w:type="dxa"/>
            </w:tcMar>
            <w:vAlign w:val="center"/>
          </w:tcPr>
          <w:p w14:paraId="36784C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间断</w:t>
            </w:r>
          </w:p>
        </w:tc>
        <w:tc>
          <w:tcPr>
            <w:tcW w:w="630" w:type="pct"/>
            <w:vMerge w:val="restart"/>
            <w:tcMar>
              <w:left w:w="57" w:type="dxa"/>
              <w:right w:w="57" w:type="dxa"/>
            </w:tcMar>
            <w:vAlign w:val="center"/>
          </w:tcPr>
          <w:p w14:paraId="22AEF5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1363" w:type="pct"/>
            <w:vMerge w:val="restart"/>
            <w:tcMar>
              <w:left w:w="57" w:type="dxa"/>
              <w:right w:w="57" w:type="dxa"/>
            </w:tcMar>
            <w:vAlign w:val="center"/>
          </w:tcPr>
          <w:p w14:paraId="5A165E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r>
      <w:tr w14:paraId="6766E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continue"/>
            <w:tcMar>
              <w:left w:w="57" w:type="dxa"/>
              <w:right w:w="57" w:type="dxa"/>
            </w:tcMar>
            <w:vAlign w:val="center"/>
          </w:tcPr>
          <w:p w14:paraId="017072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309" w:type="pct"/>
            <w:vMerge w:val="continue"/>
            <w:tcMar>
              <w:left w:w="57" w:type="dxa"/>
              <w:right w:w="57" w:type="dxa"/>
            </w:tcMar>
            <w:vAlign w:val="center"/>
          </w:tcPr>
          <w:p w14:paraId="7294CF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58" w:type="pct"/>
            <w:tcMar>
              <w:left w:w="57" w:type="dxa"/>
              <w:right w:w="57" w:type="dxa"/>
            </w:tcMar>
            <w:vAlign w:val="center"/>
          </w:tcPr>
          <w:p w14:paraId="72E9FB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等线"/>
                <w:color w:val="auto"/>
                <w:sz w:val="21"/>
                <w:szCs w:val="21"/>
                <w:highlight w:val="none"/>
              </w:rPr>
              <w:t>NMHC</w:t>
            </w:r>
          </w:p>
        </w:tc>
        <w:tc>
          <w:tcPr>
            <w:tcW w:w="559" w:type="pct"/>
            <w:vMerge w:val="continue"/>
            <w:tcMar>
              <w:left w:w="57" w:type="dxa"/>
              <w:right w:w="57" w:type="dxa"/>
            </w:tcMar>
            <w:vAlign w:val="center"/>
          </w:tcPr>
          <w:p w14:paraId="3AC782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4" w:type="pct"/>
            <w:tcMar>
              <w:left w:w="57" w:type="dxa"/>
              <w:right w:w="57" w:type="dxa"/>
            </w:tcMar>
            <w:vAlign w:val="center"/>
          </w:tcPr>
          <w:p w14:paraId="0CE176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446" w:type="pct"/>
            <w:tcMar>
              <w:left w:w="57" w:type="dxa"/>
              <w:right w:w="57" w:type="dxa"/>
            </w:tcMar>
            <w:vAlign w:val="center"/>
          </w:tcPr>
          <w:p w14:paraId="5D5CF4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等线"/>
                <w:color w:val="auto"/>
                <w:sz w:val="21"/>
                <w:szCs w:val="21"/>
                <w:highlight w:val="none"/>
              </w:rPr>
            </w:pPr>
            <w:r>
              <w:rPr>
                <w:rFonts w:hint="default" w:eastAsia="等线"/>
                <w:color w:val="auto"/>
                <w:sz w:val="21"/>
                <w:szCs w:val="21"/>
                <w:highlight w:val="none"/>
              </w:rPr>
              <w:t>0.044</w:t>
            </w:r>
          </w:p>
        </w:tc>
        <w:tc>
          <w:tcPr>
            <w:tcW w:w="210" w:type="pct"/>
            <w:vMerge w:val="continue"/>
            <w:tcMar>
              <w:left w:w="57" w:type="dxa"/>
              <w:right w:w="57" w:type="dxa"/>
            </w:tcMar>
            <w:vAlign w:val="center"/>
          </w:tcPr>
          <w:p w14:paraId="271DB4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0" w:type="pct"/>
            <w:vMerge w:val="continue"/>
            <w:tcMar>
              <w:left w:w="57" w:type="dxa"/>
              <w:right w:w="57" w:type="dxa"/>
            </w:tcMar>
            <w:vAlign w:val="center"/>
          </w:tcPr>
          <w:p w14:paraId="59291C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1363" w:type="pct"/>
            <w:vMerge w:val="continue"/>
            <w:tcMar>
              <w:left w:w="57" w:type="dxa"/>
              <w:right w:w="57" w:type="dxa"/>
            </w:tcMar>
            <w:vAlign w:val="center"/>
          </w:tcPr>
          <w:p w14:paraId="1641AC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r>
      <w:tr w14:paraId="3868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continue"/>
            <w:tcMar>
              <w:left w:w="57" w:type="dxa"/>
              <w:right w:w="57" w:type="dxa"/>
            </w:tcMar>
            <w:vAlign w:val="center"/>
          </w:tcPr>
          <w:p w14:paraId="1359BF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309" w:type="pct"/>
            <w:vMerge w:val="continue"/>
            <w:tcMar>
              <w:left w:w="57" w:type="dxa"/>
              <w:right w:w="57" w:type="dxa"/>
            </w:tcMar>
            <w:vAlign w:val="center"/>
          </w:tcPr>
          <w:p w14:paraId="16F4DB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58" w:type="pct"/>
            <w:tcMar>
              <w:left w:w="57" w:type="dxa"/>
              <w:right w:w="57" w:type="dxa"/>
            </w:tcMar>
            <w:vAlign w:val="center"/>
          </w:tcPr>
          <w:p w14:paraId="43376B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等线"/>
                <w:color w:val="auto"/>
                <w:sz w:val="21"/>
                <w:szCs w:val="21"/>
                <w:highlight w:val="none"/>
              </w:rPr>
              <w:t>NO</w:t>
            </w:r>
            <w:r>
              <w:rPr>
                <w:rFonts w:hint="default" w:eastAsia="等线"/>
                <w:color w:val="auto"/>
                <w:sz w:val="21"/>
                <w:szCs w:val="21"/>
                <w:highlight w:val="none"/>
                <w:vertAlign w:val="subscript"/>
              </w:rPr>
              <w:t>X</w:t>
            </w:r>
          </w:p>
        </w:tc>
        <w:tc>
          <w:tcPr>
            <w:tcW w:w="559" w:type="pct"/>
            <w:vMerge w:val="continue"/>
            <w:tcMar>
              <w:left w:w="57" w:type="dxa"/>
              <w:right w:w="57" w:type="dxa"/>
            </w:tcMar>
            <w:vAlign w:val="center"/>
          </w:tcPr>
          <w:p w14:paraId="75735B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4" w:type="pct"/>
            <w:tcMar>
              <w:left w:w="57" w:type="dxa"/>
              <w:right w:w="57" w:type="dxa"/>
            </w:tcMar>
            <w:vAlign w:val="center"/>
          </w:tcPr>
          <w:p w14:paraId="668304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446" w:type="pct"/>
            <w:tcMar>
              <w:left w:w="57" w:type="dxa"/>
              <w:right w:w="57" w:type="dxa"/>
            </w:tcMar>
            <w:vAlign w:val="center"/>
          </w:tcPr>
          <w:p w14:paraId="2DE0BB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等线"/>
                <w:color w:val="auto"/>
                <w:sz w:val="21"/>
                <w:szCs w:val="21"/>
                <w:highlight w:val="none"/>
              </w:rPr>
            </w:pPr>
            <w:r>
              <w:rPr>
                <w:rFonts w:hint="default" w:eastAsia="等线"/>
                <w:color w:val="auto"/>
                <w:sz w:val="21"/>
                <w:szCs w:val="21"/>
                <w:highlight w:val="none"/>
              </w:rPr>
              <w:t>0.018</w:t>
            </w:r>
          </w:p>
        </w:tc>
        <w:tc>
          <w:tcPr>
            <w:tcW w:w="210" w:type="pct"/>
            <w:vMerge w:val="continue"/>
            <w:tcMar>
              <w:left w:w="57" w:type="dxa"/>
              <w:right w:w="57" w:type="dxa"/>
            </w:tcMar>
            <w:vAlign w:val="center"/>
          </w:tcPr>
          <w:p w14:paraId="49DE15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0" w:type="pct"/>
            <w:vMerge w:val="continue"/>
            <w:tcMar>
              <w:left w:w="57" w:type="dxa"/>
              <w:right w:w="57" w:type="dxa"/>
            </w:tcMar>
            <w:vAlign w:val="center"/>
          </w:tcPr>
          <w:p w14:paraId="4CC16E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1363" w:type="pct"/>
            <w:vMerge w:val="continue"/>
            <w:tcMar>
              <w:left w:w="57" w:type="dxa"/>
              <w:right w:w="57" w:type="dxa"/>
            </w:tcMar>
            <w:vAlign w:val="center"/>
          </w:tcPr>
          <w:p w14:paraId="3A6A44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r>
      <w:tr w14:paraId="2B88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continue"/>
            <w:tcMar>
              <w:left w:w="57" w:type="dxa"/>
              <w:right w:w="57" w:type="dxa"/>
            </w:tcMar>
            <w:vAlign w:val="center"/>
          </w:tcPr>
          <w:p w14:paraId="64AA43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309" w:type="pct"/>
            <w:tcMar>
              <w:left w:w="57" w:type="dxa"/>
              <w:right w:w="57" w:type="dxa"/>
            </w:tcMar>
            <w:vAlign w:val="center"/>
          </w:tcPr>
          <w:p w14:paraId="572A94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eastAsia" w:eastAsiaTheme="minorEastAsia"/>
                <w:color w:val="auto"/>
                <w:sz w:val="21"/>
                <w:szCs w:val="21"/>
                <w:highlight w:val="none"/>
              </w:rPr>
              <w:t>航煤</w:t>
            </w:r>
          </w:p>
        </w:tc>
        <w:tc>
          <w:tcPr>
            <w:tcW w:w="658" w:type="pct"/>
            <w:tcMar>
              <w:left w:w="57" w:type="dxa"/>
              <w:right w:w="57" w:type="dxa"/>
            </w:tcMar>
            <w:vAlign w:val="center"/>
          </w:tcPr>
          <w:p w14:paraId="1CAE8E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等线"/>
                <w:color w:val="auto"/>
                <w:sz w:val="21"/>
                <w:szCs w:val="21"/>
                <w:highlight w:val="none"/>
              </w:rPr>
            </w:pPr>
            <w:r>
              <w:rPr>
                <w:rFonts w:hint="default" w:eastAsia="等线"/>
                <w:color w:val="auto"/>
                <w:sz w:val="21"/>
                <w:szCs w:val="21"/>
                <w:highlight w:val="none"/>
              </w:rPr>
              <w:t>NMHC</w:t>
            </w:r>
          </w:p>
        </w:tc>
        <w:tc>
          <w:tcPr>
            <w:tcW w:w="559" w:type="pct"/>
            <w:tcMar>
              <w:left w:w="57" w:type="dxa"/>
              <w:right w:w="57" w:type="dxa"/>
            </w:tcMar>
            <w:vAlign w:val="center"/>
          </w:tcPr>
          <w:p w14:paraId="12DD76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eastAsia" w:eastAsiaTheme="minorEastAsia"/>
                <w:color w:val="auto"/>
                <w:sz w:val="21"/>
                <w:szCs w:val="21"/>
                <w:highlight w:val="none"/>
              </w:rPr>
              <w:t>油气回收</w:t>
            </w:r>
          </w:p>
        </w:tc>
        <w:tc>
          <w:tcPr>
            <w:tcW w:w="634" w:type="pct"/>
            <w:tcMar>
              <w:left w:w="57" w:type="dxa"/>
              <w:right w:w="57" w:type="dxa"/>
            </w:tcMar>
            <w:vAlign w:val="center"/>
          </w:tcPr>
          <w:p w14:paraId="58CC42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eastAsia" w:eastAsiaTheme="minorEastAsia"/>
                <w:color w:val="auto"/>
                <w:sz w:val="21"/>
                <w:szCs w:val="21"/>
                <w:highlight w:val="none"/>
              </w:rPr>
              <w:t>/</w:t>
            </w:r>
          </w:p>
        </w:tc>
        <w:tc>
          <w:tcPr>
            <w:tcW w:w="446" w:type="pct"/>
            <w:tcMar>
              <w:left w:w="57" w:type="dxa"/>
              <w:right w:w="57" w:type="dxa"/>
            </w:tcMar>
            <w:vAlign w:val="center"/>
          </w:tcPr>
          <w:p w14:paraId="543678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等线"/>
                <w:color w:val="auto"/>
                <w:sz w:val="21"/>
                <w:szCs w:val="21"/>
                <w:highlight w:val="none"/>
                <w:lang w:eastAsia="zh-CN"/>
              </w:rPr>
            </w:pPr>
            <w:r>
              <w:rPr>
                <w:rFonts w:hint="default" w:eastAsia="等线"/>
                <w:color w:val="auto"/>
                <w:sz w:val="21"/>
                <w:szCs w:val="21"/>
                <w:highlight w:val="none"/>
              </w:rPr>
              <w:t>0.04</w:t>
            </w:r>
            <w:r>
              <w:rPr>
                <w:rFonts w:hint="eastAsia" w:eastAsia="等线"/>
                <w:color w:val="auto"/>
                <w:sz w:val="21"/>
                <w:szCs w:val="21"/>
                <w:highlight w:val="none"/>
                <w:lang w:val="en-US" w:eastAsia="zh-CN"/>
              </w:rPr>
              <w:t>6</w:t>
            </w:r>
          </w:p>
        </w:tc>
        <w:tc>
          <w:tcPr>
            <w:tcW w:w="210" w:type="pct"/>
            <w:tcMar>
              <w:left w:w="57" w:type="dxa"/>
              <w:right w:w="57" w:type="dxa"/>
            </w:tcMar>
            <w:vAlign w:val="center"/>
          </w:tcPr>
          <w:p w14:paraId="4B5A27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eastAsia" w:eastAsiaTheme="minorEastAsia"/>
                <w:color w:val="auto"/>
                <w:sz w:val="21"/>
                <w:szCs w:val="21"/>
                <w:highlight w:val="none"/>
              </w:rPr>
              <w:t>连续</w:t>
            </w:r>
          </w:p>
        </w:tc>
        <w:tc>
          <w:tcPr>
            <w:tcW w:w="630" w:type="pct"/>
            <w:tcMar>
              <w:left w:w="57" w:type="dxa"/>
              <w:right w:w="57" w:type="dxa"/>
            </w:tcMar>
            <w:vAlign w:val="center"/>
          </w:tcPr>
          <w:p w14:paraId="6DE945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4.0</w:t>
            </w:r>
          </w:p>
        </w:tc>
        <w:tc>
          <w:tcPr>
            <w:tcW w:w="1363" w:type="pct"/>
            <w:tcMar>
              <w:left w:w="57" w:type="dxa"/>
              <w:right w:w="57" w:type="dxa"/>
            </w:tcMar>
            <w:vAlign w:val="center"/>
          </w:tcPr>
          <w:p w14:paraId="0C42A4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《大气污染物综合排放标准》（GB16297-1996）中无组织排放监控浓度限值</w:t>
            </w:r>
          </w:p>
        </w:tc>
      </w:tr>
      <w:tr w14:paraId="0C2C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continue"/>
            <w:tcMar>
              <w:left w:w="57" w:type="dxa"/>
              <w:right w:w="57" w:type="dxa"/>
            </w:tcMar>
            <w:vAlign w:val="center"/>
          </w:tcPr>
          <w:p w14:paraId="2D5F91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309" w:type="pct"/>
            <w:tcMar>
              <w:left w:w="57" w:type="dxa"/>
              <w:right w:w="57" w:type="dxa"/>
            </w:tcMar>
            <w:vAlign w:val="center"/>
          </w:tcPr>
          <w:p w14:paraId="1069B3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食堂</w:t>
            </w:r>
          </w:p>
        </w:tc>
        <w:tc>
          <w:tcPr>
            <w:tcW w:w="658" w:type="pct"/>
            <w:tcMar>
              <w:left w:w="57" w:type="dxa"/>
              <w:right w:w="57" w:type="dxa"/>
            </w:tcMar>
            <w:vAlign w:val="center"/>
          </w:tcPr>
          <w:p w14:paraId="67E5D5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等线"/>
                <w:color w:val="auto"/>
                <w:sz w:val="21"/>
                <w:szCs w:val="21"/>
                <w:highlight w:val="none"/>
              </w:rPr>
              <w:t>油烟</w:t>
            </w:r>
          </w:p>
        </w:tc>
        <w:tc>
          <w:tcPr>
            <w:tcW w:w="559" w:type="pct"/>
            <w:tcMar>
              <w:left w:w="57" w:type="dxa"/>
              <w:right w:w="57" w:type="dxa"/>
            </w:tcMar>
            <w:vAlign w:val="center"/>
          </w:tcPr>
          <w:p w14:paraId="03D7FB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油烟净化器及风机</w:t>
            </w:r>
          </w:p>
        </w:tc>
        <w:tc>
          <w:tcPr>
            <w:tcW w:w="634" w:type="pct"/>
            <w:tcMar>
              <w:left w:w="57" w:type="dxa"/>
              <w:right w:w="57" w:type="dxa"/>
            </w:tcMar>
            <w:vAlign w:val="center"/>
          </w:tcPr>
          <w:p w14:paraId="46D25B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446" w:type="pct"/>
            <w:tcMar>
              <w:left w:w="57" w:type="dxa"/>
              <w:right w:w="57" w:type="dxa"/>
            </w:tcMar>
            <w:vAlign w:val="center"/>
          </w:tcPr>
          <w:p w14:paraId="6A8962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等线"/>
                <w:color w:val="auto"/>
                <w:sz w:val="21"/>
                <w:szCs w:val="21"/>
                <w:highlight w:val="none"/>
              </w:rPr>
            </w:pPr>
            <w:r>
              <w:rPr>
                <w:rFonts w:hint="default" w:eastAsia="等线"/>
                <w:color w:val="auto"/>
                <w:sz w:val="21"/>
                <w:szCs w:val="21"/>
                <w:highlight w:val="none"/>
              </w:rPr>
              <w:t>0.005</w:t>
            </w:r>
          </w:p>
        </w:tc>
        <w:tc>
          <w:tcPr>
            <w:tcW w:w="210" w:type="pct"/>
            <w:tcMar>
              <w:left w:w="57" w:type="dxa"/>
              <w:right w:w="57" w:type="dxa"/>
            </w:tcMar>
            <w:vAlign w:val="center"/>
          </w:tcPr>
          <w:p w14:paraId="3A296A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间断</w:t>
            </w:r>
          </w:p>
        </w:tc>
        <w:tc>
          <w:tcPr>
            <w:tcW w:w="630" w:type="pct"/>
            <w:tcMar>
              <w:left w:w="57" w:type="dxa"/>
              <w:right w:w="57" w:type="dxa"/>
            </w:tcMar>
            <w:vAlign w:val="center"/>
          </w:tcPr>
          <w:p w14:paraId="51038E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1363" w:type="pct"/>
            <w:tcMar>
              <w:left w:w="57" w:type="dxa"/>
              <w:right w:w="57" w:type="dxa"/>
            </w:tcMar>
            <w:vAlign w:val="center"/>
          </w:tcPr>
          <w:p w14:paraId="1F63BB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《饮食业油烟排放标准（试行）》（GB18483-2001）表2标准；</w:t>
            </w:r>
          </w:p>
        </w:tc>
      </w:tr>
      <w:tr w14:paraId="62F1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continue"/>
            <w:tcMar>
              <w:left w:w="57" w:type="dxa"/>
              <w:right w:w="57" w:type="dxa"/>
            </w:tcMar>
            <w:vAlign w:val="center"/>
          </w:tcPr>
          <w:p w14:paraId="22FC9D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309" w:type="pct"/>
            <w:vMerge w:val="restart"/>
            <w:tcMar>
              <w:left w:w="57" w:type="dxa"/>
              <w:right w:w="57" w:type="dxa"/>
            </w:tcMar>
            <w:vAlign w:val="center"/>
          </w:tcPr>
          <w:p w14:paraId="15DB28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污水处理站</w:t>
            </w:r>
          </w:p>
        </w:tc>
        <w:tc>
          <w:tcPr>
            <w:tcW w:w="658" w:type="pct"/>
            <w:tcMar>
              <w:left w:w="57" w:type="dxa"/>
              <w:right w:w="57" w:type="dxa"/>
            </w:tcMar>
            <w:vAlign w:val="center"/>
          </w:tcPr>
          <w:p w14:paraId="5AC485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NH</w:t>
            </w:r>
            <w:r>
              <w:rPr>
                <w:rFonts w:hint="default" w:eastAsiaTheme="minorEastAsia"/>
                <w:color w:val="auto"/>
                <w:sz w:val="21"/>
                <w:szCs w:val="21"/>
                <w:highlight w:val="none"/>
                <w:vertAlign w:val="subscript"/>
              </w:rPr>
              <w:t>3</w:t>
            </w:r>
          </w:p>
        </w:tc>
        <w:tc>
          <w:tcPr>
            <w:tcW w:w="559" w:type="pct"/>
            <w:vMerge w:val="restart"/>
            <w:tcMar>
              <w:left w:w="57" w:type="dxa"/>
              <w:right w:w="57" w:type="dxa"/>
            </w:tcMar>
            <w:vAlign w:val="center"/>
          </w:tcPr>
          <w:p w14:paraId="1EBCCD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密闭、绿化防护带、喷洒除臭剂</w:t>
            </w:r>
          </w:p>
        </w:tc>
        <w:tc>
          <w:tcPr>
            <w:tcW w:w="634" w:type="pct"/>
            <w:tcMar>
              <w:left w:w="57" w:type="dxa"/>
              <w:right w:w="57" w:type="dxa"/>
            </w:tcMar>
            <w:vAlign w:val="center"/>
          </w:tcPr>
          <w:p w14:paraId="3573E0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446" w:type="pct"/>
            <w:tcMar>
              <w:left w:w="57" w:type="dxa"/>
              <w:right w:w="57" w:type="dxa"/>
            </w:tcMar>
            <w:vAlign w:val="center"/>
          </w:tcPr>
          <w:p w14:paraId="52FE96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等线"/>
                <w:color w:val="auto"/>
                <w:sz w:val="21"/>
                <w:szCs w:val="21"/>
                <w:highlight w:val="none"/>
                <w:lang w:val="en-US" w:eastAsia="zh-CN"/>
              </w:rPr>
            </w:pPr>
            <w:r>
              <w:rPr>
                <w:rFonts w:hint="default" w:eastAsia="等线"/>
                <w:color w:val="auto"/>
                <w:sz w:val="21"/>
                <w:szCs w:val="21"/>
                <w:highlight w:val="none"/>
              </w:rPr>
              <w:t>0.00</w:t>
            </w:r>
            <w:r>
              <w:rPr>
                <w:rFonts w:hint="eastAsia" w:eastAsia="等线"/>
                <w:color w:val="auto"/>
                <w:sz w:val="21"/>
                <w:szCs w:val="21"/>
                <w:highlight w:val="none"/>
                <w:lang w:val="en-US" w:eastAsia="zh-CN"/>
              </w:rPr>
              <w:t>19</w:t>
            </w:r>
          </w:p>
        </w:tc>
        <w:tc>
          <w:tcPr>
            <w:tcW w:w="210" w:type="pct"/>
            <w:vMerge w:val="restart"/>
            <w:tcMar>
              <w:left w:w="57" w:type="dxa"/>
              <w:right w:w="57" w:type="dxa"/>
            </w:tcMar>
            <w:vAlign w:val="center"/>
          </w:tcPr>
          <w:p w14:paraId="36F5E3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连续</w:t>
            </w:r>
          </w:p>
        </w:tc>
        <w:tc>
          <w:tcPr>
            <w:tcW w:w="630" w:type="pct"/>
            <w:tcMar>
              <w:left w:w="57" w:type="dxa"/>
              <w:right w:w="57" w:type="dxa"/>
            </w:tcMar>
            <w:vAlign w:val="center"/>
          </w:tcPr>
          <w:p w14:paraId="7B8A4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1.5</w:t>
            </w:r>
          </w:p>
        </w:tc>
        <w:tc>
          <w:tcPr>
            <w:tcW w:w="1363" w:type="pct"/>
            <w:vMerge w:val="restart"/>
            <w:tcMar>
              <w:left w:w="57" w:type="dxa"/>
              <w:right w:w="57" w:type="dxa"/>
            </w:tcMar>
            <w:vAlign w:val="center"/>
          </w:tcPr>
          <w:p w14:paraId="442102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《恶臭污染物排放标准》（GB14554-93）中的厂界标准值二级标准</w:t>
            </w:r>
          </w:p>
        </w:tc>
      </w:tr>
      <w:tr w14:paraId="6A79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continue"/>
            <w:tcMar>
              <w:left w:w="57" w:type="dxa"/>
              <w:right w:w="57" w:type="dxa"/>
            </w:tcMar>
            <w:vAlign w:val="center"/>
          </w:tcPr>
          <w:p w14:paraId="7A59B1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309" w:type="pct"/>
            <w:vMerge w:val="continue"/>
            <w:tcMar>
              <w:left w:w="57" w:type="dxa"/>
              <w:right w:w="57" w:type="dxa"/>
            </w:tcMar>
            <w:vAlign w:val="center"/>
          </w:tcPr>
          <w:p w14:paraId="6142D2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58" w:type="pct"/>
            <w:tcMar>
              <w:left w:w="57" w:type="dxa"/>
              <w:right w:w="57" w:type="dxa"/>
            </w:tcMar>
            <w:vAlign w:val="center"/>
          </w:tcPr>
          <w:p w14:paraId="2BE22D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H</w:t>
            </w:r>
            <w:r>
              <w:rPr>
                <w:rFonts w:hint="default" w:eastAsiaTheme="minorEastAsia"/>
                <w:color w:val="auto"/>
                <w:sz w:val="21"/>
                <w:szCs w:val="21"/>
                <w:highlight w:val="none"/>
                <w:vertAlign w:val="subscript"/>
              </w:rPr>
              <w:t>2</w:t>
            </w:r>
            <w:r>
              <w:rPr>
                <w:rFonts w:hint="default" w:eastAsiaTheme="minorEastAsia"/>
                <w:color w:val="auto"/>
                <w:sz w:val="21"/>
                <w:szCs w:val="21"/>
                <w:highlight w:val="none"/>
              </w:rPr>
              <w:t>S</w:t>
            </w:r>
          </w:p>
        </w:tc>
        <w:tc>
          <w:tcPr>
            <w:tcW w:w="559" w:type="pct"/>
            <w:vMerge w:val="continue"/>
            <w:tcMar>
              <w:left w:w="57" w:type="dxa"/>
              <w:right w:w="57" w:type="dxa"/>
            </w:tcMar>
            <w:vAlign w:val="center"/>
          </w:tcPr>
          <w:p w14:paraId="555E1B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4" w:type="pct"/>
            <w:tcMar>
              <w:left w:w="57" w:type="dxa"/>
              <w:right w:w="57" w:type="dxa"/>
            </w:tcMar>
            <w:vAlign w:val="center"/>
          </w:tcPr>
          <w:p w14:paraId="0E2DBA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446" w:type="pct"/>
            <w:tcMar>
              <w:left w:w="57" w:type="dxa"/>
              <w:right w:w="57" w:type="dxa"/>
            </w:tcMar>
            <w:vAlign w:val="center"/>
          </w:tcPr>
          <w:p w14:paraId="063B34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等线"/>
                <w:color w:val="auto"/>
                <w:sz w:val="21"/>
                <w:szCs w:val="21"/>
                <w:highlight w:val="none"/>
                <w:lang w:eastAsia="zh-CN"/>
              </w:rPr>
            </w:pPr>
            <w:r>
              <w:rPr>
                <w:rFonts w:hint="default" w:eastAsia="等线"/>
                <w:color w:val="auto"/>
                <w:sz w:val="21"/>
                <w:szCs w:val="21"/>
                <w:highlight w:val="none"/>
              </w:rPr>
              <w:t>0.000</w:t>
            </w:r>
            <w:r>
              <w:rPr>
                <w:rFonts w:hint="eastAsia" w:eastAsia="等线"/>
                <w:color w:val="auto"/>
                <w:sz w:val="21"/>
                <w:szCs w:val="21"/>
                <w:highlight w:val="none"/>
                <w:lang w:val="en-US" w:eastAsia="zh-CN"/>
              </w:rPr>
              <w:t>1</w:t>
            </w:r>
          </w:p>
        </w:tc>
        <w:tc>
          <w:tcPr>
            <w:tcW w:w="210" w:type="pct"/>
            <w:vMerge w:val="continue"/>
            <w:tcMar>
              <w:left w:w="57" w:type="dxa"/>
              <w:right w:w="57" w:type="dxa"/>
            </w:tcMar>
            <w:vAlign w:val="center"/>
          </w:tcPr>
          <w:p w14:paraId="37D511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0" w:type="pct"/>
            <w:tcMar>
              <w:left w:w="57" w:type="dxa"/>
              <w:right w:w="57" w:type="dxa"/>
            </w:tcMar>
            <w:vAlign w:val="center"/>
          </w:tcPr>
          <w:p w14:paraId="2B1A44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0.06</w:t>
            </w:r>
          </w:p>
        </w:tc>
        <w:tc>
          <w:tcPr>
            <w:tcW w:w="1363" w:type="pct"/>
            <w:vMerge w:val="continue"/>
            <w:tcMar>
              <w:left w:w="57" w:type="dxa"/>
              <w:right w:w="57" w:type="dxa"/>
            </w:tcMar>
            <w:vAlign w:val="center"/>
          </w:tcPr>
          <w:p w14:paraId="2109E6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r>
      <w:tr w14:paraId="3FEF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restart"/>
            <w:tcMar>
              <w:left w:w="57" w:type="dxa"/>
              <w:right w:w="57" w:type="dxa"/>
            </w:tcMar>
            <w:vAlign w:val="center"/>
          </w:tcPr>
          <w:p w14:paraId="4A4597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废水</w:t>
            </w:r>
          </w:p>
        </w:tc>
        <w:tc>
          <w:tcPr>
            <w:tcW w:w="309" w:type="pct"/>
            <w:vMerge w:val="restart"/>
            <w:tcMar>
              <w:left w:w="57" w:type="dxa"/>
              <w:right w:w="57" w:type="dxa"/>
            </w:tcMar>
            <w:vAlign w:val="center"/>
          </w:tcPr>
          <w:p w14:paraId="0F355D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污水</w:t>
            </w:r>
          </w:p>
        </w:tc>
        <w:tc>
          <w:tcPr>
            <w:tcW w:w="658" w:type="pct"/>
            <w:tcMar>
              <w:left w:w="57" w:type="dxa"/>
              <w:right w:w="57" w:type="dxa"/>
            </w:tcMar>
            <w:vAlign w:val="center"/>
          </w:tcPr>
          <w:p w14:paraId="664A71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SS</w:t>
            </w:r>
          </w:p>
        </w:tc>
        <w:tc>
          <w:tcPr>
            <w:tcW w:w="559" w:type="pct"/>
            <w:vMerge w:val="restart"/>
            <w:tcMar>
              <w:left w:w="57" w:type="dxa"/>
              <w:right w:w="57" w:type="dxa"/>
            </w:tcMar>
            <w:vAlign w:val="center"/>
          </w:tcPr>
          <w:p w14:paraId="70CEB2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污水处理站处理后回用</w:t>
            </w:r>
          </w:p>
        </w:tc>
        <w:tc>
          <w:tcPr>
            <w:tcW w:w="634" w:type="pct"/>
            <w:tcMar>
              <w:left w:w="57" w:type="dxa"/>
              <w:right w:w="57" w:type="dxa"/>
            </w:tcMar>
            <w:vAlign w:val="center"/>
          </w:tcPr>
          <w:p w14:paraId="4D9FE7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20</w:t>
            </w:r>
          </w:p>
        </w:tc>
        <w:tc>
          <w:tcPr>
            <w:tcW w:w="446" w:type="pct"/>
            <w:tcMar>
              <w:left w:w="57" w:type="dxa"/>
              <w:right w:w="57" w:type="dxa"/>
            </w:tcMar>
            <w:vAlign w:val="center"/>
          </w:tcPr>
          <w:p w14:paraId="3578CB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eastAsia" w:eastAsiaTheme="minorEastAsia"/>
                <w:color w:val="auto"/>
                <w:sz w:val="21"/>
                <w:szCs w:val="21"/>
                <w:highlight w:val="none"/>
              </w:rPr>
              <w:t>1.6767</w:t>
            </w:r>
          </w:p>
        </w:tc>
        <w:tc>
          <w:tcPr>
            <w:tcW w:w="210" w:type="pct"/>
            <w:vMerge w:val="restart"/>
            <w:tcMar>
              <w:left w:w="57" w:type="dxa"/>
              <w:right w:w="57" w:type="dxa"/>
            </w:tcMar>
            <w:vAlign w:val="center"/>
          </w:tcPr>
          <w:p w14:paraId="3BB36B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回用</w:t>
            </w:r>
          </w:p>
        </w:tc>
        <w:tc>
          <w:tcPr>
            <w:tcW w:w="630" w:type="pct"/>
            <w:tcMar>
              <w:left w:w="57" w:type="dxa"/>
              <w:right w:w="57" w:type="dxa"/>
            </w:tcMar>
            <w:vAlign w:val="center"/>
          </w:tcPr>
          <w:p w14:paraId="6BBF6C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Theme="minorEastAsia"/>
                <w:color w:val="auto"/>
                <w:sz w:val="21"/>
                <w:szCs w:val="21"/>
                <w:highlight w:val="none"/>
                <w:lang w:val="en-US" w:eastAsia="zh-CN"/>
              </w:rPr>
            </w:pPr>
            <w:r>
              <w:rPr>
                <w:rFonts w:hint="eastAsia" w:eastAsiaTheme="minorEastAsia"/>
                <w:color w:val="auto"/>
                <w:sz w:val="21"/>
                <w:szCs w:val="21"/>
                <w:highlight w:val="none"/>
                <w:lang w:val="en-US" w:eastAsia="zh-CN"/>
              </w:rPr>
              <w:t>/</w:t>
            </w:r>
          </w:p>
        </w:tc>
        <w:tc>
          <w:tcPr>
            <w:tcW w:w="1363" w:type="pct"/>
            <w:vMerge w:val="restart"/>
            <w:tcMar>
              <w:left w:w="57" w:type="dxa"/>
              <w:right w:w="57" w:type="dxa"/>
            </w:tcMar>
            <w:vAlign w:val="center"/>
          </w:tcPr>
          <w:p w14:paraId="016BD5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snapToGrid w:val="0"/>
                <w:color w:val="auto"/>
                <w:sz w:val="21"/>
                <w:szCs w:val="21"/>
                <w:highlight w:val="none"/>
              </w:rPr>
              <w:t>《城市污水再生利用城市杂用水质》（GB18920-2020）中城市绿化、道路清扫</w:t>
            </w:r>
            <w:r>
              <w:rPr>
                <w:rFonts w:hint="eastAsia" w:eastAsiaTheme="minorEastAsia"/>
                <w:snapToGrid w:val="0"/>
                <w:color w:val="auto"/>
                <w:sz w:val="21"/>
                <w:szCs w:val="21"/>
                <w:highlight w:val="none"/>
                <w:lang w:val="en-US" w:eastAsia="zh-CN"/>
              </w:rPr>
              <w:t>对应</w:t>
            </w:r>
            <w:r>
              <w:rPr>
                <w:rFonts w:hint="default" w:eastAsiaTheme="minorEastAsia"/>
                <w:snapToGrid w:val="0"/>
                <w:color w:val="auto"/>
                <w:sz w:val="21"/>
                <w:szCs w:val="21"/>
                <w:highlight w:val="none"/>
              </w:rPr>
              <w:t>水质指标</w:t>
            </w:r>
          </w:p>
        </w:tc>
      </w:tr>
      <w:tr w14:paraId="0609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continue"/>
            <w:tcMar>
              <w:left w:w="57" w:type="dxa"/>
              <w:right w:w="57" w:type="dxa"/>
            </w:tcMar>
            <w:vAlign w:val="center"/>
          </w:tcPr>
          <w:p w14:paraId="2C40A0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309" w:type="pct"/>
            <w:vMerge w:val="continue"/>
            <w:tcMar>
              <w:left w:w="57" w:type="dxa"/>
              <w:right w:w="57" w:type="dxa"/>
            </w:tcMar>
            <w:vAlign w:val="center"/>
          </w:tcPr>
          <w:p w14:paraId="6E1190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58" w:type="pct"/>
            <w:tcMar>
              <w:left w:w="57" w:type="dxa"/>
              <w:right w:w="57" w:type="dxa"/>
            </w:tcMar>
            <w:vAlign w:val="center"/>
          </w:tcPr>
          <w:p w14:paraId="16C13F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COD</w:t>
            </w:r>
          </w:p>
        </w:tc>
        <w:tc>
          <w:tcPr>
            <w:tcW w:w="559" w:type="pct"/>
            <w:vMerge w:val="continue"/>
            <w:tcMar>
              <w:left w:w="57" w:type="dxa"/>
              <w:right w:w="57" w:type="dxa"/>
            </w:tcMar>
            <w:vAlign w:val="center"/>
          </w:tcPr>
          <w:p w14:paraId="0D255C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4" w:type="pct"/>
            <w:tcMar>
              <w:left w:w="57" w:type="dxa"/>
              <w:right w:w="57" w:type="dxa"/>
            </w:tcMar>
            <w:vAlign w:val="center"/>
          </w:tcPr>
          <w:p w14:paraId="7AB471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26</w:t>
            </w:r>
          </w:p>
        </w:tc>
        <w:tc>
          <w:tcPr>
            <w:tcW w:w="446" w:type="pct"/>
            <w:tcMar>
              <w:left w:w="57" w:type="dxa"/>
              <w:right w:w="57" w:type="dxa"/>
            </w:tcMar>
            <w:vAlign w:val="center"/>
          </w:tcPr>
          <w:p w14:paraId="3F17B4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eastAsia" w:eastAsiaTheme="minorEastAsia"/>
                <w:color w:val="auto"/>
                <w:sz w:val="21"/>
                <w:szCs w:val="21"/>
                <w:highlight w:val="none"/>
              </w:rPr>
              <w:t>1.0898</w:t>
            </w:r>
          </w:p>
        </w:tc>
        <w:tc>
          <w:tcPr>
            <w:tcW w:w="210" w:type="pct"/>
            <w:vMerge w:val="continue"/>
            <w:tcMar>
              <w:left w:w="57" w:type="dxa"/>
              <w:right w:w="57" w:type="dxa"/>
            </w:tcMar>
            <w:vAlign w:val="center"/>
          </w:tcPr>
          <w:p w14:paraId="77110B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0" w:type="pct"/>
            <w:tcMar>
              <w:left w:w="57" w:type="dxa"/>
              <w:right w:w="57" w:type="dxa"/>
            </w:tcMar>
            <w:vAlign w:val="center"/>
          </w:tcPr>
          <w:p w14:paraId="0F8592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Theme="minorEastAsia"/>
                <w:color w:val="auto"/>
                <w:sz w:val="21"/>
                <w:szCs w:val="21"/>
                <w:highlight w:val="none"/>
                <w:lang w:val="en-US" w:eastAsia="zh-CN"/>
              </w:rPr>
            </w:pPr>
            <w:r>
              <w:rPr>
                <w:rFonts w:hint="eastAsia" w:eastAsiaTheme="minorEastAsia"/>
                <w:color w:val="auto"/>
                <w:sz w:val="21"/>
                <w:szCs w:val="21"/>
                <w:highlight w:val="none"/>
                <w:lang w:val="en-US" w:eastAsia="zh-CN"/>
              </w:rPr>
              <w:t>/</w:t>
            </w:r>
          </w:p>
        </w:tc>
        <w:tc>
          <w:tcPr>
            <w:tcW w:w="1363" w:type="pct"/>
            <w:vMerge w:val="continue"/>
            <w:tcMar>
              <w:left w:w="57" w:type="dxa"/>
              <w:right w:w="57" w:type="dxa"/>
            </w:tcMar>
            <w:vAlign w:val="center"/>
          </w:tcPr>
          <w:p w14:paraId="1EACB9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r>
      <w:tr w14:paraId="390C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continue"/>
            <w:tcMar>
              <w:left w:w="57" w:type="dxa"/>
              <w:right w:w="57" w:type="dxa"/>
            </w:tcMar>
            <w:vAlign w:val="center"/>
          </w:tcPr>
          <w:p w14:paraId="79F53D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309" w:type="pct"/>
            <w:vMerge w:val="continue"/>
            <w:tcMar>
              <w:left w:w="57" w:type="dxa"/>
              <w:right w:w="57" w:type="dxa"/>
            </w:tcMar>
            <w:vAlign w:val="center"/>
          </w:tcPr>
          <w:p w14:paraId="55FA55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58" w:type="pct"/>
            <w:tcMar>
              <w:left w:w="57" w:type="dxa"/>
              <w:right w:w="57" w:type="dxa"/>
            </w:tcMar>
            <w:vAlign w:val="center"/>
          </w:tcPr>
          <w:p w14:paraId="5F5A48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BOD</w:t>
            </w:r>
            <w:r>
              <w:rPr>
                <w:rFonts w:hint="default" w:eastAsiaTheme="minorEastAsia"/>
                <w:color w:val="auto"/>
                <w:sz w:val="21"/>
                <w:szCs w:val="21"/>
                <w:highlight w:val="none"/>
                <w:vertAlign w:val="subscript"/>
              </w:rPr>
              <w:t>5</w:t>
            </w:r>
          </w:p>
        </w:tc>
        <w:tc>
          <w:tcPr>
            <w:tcW w:w="559" w:type="pct"/>
            <w:vMerge w:val="continue"/>
            <w:tcMar>
              <w:left w:w="57" w:type="dxa"/>
              <w:right w:w="57" w:type="dxa"/>
            </w:tcMar>
            <w:vAlign w:val="center"/>
          </w:tcPr>
          <w:p w14:paraId="014E3D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4" w:type="pct"/>
            <w:tcMar>
              <w:left w:w="57" w:type="dxa"/>
              <w:right w:w="57" w:type="dxa"/>
            </w:tcMar>
            <w:vAlign w:val="center"/>
          </w:tcPr>
          <w:p w14:paraId="5D9734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7.5</w:t>
            </w:r>
          </w:p>
        </w:tc>
        <w:tc>
          <w:tcPr>
            <w:tcW w:w="446" w:type="pct"/>
            <w:tcMar>
              <w:left w:w="57" w:type="dxa"/>
              <w:right w:w="57" w:type="dxa"/>
            </w:tcMar>
            <w:vAlign w:val="center"/>
          </w:tcPr>
          <w:p w14:paraId="190625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eastAsia" w:eastAsiaTheme="minorEastAsia"/>
                <w:color w:val="auto"/>
                <w:sz w:val="21"/>
                <w:szCs w:val="21"/>
                <w:highlight w:val="none"/>
              </w:rPr>
              <w:t>0.6287</w:t>
            </w:r>
          </w:p>
        </w:tc>
        <w:tc>
          <w:tcPr>
            <w:tcW w:w="210" w:type="pct"/>
            <w:vMerge w:val="continue"/>
            <w:tcMar>
              <w:left w:w="57" w:type="dxa"/>
              <w:right w:w="57" w:type="dxa"/>
            </w:tcMar>
            <w:vAlign w:val="center"/>
          </w:tcPr>
          <w:p w14:paraId="0B0A55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0" w:type="pct"/>
            <w:tcMar>
              <w:left w:w="57" w:type="dxa"/>
              <w:right w:w="57" w:type="dxa"/>
            </w:tcMar>
            <w:vAlign w:val="center"/>
          </w:tcPr>
          <w:p w14:paraId="7A5043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lang w:val="en-US" w:eastAsia="zh-CN"/>
              </w:rPr>
            </w:pPr>
            <w:r>
              <w:rPr>
                <w:rFonts w:hint="eastAsia" w:eastAsiaTheme="minorEastAsia"/>
                <w:color w:val="auto"/>
                <w:sz w:val="21"/>
                <w:szCs w:val="21"/>
                <w:highlight w:val="none"/>
                <w:lang w:val="en-US" w:eastAsia="zh-CN"/>
              </w:rPr>
              <w:t>10</w:t>
            </w:r>
          </w:p>
        </w:tc>
        <w:tc>
          <w:tcPr>
            <w:tcW w:w="1363" w:type="pct"/>
            <w:vMerge w:val="continue"/>
            <w:tcMar>
              <w:left w:w="57" w:type="dxa"/>
              <w:right w:w="57" w:type="dxa"/>
            </w:tcMar>
            <w:vAlign w:val="center"/>
          </w:tcPr>
          <w:p w14:paraId="2FB7B9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r>
      <w:tr w14:paraId="0F0B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continue"/>
            <w:tcMar>
              <w:left w:w="57" w:type="dxa"/>
              <w:right w:w="57" w:type="dxa"/>
            </w:tcMar>
            <w:vAlign w:val="center"/>
          </w:tcPr>
          <w:p w14:paraId="5D8E79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309" w:type="pct"/>
            <w:vMerge w:val="continue"/>
            <w:tcMar>
              <w:left w:w="57" w:type="dxa"/>
              <w:right w:w="57" w:type="dxa"/>
            </w:tcMar>
            <w:vAlign w:val="center"/>
          </w:tcPr>
          <w:p w14:paraId="09C8C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58" w:type="pct"/>
            <w:tcMar>
              <w:left w:w="57" w:type="dxa"/>
              <w:right w:w="57" w:type="dxa"/>
            </w:tcMar>
            <w:vAlign w:val="center"/>
          </w:tcPr>
          <w:p w14:paraId="69C6C8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氨氮</w:t>
            </w:r>
          </w:p>
        </w:tc>
        <w:tc>
          <w:tcPr>
            <w:tcW w:w="559" w:type="pct"/>
            <w:vMerge w:val="continue"/>
            <w:tcMar>
              <w:left w:w="57" w:type="dxa"/>
              <w:right w:w="57" w:type="dxa"/>
            </w:tcMar>
            <w:vAlign w:val="center"/>
          </w:tcPr>
          <w:p w14:paraId="5A2E33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4" w:type="pct"/>
            <w:tcMar>
              <w:left w:w="57" w:type="dxa"/>
              <w:right w:w="57" w:type="dxa"/>
            </w:tcMar>
            <w:vAlign w:val="center"/>
          </w:tcPr>
          <w:p w14:paraId="5A6DF8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8</w:t>
            </w:r>
          </w:p>
        </w:tc>
        <w:tc>
          <w:tcPr>
            <w:tcW w:w="446" w:type="pct"/>
            <w:tcMar>
              <w:left w:w="57" w:type="dxa"/>
              <w:right w:w="57" w:type="dxa"/>
            </w:tcMar>
            <w:vAlign w:val="center"/>
          </w:tcPr>
          <w:p w14:paraId="223A1B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eastAsia" w:eastAsiaTheme="minorEastAsia"/>
                <w:color w:val="auto"/>
                <w:sz w:val="21"/>
                <w:szCs w:val="21"/>
                <w:highlight w:val="none"/>
              </w:rPr>
              <w:t>0.1677</w:t>
            </w:r>
          </w:p>
        </w:tc>
        <w:tc>
          <w:tcPr>
            <w:tcW w:w="210" w:type="pct"/>
            <w:vMerge w:val="continue"/>
            <w:tcMar>
              <w:left w:w="57" w:type="dxa"/>
              <w:right w:w="57" w:type="dxa"/>
            </w:tcMar>
            <w:vAlign w:val="center"/>
          </w:tcPr>
          <w:p w14:paraId="153674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0" w:type="pct"/>
            <w:tcMar>
              <w:left w:w="57" w:type="dxa"/>
              <w:right w:w="57" w:type="dxa"/>
            </w:tcMar>
            <w:vAlign w:val="center"/>
          </w:tcPr>
          <w:p w14:paraId="73E92E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Theme="minorEastAsia"/>
                <w:color w:val="auto"/>
                <w:sz w:val="21"/>
                <w:szCs w:val="21"/>
                <w:highlight w:val="none"/>
                <w:lang w:val="en-US" w:eastAsia="zh-CN"/>
              </w:rPr>
            </w:pPr>
            <w:r>
              <w:rPr>
                <w:rFonts w:hint="eastAsia" w:eastAsiaTheme="minorEastAsia"/>
                <w:color w:val="auto"/>
                <w:sz w:val="21"/>
                <w:szCs w:val="21"/>
                <w:highlight w:val="none"/>
                <w:lang w:val="en-US" w:eastAsia="zh-CN"/>
              </w:rPr>
              <w:t>8</w:t>
            </w:r>
          </w:p>
        </w:tc>
        <w:tc>
          <w:tcPr>
            <w:tcW w:w="1363" w:type="pct"/>
            <w:vMerge w:val="continue"/>
            <w:tcMar>
              <w:left w:w="57" w:type="dxa"/>
              <w:right w:w="57" w:type="dxa"/>
            </w:tcMar>
            <w:vAlign w:val="center"/>
          </w:tcPr>
          <w:p w14:paraId="005C1D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r>
      <w:tr w14:paraId="59CA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restart"/>
            <w:tcMar>
              <w:left w:w="57" w:type="dxa"/>
              <w:right w:w="57" w:type="dxa"/>
            </w:tcMar>
            <w:vAlign w:val="center"/>
          </w:tcPr>
          <w:p w14:paraId="2E7DA3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固废</w:t>
            </w:r>
          </w:p>
        </w:tc>
        <w:tc>
          <w:tcPr>
            <w:tcW w:w="309" w:type="pct"/>
            <w:tcMar>
              <w:left w:w="57" w:type="dxa"/>
              <w:right w:w="57" w:type="dxa"/>
            </w:tcMar>
            <w:vAlign w:val="center"/>
          </w:tcPr>
          <w:p w14:paraId="6ED602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办公、生活</w:t>
            </w:r>
          </w:p>
        </w:tc>
        <w:tc>
          <w:tcPr>
            <w:tcW w:w="658" w:type="pct"/>
            <w:tcMar>
              <w:left w:w="57" w:type="dxa"/>
              <w:right w:w="57" w:type="dxa"/>
            </w:tcMar>
            <w:vAlign w:val="center"/>
          </w:tcPr>
          <w:p w14:paraId="445AC3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生活垃圾</w:t>
            </w:r>
          </w:p>
          <w:p w14:paraId="45C6FC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（含餐厨）</w:t>
            </w:r>
          </w:p>
        </w:tc>
        <w:tc>
          <w:tcPr>
            <w:tcW w:w="559" w:type="pct"/>
            <w:vMerge w:val="restart"/>
            <w:tcMar>
              <w:left w:w="57" w:type="dxa"/>
              <w:right w:w="57" w:type="dxa"/>
            </w:tcMar>
            <w:vAlign w:val="center"/>
          </w:tcPr>
          <w:p w14:paraId="01F1FB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委托环卫部门收集处理</w:t>
            </w:r>
          </w:p>
        </w:tc>
        <w:tc>
          <w:tcPr>
            <w:tcW w:w="634" w:type="pct"/>
            <w:tcMar>
              <w:left w:w="57" w:type="dxa"/>
              <w:right w:w="57" w:type="dxa"/>
            </w:tcMar>
            <w:vAlign w:val="center"/>
          </w:tcPr>
          <w:p w14:paraId="460877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446" w:type="pct"/>
            <w:tcMar>
              <w:left w:w="57" w:type="dxa"/>
              <w:right w:w="57" w:type="dxa"/>
            </w:tcMar>
            <w:vAlign w:val="center"/>
          </w:tcPr>
          <w:p w14:paraId="1BDB24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eastAsia" w:eastAsiaTheme="minorEastAsia"/>
                <w:color w:val="auto"/>
                <w:sz w:val="21"/>
                <w:szCs w:val="21"/>
                <w:highlight w:val="none"/>
              </w:rPr>
              <w:t>5.4750</w:t>
            </w:r>
          </w:p>
        </w:tc>
        <w:tc>
          <w:tcPr>
            <w:tcW w:w="210" w:type="pct"/>
            <w:tcMar>
              <w:left w:w="57" w:type="dxa"/>
              <w:right w:w="57" w:type="dxa"/>
            </w:tcMar>
            <w:vAlign w:val="center"/>
          </w:tcPr>
          <w:p w14:paraId="0D128C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间断</w:t>
            </w:r>
          </w:p>
        </w:tc>
        <w:tc>
          <w:tcPr>
            <w:tcW w:w="630" w:type="pct"/>
            <w:tcMar>
              <w:left w:w="57" w:type="dxa"/>
              <w:right w:w="57" w:type="dxa"/>
            </w:tcMar>
            <w:vAlign w:val="center"/>
          </w:tcPr>
          <w:p w14:paraId="04C780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1363" w:type="pct"/>
            <w:vMerge w:val="restart"/>
            <w:tcMar>
              <w:left w:w="57" w:type="dxa"/>
              <w:right w:w="57" w:type="dxa"/>
            </w:tcMar>
            <w:vAlign w:val="center"/>
          </w:tcPr>
          <w:p w14:paraId="1DE812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r>
              <w:rPr>
                <w:rFonts w:hint="eastAsia" w:eastAsiaTheme="minorEastAsia"/>
                <w:color w:val="auto"/>
                <w:sz w:val="21"/>
                <w:szCs w:val="21"/>
                <w:highlight w:val="none"/>
              </w:rPr>
              <w:t>一般工业固体废物贮存和填埋污染控制标准</w:t>
            </w:r>
            <w:r>
              <w:rPr>
                <w:rFonts w:hint="default" w:eastAsiaTheme="minorEastAsia"/>
                <w:color w:val="auto"/>
                <w:sz w:val="21"/>
                <w:szCs w:val="21"/>
                <w:highlight w:val="none"/>
              </w:rPr>
              <w:t>》（GB18599-2020）</w:t>
            </w:r>
          </w:p>
        </w:tc>
      </w:tr>
      <w:tr w14:paraId="7521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continue"/>
            <w:tcMar>
              <w:left w:w="57" w:type="dxa"/>
              <w:right w:w="57" w:type="dxa"/>
            </w:tcMar>
            <w:vAlign w:val="center"/>
          </w:tcPr>
          <w:p w14:paraId="548F23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309" w:type="pct"/>
            <w:tcMar>
              <w:left w:w="57" w:type="dxa"/>
              <w:right w:w="57" w:type="dxa"/>
            </w:tcMar>
            <w:vAlign w:val="center"/>
          </w:tcPr>
          <w:p w14:paraId="2EFB31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飞机和候机楼</w:t>
            </w:r>
          </w:p>
        </w:tc>
        <w:tc>
          <w:tcPr>
            <w:tcW w:w="658" w:type="pct"/>
            <w:tcMar>
              <w:left w:w="57" w:type="dxa"/>
              <w:right w:w="57" w:type="dxa"/>
            </w:tcMar>
            <w:vAlign w:val="center"/>
          </w:tcPr>
          <w:p w14:paraId="226B4A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航空垃圾</w:t>
            </w:r>
          </w:p>
        </w:tc>
        <w:tc>
          <w:tcPr>
            <w:tcW w:w="559" w:type="pct"/>
            <w:vMerge w:val="continue"/>
            <w:tcMar>
              <w:left w:w="57" w:type="dxa"/>
              <w:right w:w="57" w:type="dxa"/>
            </w:tcMar>
            <w:vAlign w:val="center"/>
          </w:tcPr>
          <w:p w14:paraId="788D7C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4" w:type="pct"/>
            <w:tcMar>
              <w:left w:w="57" w:type="dxa"/>
              <w:right w:w="57" w:type="dxa"/>
            </w:tcMar>
            <w:vAlign w:val="center"/>
          </w:tcPr>
          <w:p w14:paraId="3C3E8A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446" w:type="pct"/>
            <w:tcMar>
              <w:left w:w="57" w:type="dxa"/>
              <w:right w:w="57" w:type="dxa"/>
            </w:tcMar>
            <w:vAlign w:val="center"/>
          </w:tcPr>
          <w:p w14:paraId="5D5C1E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eastAsia" w:eastAsiaTheme="minorEastAsia"/>
                <w:color w:val="auto"/>
                <w:sz w:val="21"/>
                <w:szCs w:val="21"/>
                <w:highlight w:val="none"/>
              </w:rPr>
              <w:t>1.2624</w:t>
            </w:r>
          </w:p>
        </w:tc>
        <w:tc>
          <w:tcPr>
            <w:tcW w:w="210" w:type="pct"/>
            <w:tcMar>
              <w:left w:w="57" w:type="dxa"/>
              <w:right w:w="57" w:type="dxa"/>
            </w:tcMar>
            <w:vAlign w:val="center"/>
          </w:tcPr>
          <w:p w14:paraId="6D93D1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间断</w:t>
            </w:r>
          </w:p>
        </w:tc>
        <w:tc>
          <w:tcPr>
            <w:tcW w:w="630" w:type="pct"/>
            <w:tcMar>
              <w:left w:w="57" w:type="dxa"/>
              <w:right w:w="57" w:type="dxa"/>
            </w:tcMar>
            <w:vAlign w:val="center"/>
          </w:tcPr>
          <w:p w14:paraId="25ACF4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1363" w:type="pct"/>
            <w:vMerge w:val="continue"/>
            <w:tcMar>
              <w:left w:w="57" w:type="dxa"/>
              <w:right w:w="57" w:type="dxa"/>
            </w:tcMar>
            <w:vAlign w:val="center"/>
          </w:tcPr>
          <w:p w14:paraId="403D66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r>
      <w:tr w14:paraId="71F4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continue"/>
            <w:tcMar>
              <w:left w:w="57" w:type="dxa"/>
              <w:right w:w="57" w:type="dxa"/>
            </w:tcMar>
            <w:vAlign w:val="center"/>
          </w:tcPr>
          <w:p w14:paraId="7F615B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309" w:type="pct"/>
            <w:tcMar>
              <w:left w:w="57" w:type="dxa"/>
              <w:right w:w="57" w:type="dxa"/>
            </w:tcMar>
            <w:vAlign w:val="center"/>
          </w:tcPr>
          <w:p w14:paraId="2D2CB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污水处理站</w:t>
            </w:r>
          </w:p>
        </w:tc>
        <w:tc>
          <w:tcPr>
            <w:tcW w:w="658" w:type="pct"/>
            <w:tcMar>
              <w:left w:w="57" w:type="dxa"/>
              <w:right w:w="57" w:type="dxa"/>
            </w:tcMar>
            <w:vAlign w:val="center"/>
          </w:tcPr>
          <w:p w14:paraId="41C69B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污泥</w:t>
            </w:r>
          </w:p>
        </w:tc>
        <w:tc>
          <w:tcPr>
            <w:tcW w:w="559" w:type="pct"/>
            <w:tcMar>
              <w:left w:w="57" w:type="dxa"/>
              <w:right w:w="57" w:type="dxa"/>
            </w:tcMar>
            <w:vAlign w:val="center"/>
          </w:tcPr>
          <w:p w14:paraId="7C7EAD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由环卫管理部门统一清运</w:t>
            </w:r>
          </w:p>
        </w:tc>
        <w:tc>
          <w:tcPr>
            <w:tcW w:w="634" w:type="pct"/>
            <w:tcMar>
              <w:left w:w="57" w:type="dxa"/>
              <w:right w:w="57" w:type="dxa"/>
            </w:tcMar>
            <w:vAlign w:val="center"/>
          </w:tcPr>
          <w:p w14:paraId="05BAC2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446" w:type="pct"/>
            <w:tcMar>
              <w:left w:w="57" w:type="dxa"/>
              <w:right w:w="57" w:type="dxa"/>
            </w:tcMar>
            <w:vAlign w:val="center"/>
          </w:tcPr>
          <w:p w14:paraId="2E80CA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eastAsia" w:eastAsiaTheme="minorEastAsia"/>
                <w:color w:val="auto"/>
                <w:sz w:val="21"/>
                <w:szCs w:val="21"/>
                <w:highlight w:val="none"/>
              </w:rPr>
              <w:t>0.2515</w:t>
            </w:r>
          </w:p>
        </w:tc>
        <w:tc>
          <w:tcPr>
            <w:tcW w:w="210" w:type="pct"/>
            <w:tcMar>
              <w:left w:w="57" w:type="dxa"/>
              <w:right w:w="57" w:type="dxa"/>
            </w:tcMar>
            <w:vAlign w:val="center"/>
          </w:tcPr>
          <w:p w14:paraId="3C813E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间断</w:t>
            </w:r>
          </w:p>
        </w:tc>
        <w:tc>
          <w:tcPr>
            <w:tcW w:w="630" w:type="pct"/>
            <w:tcMar>
              <w:left w:w="57" w:type="dxa"/>
              <w:right w:w="57" w:type="dxa"/>
            </w:tcMar>
            <w:vAlign w:val="center"/>
          </w:tcPr>
          <w:p w14:paraId="476172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1363" w:type="pct"/>
            <w:vMerge w:val="continue"/>
            <w:tcMar>
              <w:left w:w="57" w:type="dxa"/>
              <w:right w:w="57" w:type="dxa"/>
            </w:tcMar>
            <w:vAlign w:val="center"/>
          </w:tcPr>
          <w:p w14:paraId="432622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r>
      <w:tr w14:paraId="750B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continue"/>
            <w:tcMar>
              <w:left w:w="57" w:type="dxa"/>
              <w:right w:w="57" w:type="dxa"/>
            </w:tcMar>
            <w:vAlign w:val="center"/>
          </w:tcPr>
          <w:p w14:paraId="05F956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309" w:type="pct"/>
            <w:tcMar>
              <w:left w:w="57" w:type="dxa"/>
              <w:right w:w="57" w:type="dxa"/>
            </w:tcMar>
            <w:vAlign w:val="center"/>
          </w:tcPr>
          <w:p w14:paraId="38C46A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油料储运</w:t>
            </w:r>
          </w:p>
        </w:tc>
        <w:tc>
          <w:tcPr>
            <w:tcW w:w="658" w:type="pct"/>
            <w:tcMar>
              <w:left w:w="57" w:type="dxa"/>
              <w:right w:w="57" w:type="dxa"/>
            </w:tcMar>
            <w:vAlign w:val="center"/>
          </w:tcPr>
          <w:p w14:paraId="5C796B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废污油、油泥</w:t>
            </w:r>
          </w:p>
        </w:tc>
        <w:tc>
          <w:tcPr>
            <w:tcW w:w="559" w:type="pct"/>
            <w:vMerge w:val="restart"/>
            <w:tcMar>
              <w:left w:w="57" w:type="dxa"/>
              <w:right w:w="57" w:type="dxa"/>
            </w:tcMar>
            <w:vAlign w:val="center"/>
          </w:tcPr>
          <w:p w14:paraId="110FC6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集中收集由有危废处理资质的单位处置</w:t>
            </w:r>
          </w:p>
        </w:tc>
        <w:tc>
          <w:tcPr>
            <w:tcW w:w="634" w:type="pct"/>
            <w:tcMar>
              <w:left w:w="57" w:type="dxa"/>
              <w:right w:w="57" w:type="dxa"/>
            </w:tcMar>
            <w:vAlign w:val="center"/>
          </w:tcPr>
          <w:p w14:paraId="0C0624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446" w:type="pct"/>
            <w:tcMar>
              <w:left w:w="57" w:type="dxa"/>
              <w:right w:w="57" w:type="dxa"/>
            </w:tcMar>
            <w:vAlign w:val="center"/>
          </w:tcPr>
          <w:p w14:paraId="2C3CD1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0.5</w:t>
            </w:r>
          </w:p>
        </w:tc>
        <w:tc>
          <w:tcPr>
            <w:tcW w:w="210" w:type="pct"/>
            <w:tcMar>
              <w:left w:w="57" w:type="dxa"/>
              <w:right w:w="57" w:type="dxa"/>
            </w:tcMar>
            <w:vAlign w:val="center"/>
          </w:tcPr>
          <w:p w14:paraId="5ECD6D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间断</w:t>
            </w:r>
          </w:p>
        </w:tc>
        <w:tc>
          <w:tcPr>
            <w:tcW w:w="630" w:type="pct"/>
            <w:tcMar>
              <w:left w:w="57" w:type="dxa"/>
              <w:right w:w="57" w:type="dxa"/>
            </w:tcMar>
            <w:vAlign w:val="center"/>
          </w:tcPr>
          <w:p w14:paraId="6EC513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1363" w:type="pct"/>
            <w:vMerge w:val="restart"/>
            <w:tcMar>
              <w:left w:w="57" w:type="dxa"/>
              <w:right w:w="57" w:type="dxa"/>
            </w:tcMar>
            <w:vAlign w:val="center"/>
          </w:tcPr>
          <w:p w14:paraId="7B7C02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eastAsia" w:eastAsiaTheme="minorEastAsia"/>
                <w:color w:val="auto"/>
                <w:sz w:val="21"/>
                <w:szCs w:val="21"/>
                <w:highlight w:val="none"/>
              </w:rPr>
              <w:t>《危险废物贮存污染控制标准》（GB18597-2023）</w:t>
            </w:r>
          </w:p>
        </w:tc>
      </w:tr>
      <w:tr w14:paraId="37B77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8" w:type="pct"/>
            <w:vMerge w:val="continue"/>
            <w:tcMar>
              <w:left w:w="57" w:type="dxa"/>
              <w:right w:w="57" w:type="dxa"/>
            </w:tcMar>
            <w:vAlign w:val="center"/>
          </w:tcPr>
          <w:p w14:paraId="0BAD5C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309" w:type="pct"/>
            <w:tcMar>
              <w:left w:w="57" w:type="dxa"/>
              <w:right w:w="57" w:type="dxa"/>
            </w:tcMar>
            <w:vAlign w:val="center"/>
          </w:tcPr>
          <w:p w14:paraId="358FB1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维修车间</w:t>
            </w:r>
          </w:p>
        </w:tc>
        <w:tc>
          <w:tcPr>
            <w:tcW w:w="658" w:type="pct"/>
            <w:tcMar>
              <w:left w:w="57" w:type="dxa"/>
              <w:right w:w="57" w:type="dxa"/>
            </w:tcMar>
            <w:vAlign w:val="center"/>
          </w:tcPr>
          <w:p w14:paraId="2C409D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废机油</w:t>
            </w:r>
          </w:p>
        </w:tc>
        <w:tc>
          <w:tcPr>
            <w:tcW w:w="559" w:type="pct"/>
            <w:vMerge w:val="continue"/>
            <w:tcMar>
              <w:left w:w="57" w:type="dxa"/>
              <w:right w:w="57" w:type="dxa"/>
            </w:tcMar>
            <w:vAlign w:val="center"/>
          </w:tcPr>
          <w:p w14:paraId="0E32F0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c>
          <w:tcPr>
            <w:tcW w:w="634" w:type="pct"/>
            <w:tcMar>
              <w:left w:w="57" w:type="dxa"/>
              <w:right w:w="57" w:type="dxa"/>
            </w:tcMar>
            <w:vAlign w:val="center"/>
          </w:tcPr>
          <w:p w14:paraId="34769D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446" w:type="pct"/>
            <w:tcMar>
              <w:left w:w="57" w:type="dxa"/>
              <w:right w:w="57" w:type="dxa"/>
            </w:tcMar>
            <w:vAlign w:val="center"/>
          </w:tcPr>
          <w:p w14:paraId="7826BA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0.01</w:t>
            </w:r>
          </w:p>
        </w:tc>
        <w:tc>
          <w:tcPr>
            <w:tcW w:w="210" w:type="pct"/>
            <w:tcMar>
              <w:left w:w="57" w:type="dxa"/>
              <w:right w:w="57" w:type="dxa"/>
            </w:tcMar>
            <w:vAlign w:val="center"/>
          </w:tcPr>
          <w:p w14:paraId="4815D3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间断</w:t>
            </w:r>
          </w:p>
        </w:tc>
        <w:tc>
          <w:tcPr>
            <w:tcW w:w="630" w:type="pct"/>
            <w:tcMar>
              <w:left w:w="57" w:type="dxa"/>
              <w:right w:w="57" w:type="dxa"/>
            </w:tcMar>
            <w:vAlign w:val="center"/>
          </w:tcPr>
          <w:p w14:paraId="0FB868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r>
              <w:rPr>
                <w:rFonts w:hint="default" w:eastAsiaTheme="minorEastAsia"/>
                <w:color w:val="auto"/>
                <w:sz w:val="21"/>
                <w:szCs w:val="21"/>
                <w:highlight w:val="none"/>
              </w:rPr>
              <w:t>/</w:t>
            </w:r>
          </w:p>
        </w:tc>
        <w:tc>
          <w:tcPr>
            <w:tcW w:w="1363" w:type="pct"/>
            <w:vMerge w:val="continue"/>
            <w:tcMar>
              <w:left w:w="57" w:type="dxa"/>
              <w:right w:w="57" w:type="dxa"/>
            </w:tcMar>
            <w:vAlign w:val="center"/>
          </w:tcPr>
          <w:p w14:paraId="79768C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Theme="minorEastAsia"/>
                <w:color w:val="auto"/>
                <w:sz w:val="21"/>
                <w:szCs w:val="21"/>
                <w:highlight w:val="none"/>
              </w:rPr>
            </w:pPr>
          </w:p>
        </w:tc>
      </w:tr>
    </w:tbl>
    <w:p w14:paraId="133D0C01">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p>
    <w:p w14:paraId="5F0E52C1">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39" w:name="_Toc26795"/>
      <w:r>
        <w:rPr>
          <w:rFonts w:hint="eastAsia" w:ascii="Times New Roman" w:hAnsi="Times New Roman" w:eastAsia="黑体" w:cs="Times New Roman"/>
          <w:bCs/>
          <w:color w:val="auto"/>
          <w:spacing w:val="0"/>
          <w:w w:val="100"/>
          <w:kern w:val="28"/>
          <w:sz w:val="30"/>
          <w:szCs w:val="30"/>
          <w:highlight w:val="none"/>
          <w:lang w:val="en-US" w:eastAsia="zh-CN" w:bidi="ar-SA"/>
        </w:rPr>
        <w:t>其他环境管理</w:t>
      </w:r>
      <w:bookmarkEnd w:id="339"/>
    </w:p>
    <w:p w14:paraId="35382165">
      <w:pPr>
        <w:pageBreakBefore w:val="0"/>
        <w:tabs>
          <w:tab w:val="left" w:pos="2432"/>
        </w:tabs>
        <w:kinsoku/>
        <w:wordWrap/>
        <w:overflowPunct/>
        <w:bidi w:val="0"/>
        <w:ind w:firstLine="482"/>
        <w:rPr>
          <w:rFonts w:hint="eastAsia"/>
          <w:color w:val="auto"/>
          <w:highlight w:val="none"/>
          <w:lang w:val="en-US" w:eastAsia="zh-CN"/>
        </w:rPr>
      </w:pPr>
      <w:r>
        <w:rPr>
          <w:rFonts w:hint="eastAsia" w:ascii="Times New Roman" w:eastAsia="宋体"/>
          <w:color w:val="auto"/>
          <w:highlight w:val="none"/>
          <w:lang w:val="en-US" w:eastAsia="zh-CN"/>
        </w:rPr>
        <w:t>除上述环境管理要求外，建设单位还应按要求执行以下：</w:t>
      </w:r>
    </w:p>
    <w:p w14:paraId="3AE05BB3">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（1）建立环境管理台账</w:t>
      </w:r>
    </w:p>
    <w:p w14:paraId="0B422296">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本项目需根据相关要求建立以下台账：</w:t>
      </w:r>
    </w:p>
    <w:p w14:paraId="1729D2F9">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污染源台账；</w:t>
      </w:r>
    </w:p>
    <w:p w14:paraId="278F708E">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环保指标、目标分解考核台账；</w:t>
      </w:r>
    </w:p>
    <w:p w14:paraId="4312C2A3">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固体废物台账：一般固废须根据《一般工业固体废物管理台账制定指南（试行）》建立好产生台账、流向台账、转运台账、贮存台账、利用台账、处置台账、贮存设施维护台账等；危险废物须根据《危险废物产生单位管理计划制定指南》记录好产生工序、危险废物特性、贮存环节、自行利用处置环节等情况；</w:t>
      </w:r>
    </w:p>
    <w:p w14:paraId="42CABA2B">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“三废”综合利用台账：主要记录固体废物的综合利用情况；</w:t>
      </w:r>
    </w:p>
    <w:p w14:paraId="5CC0AEBE">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环保治理台账；</w:t>
      </w:r>
    </w:p>
    <w:p w14:paraId="182C8CBE">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定期检查台账：记录好驱鸟、防鸟击等措施情况等；</w:t>
      </w:r>
    </w:p>
    <w:p w14:paraId="7D764D29">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清洁生产审核台账；</w:t>
      </w:r>
    </w:p>
    <w:p w14:paraId="5CFA35F4">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环保宣传、培训、教育台账；</w:t>
      </w:r>
    </w:p>
    <w:p w14:paraId="15800D1F">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环境污染事故台账等。</w:t>
      </w:r>
    </w:p>
    <w:p w14:paraId="0A133A2C">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各类原始记录内容应完整并有相关人员签字，保存三年。</w:t>
      </w:r>
    </w:p>
    <w:p w14:paraId="77565958">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（2）信息公开</w:t>
      </w:r>
    </w:p>
    <w:p w14:paraId="7C10C52D">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根据《企业环境信息依法披露管理办法》（生态环境部令 第24号）规定：企业应当按照准则编制年度环境信息依法披露报告和临时环境信息依法披露报告，并上传至企业环境信息依法披露系统，具体披露报告应包括以下：</w:t>
      </w:r>
    </w:p>
    <w:p w14:paraId="45323FAA">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①企业基本信息，包括企业生产和生态环境保护等方面的基础信息；</w:t>
      </w:r>
    </w:p>
    <w:p w14:paraId="58B872C1">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②企业环境管理信息，包括生态环境行政许可、环境保护税、环境污染责任保险、环保信用评价等方面的信息；</w:t>
      </w:r>
    </w:p>
    <w:p w14:paraId="25FFC335">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③污染物产生、治理与排放信息，包括污染防治设施，污染物排放，有毒有害物质排放，工业固体废物和危险废物产生、贮存、流向、利用、处置，自行监测等方面的信息；</w:t>
      </w:r>
    </w:p>
    <w:p w14:paraId="4EDA1B75">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④碳排放信息，包括排放量、排放设施等方面的信息；</w:t>
      </w:r>
    </w:p>
    <w:p w14:paraId="008DB04F">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⑤生态环境应急信息，包括突发环境事件应急预案、重污染天气应急响应等方面的信息；</w:t>
      </w:r>
    </w:p>
    <w:p w14:paraId="23074CF2">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⑥生态环境违法信息；</w:t>
      </w:r>
    </w:p>
    <w:p w14:paraId="48729245">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⑦本年度临时环境信息依法披露情况；</w:t>
      </w:r>
    </w:p>
    <w:p w14:paraId="094742B5">
      <w:pPr>
        <w:pageBreakBefore w:val="0"/>
        <w:tabs>
          <w:tab w:val="left" w:pos="2432"/>
        </w:tabs>
        <w:kinsoku/>
        <w:wordWrap/>
        <w:overflowPunct/>
        <w:bidi w:val="0"/>
        <w:ind w:firstLine="482"/>
        <w:rPr>
          <w:rFonts w:hint="eastAsia"/>
          <w:color w:val="auto"/>
          <w:highlight w:val="none"/>
          <w:lang w:val="en-US" w:eastAsia="zh-CN"/>
        </w:rPr>
      </w:pPr>
      <w:r>
        <w:rPr>
          <w:rFonts w:hint="eastAsia"/>
          <w:color w:val="auto"/>
          <w:highlight w:val="none"/>
          <w:lang w:val="en-US" w:eastAsia="zh-CN"/>
        </w:rPr>
        <w:t>⑧法律法规规定的其他环境信息。</w:t>
      </w:r>
    </w:p>
    <w:p w14:paraId="1CE36798">
      <w:pPr>
        <w:pageBreakBefore w:val="0"/>
        <w:tabs>
          <w:tab w:val="left" w:pos="2432"/>
        </w:tabs>
        <w:kinsoku/>
        <w:wordWrap/>
        <w:overflowPunct/>
        <w:bidi w:val="0"/>
        <w:ind w:firstLine="482"/>
        <w:rPr>
          <w:rFonts w:hint="eastAsia" w:eastAsia="宋体" w:cs="Times New Roman"/>
          <w:color w:val="auto"/>
          <w:szCs w:val="21"/>
          <w:highlight w:val="none"/>
          <w:lang w:eastAsia="zh-CN"/>
        </w:rPr>
      </w:pPr>
      <w:r>
        <w:rPr>
          <w:rFonts w:hint="eastAsia"/>
          <w:color w:val="auto"/>
          <w:highlight w:val="none"/>
          <w:lang w:val="en-US" w:eastAsia="zh-CN"/>
        </w:rPr>
        <w:t>若建设单位环境信息发生变更或有新生成时，应在环境信息生成或者变更之日起三十日内予以公开。</w:t>
      </w:r>
    </w:p>
    <w:p w14:paraId="23E61FBB">
      <w:pPr>
        <w:pageBreakBefore w:val="0"/>
        <w:tabs>
          <w:tab w:val="left" w:pos="2432"/>
        </w:tabs>
        <w:kinsoku/>
        <w:wordWrap/>
        <w:overflowPunct/>
        <w:bidi w:val="0"/>
        <w:ind w:left="0" w:leftChars="0" w:right="0" w:rightChars="0" w:firstLine="0" w:firstLineChars="0"/>
        <w:jc w:val="center"/>
        <w:rPr>
          <w:rFonts w:hint="eastAsia" w:ascii="黑体" w:hAnsi="黑体" w:eastAsia="黑体" w:cs="黑体"/>
          <w:color w:val="auto"/>
          <w:sz w:val="21"/>
          <w:szCs w:val="18"/>
          <w:highlight w:val="none"/>
          <w:lang w:eastAsia="zh-CN"/>
        </w:rPr>
        <w:sectPr>
          <w:pgSz w:w="11904" w:h="16838"/>
          <w:pgMar w:top="1474" w:right="1474" w:bottom="1474" w:left="1814" w:header="850" w:footer="850" w:gutter="113"/>
          <w:pgNumType w:fmt="decimal"/>
          <w:cols w:space="0" w:num="1"/>
          <w:docGrid w:linePitch="326" w:charSpace="0"/>
        </w:sectPr>
      </w:pPr>
    </w:p>
    <w:p w14:paraId="74C9ADF5">
      <w:pPr>
        <w:keepNext/>
        <w:keepLines/>
        <w:pageBreakBefore w:val="0"/>
        <w:widowControl w:val="0"/>
        <w:numPr>
          <w:ilvl w:val="0"/>
          <w:numId w:val="10"/>
        </w:numPr>
        <w:kinsoku/>
        <w:overflowPunct/>
        <w:bidi w:val="0"/>
        <w:spacing w:before="0" w:after="0" w:line="360" w:lineRule="auto"/>
        <w:ind w:left="425" w:leftChars="0" w:hanging="425" w:firstLineChars="0"/>
        <w:jc w:val="both"/>
        <w:outlineLvl w:val="0"/>
        <w:rPr>
          <w:rFonts w:ascii="Times New Roman" w:hAnsi="Times New Roman" w:eastAsia="黑体" w:cs="Times New Roman"/>
          <w:b w:val="0"/>
          <w:bCs w:val="0"/>
          <w:color w:val="auto"/>
          <w:kern w:val="44"/>
          <w:sz w:val="44"/>
          <w:szCs w:val="44"/>
          <w:highlight w:val="none"/>
          <w:lang w:val="en-US" w:eastAsia="zh-CN" w:bidi="ar-SA"/>
        </w:rPr>
      </w:pPr>
      <w:bookmarkStart w:id="340" w:name="_Toc32287"/>
      <w:bookmarkStart w:id="341" w:name="_Toc135735476"/>
      <w:r>
        <w:rPr>
          <w:rFonts w:hint="eastAsia" w:ascii="Times New Roman" w:hAnsi="Times New Roman" w:eastAsia="黑体" w:cs="Times New Roman"/>
          <w:b w:val="0"/>
          <w:bCs w:val="0"/>
          <w:color w:val="auto"/>
          <w:kern w:val="44"/>
          <w:sz w:val="44"/>
          <w:szCs w:val="44"/>
          <w:highlight w:val="none"/>
          <w:lang w:val="en-US" w:eastAsia="zh-CN" w:bidi="ar-SA"/>
        </w:rPr>
        <w:t>结论</w:t>
      </w:r>
      <w:bookmarkEnd w:id="340"/>
    </w:p>
    <w:bookmarkEnd w:id="341"/>
    <w:p w14:paraId="5CBDC759">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42" w:name="_Toc6286"/>
      <w:bookmarkStart w:id="343" w:name="_Toc135735477"/>
      <w:r>
        <w:rPr>
          <w:rFonts w:hint="eastAsia" w:ascii="Times New Roman" w:hAnsi="Times New Roman" w:eastAsia="黑体" w:cs="Times New Roman"/>
          <w:bCs/>
          <w:color w:val="auto"/>
          <w:spacing w:val="0"/>
          <w:w w:val="100"/>
          <w:kern w:val="28"/>
          <w:sz w:val="30"/>
          <w:szCs w:val="30"/>
          <w:highlight w:val="none"/>
          <w:lang w:val="en-US" w:eastAsia="zh-CN" w:bidi="ar-SA"/>
        </w:rPr>
        <w:t>工程概况</w:t>
      </w:r>
      <w:bookmarkEnd w:id="342"/>
    </w:p>
    <w:bookmarkEnd w:id="343"/>
    <w:p w14:paraId="03D4FFCF">
      <w:pPr>
        <w:pageBreakBefore w:val="0"/>
        <w:widowControl/>
        <w:kinsoku/>
        <w:wordWrap/>
        <w:overflowPunct/>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新疆精河通用机场建设项目所在区域行政区划隶属于博尔塔拉蒙古自治州精河县，八家户牧业四队。机场定位为A1级通用机场，飞行区等级指标3B非仪表跑道。本期工程主要建设1条长1800米、宽30米的跑道、1条垂直联络道、7个（5B2H）机位的机坪、610平方米的航管用房及塔台，以及空管、消防救援、供电等设施，配套建设空管、消防救援、场内水电、供热锅炉、油车棚、特种车库、职工生活用房等公辅工程及污水处理站、垃圾站等环保工程。本期目标年2030年，远期目标年2050年。项目总投资12624万元，拟用地面积65.2804公顷，建设单位为新疆杞福机场经营管理有限责任公司，负责项目的组织实施和日常管理。建设期限为2025-2027年。机场主要功能为开展空中游览观光、短途客货运输、农林作业、应急救援及飞行培训等通用航空业务。中远期发展成为北疆通用机场网络中的重要节点。</w:t>
      </w:r>
    </w:p>
    <w:p w14:paraId="434E5BD4">
      <w:pPr>
        <w:pageBreakBefore w:val="0"/>
        <w:widowControl/>
        <w:kinsoku/>
        <w:wordWrap/>
        <w:overflowPunct/>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场外配套的供水、供电、供气、通信、道路等基础设施由当地政府统筹建设，不在本项目评价范围内。</w:t>
      </w:r>
    </w:p>
    <w:p w14:paraId="30F69D66">
      <w:pPr>
        <w:pageBreakBefore w:val="0"/>
        <w:widowControl/>
        <w:kinsoku/>
        <w:wordWrap/>
        <w:overflowPunct/>
        <w:bidi w:val="0"/>
        <w:ind w:firstLine="480" w:firstLineChars="200"/>
        <w:jc w:val="both"/>
        <w:rPr>
          <w:rFonts w:hint="eastAsia" w:cs="Times New Roman"/>
          <w:color w:val="auto"/>
          <w:szCs w:val="21"/>
          <w:highlight w:val="none"/>
          <w:lang w:val="en-US" w:eastAsia="zh-CN"/>
        </w:rPr>
      </w:pPr>
      <w:r>
        <w:rPr>
          <w:rFonts w:hint="eastAsia" w:cs="Times New Roman"/>
          <w:color w:val="auto"/>
          <w:szCs w:val="21"/>
          <w:highlight w:val="none"/>
          <w:lang w:val="en-US" w:eastAsia="zh-CN"/>
        </w:rPr>
        <w:t>新疆精河通用机场建设将进一步完善地区综合交通运输体系和新疆维吾尔自治区航空网络布局，更好地发挥精河县的区位优势，促进精河县社会经济快速发展，提高抢险救灾、应急救援和维稳能力。2022年7月15日，中国民用航空局新疆管理局以《关于新疆精河通用机场场址审核意见的复函》（新管局函〔2022〕119号）对场址进行了批复，同意八家户牧业四队场址作为精河通用机场场址。随后精河县交通运输局委托北京天羿机场设计咨询有限公司于2024年11月编制完成了《新疆精河通用机场建设项目可行性研究报告》（新发改批复〔2024〕230号，项目代码2301-652722-66-01-797532）；2025年6月29日，民航新疆管理局委托中国民航工程咨询有限公司组织开展了精河通用机场项目初步设计及概算评审会并审议通过。</w:t>
      </w:r>
    </w:p>
    <w:p w14:paraId="0D81C224">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44" w:name="_Toc12810"/>
      <w:bookmarkStart w:id="345" w:name="_Toc135735478"/>
      <w:r>
        <w:rPr>
          <w:rFonts w:hint="eastAsia" w:eastAsia="黑体" w:cs="Times New Roman"/>
          <w:bCs/>
          <w:color w:val="auto"/>
          <w:spacing w:val="0"/>
          <w:w w:val="100"/>
          <w:kern w:val="28"/>
          <w:sz w:val="30"/>
          <w:szCs w:val="30"/>
          <w:highlight w:val="none"/>
          <w:lang w:val="en-US" w:eastAsia="zh-CN" w:bidi="ar-SA"/>
        </w:rPr>
        <w:t>相关符合性</w:t>
      </w:r>
      <w:bookmarkEnd w:id="344"/>
    </w:p>
    <w:bookmarkEnd w:id="345"/>
    <w:p w14:paraId="5EB39812">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根据《产业结构调整指导目录（2024年本）》，本项目</w:t>
      </w:r>
      <w:r>
        <w:rPr>
          <w:rFonts w:hint="eastAsia" w:cs="Times New Roman"/>
          <w:color w:val="auto"/>
          <w:szCs w:val="21"/>
          <w:highlight w:val="none"/>
          <w:lang w:eastAsia="zh-CN"/>
        </w:rPr>
        <w:t>属于</w:t>
      </w:r>
      <w:r>
        <w:rPr>
          <w:rFonts w:hint="eastAsia" w:ascii="Times New Roman" w:hAnsi="Times New Roman" w:eastAsia="宋体" w:cs="Times New Roman"/>
          <w:color w:val="auto"/>
          <w:szCs w:val="21"/>
          <w:highlight w:val="none"/>
        </w:rPr>
        <w:t>国家“鼓励类”中“二十六、航空运输”中的“3.通用航空、海上空中监督巡逻和搜救服务及设施建设，小型航空器应急起降场地建设”类，符合国家产业政策要求</w:t>
      </w:r>
      <w:r>
        <w:rPr>
          <w:rFonts w:ascii="Times New Roman" w:hAnsi="Times New Roman" w:eastAsia="宋体" w:cs="Times New Roman"/>
          <w:color w:val="auto"/>
          <w:szCs w:val="21"/>
          <w:highlight w:val="none"/>
        </w:rPr>
        <w:t>。</w:t>
      </w:r>
    </w:p>
    <w:p w14:paraId="1A5B7BA9">
      <w:pPr>
        <w:pageBreakBefore w:val="0"/>
        <w:widowControl/>
        <w:kinsoku/>
        <w:wordWrap/>
        <w:overflowPunct/>
        <w:bidi w:val="0"/>
        <w:ind w:right="6"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精河通用机场的建设将大大改善区域交通出行条件，对于新疆通用航空服务保障体系的构建以及通用航空网络的形成具有重要作用。项目符合《新疆通用航空机场布局规划（2018-2035）》《综合运输服务“十四五”发展规划》《新疆维吾尔自治区综合立体交通网规划（2021-2050年）》《精河县国土空间总体规划（2021-2035年）》（博州政函〔2024〕37号）、《“十四五”民用航空发展规划》《新疆生态环境保护“十四五”规划》（新政发〔2021〕78号）、《2023年博尔塔拉蒙古自治州“三线一单”生态环境分区管控动态更新成果》（博州环发〔2024〕16号）</w:t>
      </w:r>
      <w:r>
        <w:rPr>
          <w:rFonts w:hint="eastAsia" w:cs="Times New Roman"/>
          <w:color w:val="auto"/>
          <w:szCs w:val="21"/>
          <w:highlight w:val="none"/>
          <w:lang w:val="en-US" w:eastAsia="zh-CN"/>
        </w:rPr>
        <w:t>等文件</w:t>
      </w:r>
      <w:r>
        <w:rPr>
          <w:rFonts w:hint="eastAsia" w:cs="Times New Roman"/>
          <w:color w:val="auto"/>
          <w:szCs w:val="21"/>
          <w:highlight w:val="none"/>
          <w:lang w:eastAsia="zh-CN"/>
        </w:rPr>
        <w:t>要求。</w:t>
      </w:r>
      <w:r>
        <w:rPr>
          <w:rFonts w:hint="eastAsia" w:cs="Times New Roman"/>
          <w:color w:val="auto"/>
          <w:szCs w:val="21"/>
          <w:highlight w:val="none"/>
          <w:lang w:val="en-US" w:eastAsia="zh-CN"/>
        </w:rPr>
        <w:t>项目</w:t>
      </w:r>
      <w:r>
        <w:rPr>
          <w:rFonts w:hint="eastAsia" w:cs="Times New Roman"/>
          <w:color w:val="auto"/>
          <w:szCs w:val="21"/>
          <w:highlight w:val="none"/>
          <w:lang w:eastAsia="zh-CN"/>
        </w:rPr>
        <w:t>不涉及生态</w:t>
      </w:r>
      <w:r>
        <w:rPr>
          <w:rFonts w:hint="eastAsia" w:cs="Times New Roman"/>
          <w:color w:val="auto"/>
          <w:szCs w:val="21"/>
          <w:highlight w:val="none"/>
          <w:lang w:val="en-US" w:eastAsia="zh-CN"/>
        </w:rPr>
        <w:t>保护</w:t>
      </w:r>
      <w:r>
        <w:rPr>
          <w:rFonts w:hint="eastAsia" w:cs="Times New Roman"/>
          <w:color w:val="auto"/>
          <w:szCs w:val="21"/>
          <w:highlight w:val="none"/>
          <w:lang w:eastAsia="zh-CN"/>
        </w:rPr>
        <w:t>红线，</w:t>
      </w:r>
      <w:r>
        <w:rPr>
          <w:rFonts w:hint="eastAsia" w:cs="Times New Roman"/>
          <w:color w:val="auto"/>
          <w:szCs w:val="21"/>
          <w:highlight w:val="none"/>
          <w:lang w:val="en-US" w:eastAsia="zh-CN"/>
        </w:rPr>
        <w:t>距离最近的生态保护红线约10.8千米，为艾比湖流域生物多样性维护与防风固沙生态保护红线</w:t>
      </w:r>
      <w:r>
        <w:rPr>
          <w:rFonts w:hint="eastAsia" w:cs="Times New Roman"/>
          <w:color w:val="auto"/>
          <w:szCs w:val="21"/>
          <w:highlight w:val="none"/>
          <w:lang w:eastAsia="zh-CN"/>
        </w:rPr>
        <w:t>。</w:t>
      </w:r>
    </w:p>
    <w:p w14:paraId="0BECFA90">
      <w:pPr>
        <w:pageBreakBefore w:val="0"/>
        <w:widowControl/>
        <w:kinsoku/>
        <w:wordWrap/>
        <w:overflowPunct/>
        <w:bidi w:val="0"/>
        <w:ind w:right="6" w:firstLine="480" w:firstLineChars="200"/>
        <w:jc w:val="both"/>
        <w:rPr>
          <w:rFonts w:ascii="Times New Roman" w:hAnsi="Times New Roman" w:eastAsia="宋体" w:cs="Times New Roman"/>
          <w:color w:val="auto"/>
          <w:szCs w:val="21"/>
          <w:highlight w:val="none"/>
        </w:rPr>
      </w:pPr>
      <w:r>
        <w:rPr>
          <w:rFonts w:hint="eastAsia" w:cs="Times New Roman"/>
          <w:color w:val="auto"/>
          <w:szCs w:val="21"/>
          <w:highlight w:val="none"/>
          <w:lang w:eastAsia="zh-CN"/>
        </w:rPr>
        <w:t>根据机场203</w:t>
      </w:r>
      <w:r>
        <w:rPr>
          <w:rFonts w:hint="eastAsia" w:cs="Times New Roman"/>
          <w:color w:val="auto"/>
          <w:szCs w:val="21"/>
          <w:highlight w:val="none"/>
          <w:lang w:val="en-US" w:eastAsia="zh-CN"/>
        </w:rPr>
        <w:t>0</w:t>
      </w:r>
      <w:r>
        <w:rPr>
          <w:rFonts w:hint="eastAsia" w:cs="Times New Roman"/>
          <w:color w:val="auto"/>
          <w:szCs w:val="21"/>
          <w:highlight w:val="none"/>
          <w:lang w:eastAsia="zh-CN"/>
        </w:rPr>
        <w:t>年和2050年的噪声预测影响范围与精河县总体规划的关系，机场位于精河县规划建设用地范围内，不在规划的居住用地范围内，70dB噪声等值线未进入规划的居住用地等特殊敏感区，机场噪声影响范围与规划用地相容</w:t>
      </w:r>
      <w:r>
        <w:rPr>
          <w:rFonts w:hint="eastAsia" w:ascii="Times New Roman" w:hAnsi="Times New Roman" w:eastAsia="宋体" w:cs="Times New Roman"/>
          <w:color w:val="auto"/>
          <w:szCs w:val="21"/>
          <w:highlight w:val="none"/>
        </w:rPr>
        <w:t>。</w:t>
      </w:r>
    </w:p>
    <w:p w14:paraId="72382EF9">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46" w:name="_Toc32680"/>
      <w:bookmarkStart w:id="347" w:name="_Toc135735479"/>
      <w:r>
        <w:rPr>
          <w:rFonts w:hint="eastAsia" w:eastAsia="黑体" w:cs="Times New Roman"/>
          <w:bCs/>
          <w:color w:val="auto"/>
          <w:spacing w:val="0"/>
          <w:w w:val="100"/>
          <w:kern w:val="28"/>
          <w:sz w:val="30"/>
          <w:szCs w:val="30"/>
          <w:highlight w:val="none"/>
          <w:lang w:val="en-US" w:eastAsia="zh-CN" w:bidi="ar-SA"/>
        </w:rPr>
        <w:t>生态</w:t>
      </w:r>
      <w:r>
        <w:rPr>
          <w:rFonts w:hint="eastAsia" w:ascii="Times New Roman" w:hAnsi="Times New Roman" w:eastAsia="黑体" w:cs="Times New Roman"/>
          <w:bCs/>
          <w:color w:val="auto"/>
          <w:spacing w:val="0"/>
          <w:w w:val="100"/>
          <w:kern w:val="28"/>
          <w:sz w:val="30"/>
          <w:szCs w:val="30"/>
          <w:highlight w:val="none"/>
          <w:lang w:val="en-US" w:eastAsia="zh-CN" w:bidi="ar-SA"/>
        </w:rPr>
        <w:t>环境质量现状</w:t>
      </w:r>
      <w:bookmarkEnd w:id="346"/>
    </w:p>
    <w:bookmarkEnd w:id="347"/>
    <w:p w14:paraId="61ADD4CB">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color w:val="auto"/>
          <w:kern w:val="2"/>
          <w:sz w:val="24"/>
          <w:szCs w:val="21"/>
          <w:highlight w:val="none"/>
          <w:lang w:val="en-US" w:eastAsia="zh-CN" w:bidi="ar-SA"/>
        </w:rPr>
      </w:pPr>
      <w:r>
        <w:rPr>
          <w:rFonts w:ascii="Times New Roman" w:hAnsi="Times New Roman" w:eastAsia="宋体" w:cs="Times New Roman"/>
          <w:color w:val="auto"/>
          <w:kern w:val="2"/>
          <w:sz w:val="24"/>
          <w:szCs w:val="21"/>
          <w:highlight w:val="none"/>
          <w:lang w:val="en-US" w:eastAsia="zh-CN" w:bidi="ar-SA"/>
        </w:rPr>
        <w:t>（1）声环境</w:t>
      </w:r>
      <w:r>
        <w:rPr>
          <w:rFonts w:hint="eastAsia" w:cs="Times New Roman"/>
          <w:color w:val="auto"/>
          <w:kern w:val="2"/>
          <w:sz w:val="24"/>
          <w:szCs w:val="21"/>
          <w:highlight w:val="none"/>
          <w:lang w:val="en-US" w:eastAsia="zh-CN" w:bidi="ar-SA"/>
        </w:rPr>
        <w:t>质量现状</w:t>
      </w:r>
    </w:p>
    <w:p w14:paraId="2299DAC2">
      <w:pPr>
        <w:keepNext w:val="0"/>
        <w:keepLines w:val="0"/>
        <w:pageBreakBefore w:val="0"/>
        <w:widowControl w:val="0"/>
        <w:kinsoku/>
        <w:wordWrap/>
        <w:overflowPunct/>
        <w:topLinePunct w:val="0"/>
        <w:autoSpaceDE/>
        <w:autoSpaceDN/>
        <w:bidi w:val="0"/>
        <w:adjustRightInd/>
        <w:snapToGrid/>
        <w:ind w:left="0" w:firstLine="480" w:firstLineChars="200"/>
        <w:jc w:val="both"/>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本次评价期间各点位噪声值均满足《声环境质量标准》（GB3096-2008）2类区标准要求，声环境质量良好</w:t>
      </w:r>
      <w:r>
        <w:rPr>
          <w:rFonts w:ascii="Times New Roman" w:hAnsi="Times New Roman" w:eastAsia="宋体" w:cs="Times New Roman"/>
          <w:color w:val="auto"/>
          <w:szCs w:val="18"/>
          <w:highlight w:val="none"/>
        </w:rPr>
        <w:t>。</w:t>
      </w:r>
    </w:p>
    <w:p w14:paraId="030BA7F5">
      <w:pPr>
        <w:keepNext w:val="0"/>
        <w:keepLines w:val="0"/>
        <w:pageBreakBefore w:val="0"/>
        <w:widowControl w:val="0"/>
        <w:kinsoku/>
        <w:wordWrap/>
        <w:overflowPunct/>
        <w:topLinePunct w:val="0"/>
        <w:autoSpaceDE/>
        <w:autoSpaceDN/>
        <w:bidi w:val="0"/>
        <w:adjustRightInd/>
        <w:snapToGrid/>
        <w:ind w:left="0" w:firstLine="480" w:firstLineChars="200"/>
        <w:jc w:val="both"/>
        <w:textAlignment w:val="auto"/>
        <w:rPr>
          <w:rFonts w:hint="eastAsia" w:ascii="Times New Roman" w:hAnsi="Times New Roman" w:eastAsia="宋体" w:cs="Times New Roman"/>
          <w:color w:val="auto"/>
          <w:szCs w:val="21"/>
          <w:highlight w:val="none"/>
          <w:lang w:val="en-US" w:eastAsia="zh-CN"/>
        </w:rPr>
      </w:pPr>
      <w:r>
        <w:rPr>
          <w:rFonts w:ascii="Times New Roman" w:hAnsi="Times New Roman" w:eastAsia="宋体" w:cs="Times New Roman"/>
          <w:color w:val="auto"/>
          <w:szCs w:val="21"/>
          <w:highlight w:val="none"/>
        </w:rPr>
        <w:t>（2）生态环境</w:t>
      </w:r>
      <w:r>
        <w:rPr>
          <w:rFonts w:hint="eastAsia" w:cs="Times New Roman"/>
          <w:color w:val="auto"/>
          <w:szCs w:val="21"/>
          <w:highlight w:val="none"/>
          <w:lang w:val="en-US" w:eastAsia="zh-CN"/>
        </w:rPr>
        <w:t>现状</w:t>
      </w:r>
    </w:p>
    <w:p w14:paraId="3F1B08D0">
      <w:pPr>
        <w:keepNext w:val="0"/>
        <w:keepLines w:val="0"/>
        <w:pageBreakBefore w:val="0"/>
        <w:widowControl/>
        <w:kinsoku/>
        <w:wordWrap/>
        <w:overflowPunct/>
        <w:topLinePunct w:val="0"/>
        <w:autoSpaceDE/>
        <w:autoSpaceDN/>
        <w:bidi w:val="0"/>
        <w:adjustRightInd/>
        <w:snapToGrid/>
        <w:ind w:left="0" w:firstLine="480" w:firstLineChars="200"/>
        <w:jc w:val="both"/>
        <w:textAlignment w:val="auto"/>
        <w:rPr>
          <w:rFonts w:ascii="Times New Roman" w:hAnsi="Times New Roman" w:eastAsia="宋体" w:cs="Times New Roman"/>
          <w:color w:val="auto"/>
          <w:szCs w:val="21"/>
          <w:highlight w:val="none"/>
        </w:rPr>
      </w:pPr>
      <w:r>
        <w:rPr>
          <w:rFonts w:hint="eastAsia" w:eastAsia="宋体"/>
          <w:color w:val="auto"/>
          <w:highlight w:val="none"/>
          <w:lang w:eastAsia="zh-CN"/>
        </w:rPr>
        <w:t>项目区无自然保护区、风景名胜区、水源保护区等敏感目标，主要生态敏感目标为</w:t>
      </w:r>
      <w:r>
        <w:rPr>
          <w:rFonts w:hint="eastAsia" w:ascii="Times New Roman" w:eastAsia="宋体"/>
          <w:color w:val="auto"/>
          <w:highlight w:val="none"/>
          <w:lang w:val="en-US" w:eastAsia="zh-CN"/>
        </w:rPr>
        <w:t>重要物种、永久基本农田、</w:t>
      </w:r>
      <w:r>
        <w:rPr>
          <w:rFonts w:hint="eastAsia"/>
          <w:color w:val="auto"/>
          <w:highlight w:val="none"/>
          <w:lang w:val="en-US" w:eastAsia="zh-CN"/>
        </w:rPr>
        <w:t>公益林</w:t>
      </w:r>
      <w:r>
        <w:rPr>
          <w:rFonts w:hint="eastAsia" w:ascii="Times New Roman" w:eastAsia="宋体"/>
          <w:color w:val="auto"/>
          <w:highlight w:val="none"/>
          <w:lang w:val="en-US" w:eastAsia="zh-CN"/>
        </w:rPr>
        <w:t>等；此外，艾比湖湿地鸟类重要停歇地位于本项目北侧18km处。作为本评价的关心点</w:t>
      </w:r>
      <w:r>
        <w:rPr>
          <w:rFonts w:hint="eastAsia" w:eastAsia="宋体"/>
          <w:color w:val="auto"/>
          <w:highlight w:val="none"/>
          <w:lang w:eastAsia="zh-CN"/>
        </w:rPr>
        <w:t>。</w:t>
      </w:r>
      <w:r>
        <w:rPr>
          <w:rFonts w:hint="eastAsia" w:ascii="Times New Roman" w:eastAsia="宋体"/>
          <w:color w:val="auto"/>
          <w:highlight w:val="none"/>
          <w:lang w:val="en-US" w:eastAsia="zh-CN"/>
        </w:rPr>
        <w:t>评价</w:t>
      </w:r>
      <w:r>
        <w:rPr>
          <w:rFonts w:hint="eastAsia" w:eastAsia="宋体"/>
          <w:color w:val="auto"/>
          <w:highlight w:val="none"/>
          <w:lang w:eastAsia="zh-CN"/>
        </w:rPr>
        <w:t>区域主要以</w:t>
      </w:r>
      <w:r>
        <w:rPr>
          <w:rFonts w:hint="eastAsia" w:ascii="Times New Roman" w:eastAsia="宋体"/>
          <w:color w:val="auto"/>
          <w:highlight w:val="none"/>
          <w:lang w:val="en-US" w:eastAsia="zh-CN"/>
        </w:rPr>
        <w:t>农田</w:t>
      </w:r>
      <w:r>
        <w:rPr>
          <w:rFonts w:hint="eastAsia" w:eastAsia="宋体"/>
          <w:color w:val="auto"/>
          <w:highlight w:val="none"/>
          <w:lang w:eastAsia="zh-CN"/>
        </w:rPr>
        <w:t>生态系统为主，根据《新疆生态功能区划》，本项目所在区域属准噶尔盆地温性荒漠与绿洲农业生态区、准噶尔盆地西部荒漠及绿洲农业生态亚区、精河-博尔塔拉谷地绿洲农业生态功能区。</w:t>
      </w:r>
      <w:r>
        <w:rPr>
          <w:rFonts w:hint="eastAsia" w:ascii="Times New Roman" w:eastAsia="宋体"/>
          <w:color w:val="auto"/>
          <w:highlight w:val="none"/>
          <w:lang w:val="en-US" w:eastAsia="zh-CN"/>
        </w:rPr>
        <w:t>项目</w:t>
      </w:r>
      <w:r>
        <w:rPr>
          <w:rFonts w:hint="eastAsia" w:eastAsia="宋体"/>
          <w:color w:val="auto"/>
          <w:highlight w:val="none"/>
          <w:lang w:eastAsia="zh-CN"/>
        </w:rPr>
        <w:t>占地范围内的土地利用类型以水浇地为主，均为一般耕地、不占用永久基本农田；此外项目还涉及乔木林地、农村道路、沟渠、其他草地等土地利用类型。</w:t>
      </w:r>
      <w:r>
        <w:rPr>
          <w:color w:val="auto"/>
          <w:highlight w:val="none"/>
        </w:rPr>
        <w:t>所在区域植被区划属于：</w:t>
      </w:r>
      <w:r>
        <w:rPr>
          <w:rFonts w:hint="eastAsia"/>
          <w:color w:val="auto"/>
          <w:highlight w:val="none"/>
          <w:lang w:eastAsia="zh-CN"/>
        </w:rPr>
        <w:t>Ⅻ</w:t>
      </w:r>
      <w:r>
        <w:rPr>
          <w:color w:val="auto"/>
          <w:highlight w:val="none"/>
        </w:rPr>
        <w:t>温带荒漠区域，XII</w:t>
      </w:r>
      <w:r>
        <w:rPr>
          <w:color w:val="auto"/>
          <w:highlight w:val="none"/>
          <w:vertAlign w:val="subscript"/>
        </w:rPr>
        <w:t>A</w:t>
      </w:r>
      <w:r>
        <w:rPr>
          <w:color w:val="auto"/>
          <w:highlight w:val="none"/>
        </w:rPr>
        <w:t>温带干旱半灌木、小乔木荒漠地带，XII</w:t>
      </w:r>
      <w:r>
        <w:rPr>
          <w:color w:val="auto"/>
          <w:highlight w:val="none"/>
          <w:vertAlign w:val="subscript"/>
        </w:rPr>
        <w:t>A2</w:t>
      </w:r>
      <w:r>
        <w:rPr>
          <w:color w:val="auto"/>
          <w:highlight w:val="none"/>
        </w:rPr>
        <w:t xml:space="preserve"> </w:t>
      </w:r>
      <w:r>
        <w:rPr>
          <w:rFonts w:hint="eastAsia"/>
          <w:color w:val="auto"/>
          <w:highlight w:val="none"/>
        </w:rPr>
        <w:t>天山北麓山地寒温性针叶林、草原区</w:t>
      </w:r>
      <w:r>
        <w:rPr>
          <w:rFonts w:hint="eastAsia" w:eastAsia="宋体"/>
          <w:color w:val="auto"/>
          <w:highlight w:val="none"/>
          <w:lang w:eastAsia="zh-CN"/>
        </w:rPr>
        <w:t>；评价区域的植物有13科、33种；</w:t>
      </w:r>
      <w:r>
        <w:rPr>
          <w:rFonts w:hint="eastAsia" w:ascii="Times New Roman" w:eastAsia="宋体"/>
          <w:color w:val="auto"/>
          <w:highlight w:val="none"/>
          <w:lang w:val="en-US" w:eastAsia="zh-CN"/>
        </w:rPr>
        <w:t>保护植物</w:t>
      </w:r>
      <w:r>
        <w:rPr>
          <w:rFonts w:hint="eastAsia"/>
          <w:color w:val="auto"/>
          <w:highlight w:val="none"/>
          <w:lang w:val="en-US" w:eastAsia="zh-CN"/>
        </w:rPr>
        <w:t>为</w:t>
      </w:r>
      <w:r>
        <w:rPr>
          <w:rFonts w:hint="eastAsia" w:eastAsia="宋体"/>
          <w:color w:val="auto"/>
          <w:highlight w:val="none"/>
          <w:lang w:eastAsia="zh-CN"/>
        </w:rPr>
        <w:t>自治区</w:t>
      </w:r>
      <w:r>
        <w:rPr>
          <w:rFonts w:hint="eastAsia"/>
          <w:color w:val="auto"/>
          <w:highlight w:val="none"/>
          <w:lang w:eastAsia="zh-CN"/>
        </w:rPr>
        <w:t>Ⅱ级</w:t>
      </w:r>
      <w:r>
        <w:rPr>
          <w:rFonts w:hint="eastAsia" w:eastAsia="宋体"/>
          <w:color w:val="auto"/>
          <w:highlight w:val="none"/>
          <w:lang w:eastAsia="zh-CN"/>
        </w:rPr>
        <w:t>保护植物琵琶柴（</w:t>
      </w:r>
      <w:r>
        <w:rPr>
          <w:rFonts w:hint="eastAsia" w:eastAsia="宋体"/>
          <w:i/>
          <w:iCs/>
          <w:color w:val="auto"/>
          <w:highlight w:val="none"/>
          <w:lang w:eastAsia="zh-CN"/>
        </w:rPr>
        <w:t>Reaumuria kaschgarica</w:t>
      </w:r>
      <w:r>
        <w:rPr>
          <w:rFonts w:hint="eastAsia" w:eastAsia="宋体"/>
          <w:color w:val="auto"/>
          <w:highlight w:val="none"/>
          <w:lang w:eastAsia="zh-CN"/>
        </w:rPr>
        <w:t>）。项目所在区域属于古北界，中亚亚界，蒙新区，准噶尔盆地亚区，准噶尔盆地省，耐旱荒漠动物群；项目区及周边共分布有鸟类103种，隶属于17目39科。其中，以雀形目鸟类最多，共51种；分布的国家和自治区重点保护野生动物有23种；</w:t>
      </w:r>
      <w:r>
        <w:rPr>
          <w:rFonts w:hint="eastAsia" w:ascii="Times New Roman" w:eastAsia="宋体"/>
          <w:color w:val="auto"/>
          <w:highlight w:val="none"/>
          <w:lang w:val="en-US" w:eastAsia="zh-CN"/>
        </w:rPr>
        <w:t>区域属于全球八大迁徙通道中的中亚通道、候鸟迁徙的西部迁徙区，距拟建项目区北部约18km处的艾比湖湿地鸟类重要停歇地是西部迁徙区的重要候鸟迁徙停歇地，项目区及周边的危险鸟种有24种；拟建机场飞机起降过程中有可能与普通雨燕、家燕、麻雀、家鸽、乌鸦、黑喉和苍头燕雀等，在拟建机场起降范围（特别是高度为300m以下空域）相遇，飞机起降对上述鸟类影响最大，发生鸟击事故概率较高，特别是春秋候鸟迁徙两季，需持续开展起降区鸟情监测、做好鸟击防范工作</w:t>
      </w:r>
      <w:r>
        <w:rPr>
          <w:rFonts w:hint="eastAsia" w:eastAsia="宋体"/>
          <w:color w:val="auto"/>
          <w:highlight w:val="none"/>
          <w:lang w:eastAsia="zh-CN"/>
        </w:rPr>
        <w:t>。项目占地范围内不涉及重点公益林，距离拟建机场场址最近的重点公益林（为地方公益林）约200m</w:t>
      </w:r>
      <w:r>
        <w:rPr>
          <w:rFonts w:ascii="Times New Roman" w:hAnsi="Times New Roman" w:eastAsia="宋体" w:cs="Times New Roman"/>
          <w:color w:val="auto"/>
          <w:szCs w:val="21"/>
          <w:highlight w:val="none"/>
        </w:rPr>
        <w:t>。</w:t>
      </w:r>
    </w:p>
    <w:p w14:paraId="290B7886">
      <w:pPr>
        <w:keepNext w:val="0"/>
        <w:keepLines w:val="0"/>
        <w:pageBreakBefore w:val="0"/>
        <w:widowControl/>
        <w:kinsoku/>
        <w:wordWrap/>
        <w:overflowPunct/>
        <w:topLinePunct w:val="0"/>
        <w:autoSpaceDE/>
        <w:autoSpaceDN/>
        <w:bidi w:val="0"/>
        <w:adjustRightInd/>
        <w:snapToGrid/>
        <w:ind w:left="0" w:firstLine="480" w:firstLineChars="200"/>
        <w:jc w:val="both"/>
        <w:textAlignment w:val="auto"/>
        <w:rPr>
          <w:rFonts w:hint="default" w:eastAsia="宋体"/>
          <w:color w:val="auto"/>
          <w:highlight w:val="none"/>
          <w:lang w:val="en-US" w:eastAsia="zh-CN"/>
        </w:rPr>
      </w:pPr>
      <w:r>
        <w:rPr>
          <w:rFonts w:hint="eastAsia"/>
          <w:color w:val="auto"/>
          <w:highlight w:val="none"/>
        </w:rPr>
        <w:t>（3）大气环境</w:t>
      </w:r>
      <w:r>
        <w:rPr>
          <w:rFonts w:hint="eastAsia"/>
          <w:color w:val="auto"/>
          <w:highlight w:val="none"/>
          <w:lang w:val="en-US" w:eastAsia="zh-CN"/>
        </w:rPr>
        <w:t>质量现状</w:t>
      </w:r>
    </w:p>
    <w:p w14:paraId="57D19652">
      <w:pPr>
        <w:keepNext w:val="0"/>
        <w:keepLines w:val="0"/>
        <w:pageBreakBefore w:val="0"/>
        <w:widowControl/>
        <w:kinsoku/>
        <w:wordWrap/>
        <w:overflowPunct/>
        <w:topLinePunct w:val="0"/>
        <w:autoSpaceDE/>
        <w:autoSpaceDN/>
        <w:bidi w:val="0"/>
        <w:adjustRightInd/>
        <w:snapToGrid/>
        <w:ind w:left="0" w:firstLine="480" w:firstLineChars="200"/>
        <w:jc w:val="both"/>
        <w:textAlignment w:val="auto"/>
        <w:rPr>
          <w:rFonts w:hint="eastAsia" w:cs="Times New Roman"/>
          <w:color w:val="auto"/>
          <w:spacing w:val="9"/>
          <w:szCs w:val="21"/>
          <w:highlight w:val="none"/>
          <w:lang w:eastAsia="zh-CN"/>
        </w:rPr>
      </w:pPr>
      <w:r>
        <w:rPr>
          <w:rFonts w:hint="eastAsia"/>
          <w:color w:val="auto"/>
          <w:highlight w:val="none"/>
        </w:rPr>
        <w:t>监测期内SO</w:t>
      </w:r>
      <w:r>
        <w:rPr>
          <w:rFonts w:hint="eastAsia"/>
          <w:color w:val="auto"/>
          <w:highlight w:val="none"/>
          <w:vertAlign w:val="subscript"/>
        </w:rPr>
        <w:t>2</w:t>
      </w:r>
      <w:r>
        <w:rPr>
          <w:rFonts w:hint="eastAsia"/>
          <w:color w:val="auto"/>
          <w:highlight w:val="none"/>
        </w:rPr>
        <w:t>、NO</w:t>
      </w:r>
      <w:r>
        <w:rPr>
          <w:rFonts w:hint="eastAsia"/>
          <w:color w:val="auto"/>
          <w:highlight w:val="none"/>
          <w:vertAlign w:val="subscript"/>
        </w:rPr>
        <w:t>2</w:t>
      </w:r>
      <w:r>
        <w:rPr>
          <w:rFonts w:hint="eastAsia"/>
          <w:color w:val="auto"/>
          <w:highlight w:val="none"/>
        </w:rPr>
        <w:t>、CO和O</w:t>
      </w:r>
      <w:r>
        <w:rPr>
          <w:rFonts w:hint="eastAsia"/>
          <w:color w:val="auto"/>
          <w:highlight w:val="none"/>
          <w:vertAlign w:val="subscript"/>
        </w:rPr>
        <w:t>3</w:t>
      </w:r>
      <w:r>
        <w:rPr>
          <w:rFonts w:hint="eastAsia"/>
          <w:color w:val="auto"/>
          <w:highlight w:val="none"/>
        </w:rPr>
        <w:t>小时平均浓度满足《环境空气质量标准》（GB3095-2012）的二级标准要求；N</w:t>
      </w:r>
      <w:r>
        <w:rPr>
          <w:color w:val="auto"/>
          <w:highlight w:val="none"/>
        </w:rPr>
        <w:t>MHC</w:t>
      </w:r>
      <w:r>
        <w:rPr>
          <w:rFonts w:hint="eastAsia"/>
          <w:color w:val="auto"/>
          <w:highlight w:val="none"/>
        </w:rPr>
        <w:t>小时平均值满足《大气污染物综合排放标准》（GB16297-1996）确</w:t>
      </w:r>
      <w:r>
        <w:rPr>
          <w:rFonts w:hint="eastAsia"/>
          <w:color w:val="auto"/>
          <w:highlight w:val="none"/>
          <w:lang w:eastAsia="zh-CN"/>
        </w:rPr>
        <w:t>定的</w:t>
      </w:r>
      <w:r>
        <w:rPr>
          <w:rFonts w:hint="eastAsia"/>
          <w:color w:val="auto"/>
          <w:highlight w:val="none"/>
        </w:rPr>
        <w:t>一次浓度限值2.0mg/m</w:t>
      </w:r>
      <w:r>
        <w:rPr>
          <w:rFonts w:hint="eastAsia"/>
          <w:color w:val="auto"/>
          <w:highlight w:val="none"/>
          <w:vertAlign w:val="superscript"/>
          <w:lang w:val="en-US" w:eastAsia="zh-CN"/>
        </w:rPr>
        <w:t>3</w:t>
      </w:r>
      <w:r>
        <w:rPr>
          <w:rFonts w:hint="eastAsia"/>
          <w:color w:val="auto"/>
          <w:highlight w:val="none"/>
        </w:rPr>
        <w:t>要求；H</w:t>
      </w:r>
      <w:r>
        <w:rPr>
          <w:rFonts w:hint="eastAsia"/>
          <w:color w:val="auto"/>
          <w:highlight w:val="none"/>
          <w:vertAlign w:val="subscript"/>
        </w:rPr>
        <w:t>2</w:t>
      </w:r>
      <w:r>
        <w:rPr>
          <w:rFonts w:hint="eastAsia"/>
          <w:color w:val="auto"/>
          <w:highlight w:val="none"/>
        </w:rPr>
        <w:t>S、NH</w:t>
      </w:r>
      <w:r>
        <w:rPr>
          <w:rFonts w:hint="eastAsia"/>
          <w:color w:val="auto"/>
          <w:highlight w:val="none"/>
          <w:vertAlign w:val="subscript"/>
        </w:rPr>
        <w:t>3</w:t>
      </w:r>
      <w:r>
        <w:rPr>
          <w:rFonts w:hint="eastAsia"/>
          <w:color w:val="auto"/>
          <w:highlight w:val="none"/>
        </w:rPr>
        <w:t>小时平均浓度满足《环境影响评价技术导则 大气环境》（HJ2.2-2018）附录D中标准值要求</w:t>
      </w:r>
      <w:r>
        <w:rPr>
          <w:rFonts w:hint="eastAsia" w:cs="Times New Roman"/>
          <w:color w:val="auto"/>
          <w:spacing w:val="9"/>
          <w:szCs w:val="21"/>
          <w:highlight w:val="none"/>
          <w:lang w:eastAsia="zh-CN"/>
        </w:rPr>
        <w:t>。</w:t>
      </w:r>
    </w:p>
    <w:p w14:paraId="50F64474">
      <w:pPr>
        <w:keepNext w:val="0"/>
        <w:keepLines w:val="0"/>
        <w:pageBreakBefore w:val="0"/>
        <w:widowControl/>
        <w:kinsoku/>
        <w:wordWrap/>
        <w:overflowPunct/>
        <w:topLinePunct w:val="0"/>
        <w:autoSpaceDE/>
        <w:autoSpaceDN/>
        <w:bidi w:val="0"/>
        <w:adjustRightInd/>
        <w:snapToGrid/>
        <w:ind w:left="0" w:firstLine="516" w:firstLineChars="200"/>
        <w:jc w:val="both"/>
        <w:textAlignment w:val="auto"/>
        <w:rPr>
          <w:rFonts w:hint="default" w:cs="Times New Roman"/>
          <w:color w:val="auto"/>
          <w:spacing w:val="9"/>
          <w:szCs w:val="21"/>
          <w:highlight w:val="none"/>
          <w:lang w:val="en-US" w:eastAsia="zh-CN"/>
        </w:rPr>
      </w:pPr>
      <w:r>
        <w:rPr>
          <w:rFonts w:hint="eastAsia" w:cs="Times New Roman"/>
          <w:color w:val="auto"/>
          <w:spacing w:val="9"/>
          <w:szCs w:val="21"/>
          <w:highlight w:val="none"/>
          <w:lang w:eastAsia="zh-CN"/>
        </w:rPr>
        <w:t>（</w:t>
      </w:r>
      <w:r>
        <w:rPr>
          <w:rFonts w:hint="eastAsia" w:cs="Times New Roman"/>
          <w:color w:val="auto"/>
          <w:spacing w:val="9"/>
          <w:szCs w:val="21"/>
          <w:highlight w:val="none"/>
          <w:lang w:val="en-US" w:eastAsia="zh-CN"/>
        </w:rPr>
        <w:t>4</w:t>
      </w:r>
      <w:r>
        <w:rPr>
          <w:rFonts w:hint="eastAsia" w:cs="Times New Roman"/>
          <w:color w:val="auto"/>
          <w:spacing w:val="9"/>
          <w:szCs w:val="21"/>
          <w:highlight w:val="none"/>
          <w:lang w:eastAsia="zh-CN"/>
        </w:rPr>
        <w:t>）</w:t>
      </w:r>
      <w:r>
        <w:rPr>
          <w:rFonts w:hint="eastAsia" w:cs="Times New Roman"/>
          <w:color w:val="auto"/>
          <w:spacing w:val="9"/>
          <w:szCs w:val="21"/>
          <w:highlight w:val="none"/>
          <w:lang w:val="en-US" w:eastAsia="zh-CN"/>
        </w:rPr>
        <w:t>水环境质量现状</w:t>
      </w:r>
    </w:p>
    <w:p w14:paraId="34E48D9C">
      <w:pPr>
        <w:keepNext w:val="0"/>
        <w:keepLines w:val="0"/>
        <w:pageBreakBefore w:val="0"/>
        <w:widowControl/>
        <w:kinsoku/>
        <w:wordWrap/>
        <w:overflowPunct/>
        <w:topLinePunct w:val="0"/>
        <w:autoSpaceDE/>
        <w:autoSpaceDN/>
        <w:bidi w:val="0"/>
        <w:adjustRightInd/>
        <w:snapToGrid/>
        <w:ind w:left="0" w:firstLine="516" w:firstLineChars="200"/>
        <w:jc w:val="both"/>
        <w:textAlignment w:val="auto"/>
        <w:rPr>
          <w:rFonts w:hint="eastAsia" w:cs="Times New Roman"/>
          <w:color w:val="auto"/>
          <w:spacing w:val="9"/>
          <w:szCs w:val="21"/>
          <w:highlight w:val="none"/>
          <w:lang w:eastAsia="zh-CN"/>
        </w:rPr>
      </w:pPr>
      <w:r>
        <w:rPr>
          <w:rFonts w:hint="eastAsia" w:cs="Times New Roman"/>
          <w:color w:val="auto"/>
          <w:spacing w:val="9"/>
          <w:szCs w:val="21"/>
          <w:highlight w:val="none"/>
          <w:lang w:eastAsia="zh-CN"/>
        </w:rPr>
        <w:t>本项目评价范围内无</w:t>
      </w:r>
      <w:r>
        <w:rPr>
          <w:rFonts w:hint="eastAsia" w:cs="Times New Roman"/>
          <w:color w:val="auto"/>
          <w:spacing w:val="0"/>
          <w:kern w:val="21"/>
          <w:sz w:val="24"/>
          <w:szCs w:val="21"/>
          <w:highlight w:val="none"/>
          <w:lang w:eastAsia="zh-CN"/>
        </w:rPr>
        <w:t>地表水。</w:t>
      </w:r>
      <w:r>
        <w:rPr>
          <w:rFonts w:hint="eastAsia"/>
          <w:color w:val="auto"/>
          <w:spacing w:val="0"/>
          <w:kern w:val="21"/>
          <w:sz w:val="24"/>
          <w:szCs w:val="22"/>
          <w:highlight w:val="none"/>
        </w:rPr>
        <w:t>评价区</w:t>
      </w:r>
      <w:r>
        <w:rPr>
          <w:rFonts w:hint="eastAsia"/>
          <w:color w:val="auto"/>
          <w:spacing w:val="0"/>
          <w:kern w:val="21"/>
          <w:sz w:val="24"/>
          <w:szCs w:val="22"/>
          <w:highlight w:val="none"/>
          <w:lang w:val="en-US" w:eastAsia="zh-CN"/>
        </w:rPr>
        <w:t>地下水中</w:t>
      </w:r>
      <w:r>
        <w:rPr>
          <w:color w:val="auto"/>
          <w:spacing w:val="0"/>
          <w:kern w:val="21"/>
          <w:sz w:val="24"/>
          <w:szCs w:val="22"/>
          <w:highlight w:val="none"/>
        </w:rPr>
        <w:t>石油类均满足《地表水环境质量标准》（GB3838-2002）</w:t>
      </w:r>
      <w:r>
        <w:rPr>
          <w:rFonts w:hint="eastAsia" w:ascii="宋体" w:hAnsi="宋体" w:cs="宋体"/>
          <w:color w:val="auto"/>
          <w:spacing w:val="0"/>
          <w:kern w:val="21"/>
          <w:sz w:val="24"/>
          <w:szCs w:val="22"/>
          <w:highlight w:val="none"/>
        </w:rPr>
        <w:t>Ⅲ</w:t>
      </w:r>
      <w:r>
        <w:rPr>
          <w:color w:val="auto"/>
          <w:spacing w:val="0"/>
          <w:kern w:val="21"/>
          <w:sz w:val="24"/>
          <w:szCs w:val="22"/>
          <w:highlight w:val="none"/>
        </w:rPr>
        <w:t>类标准，其他项目均符合《地下水质量标准》（GB/T14848-2017）中</w:t>
      </w:r>
      <w:r>
        <w:rPr>
          <w:rFonts w:hint="eastAsia" w:ascii="宋体" w:hAnsi="宋体" w:cs="宋体"/>
          <w:color w:val="auto"/>
          <w:spacing w:val="0"/>
          <w:kern w:val="21"/>
          <w:sz w:val="24"/>
          <w:szCs w:val="22"/>
          <w:highlight w:val="none"/>
        </w:rPr>
        <w:t>Ⅲ</w:t>
      </w:r>
      <w:r>
        <w:rPr>
          <w:color w:val="auto"/>
          <w:spacing w:val="0"/>
          <w:kern w:val="21"/>
          <w:sz w:val="24"/>
          <w:szCs w:val="22"/>
          <w:highlight w:val="none"/>
        </w:rPr>
        <w:t>类标准限值的要求。水质良好。</w:t>
      </w:r>
      <w:r>
        <w:rPr>
          <w:color w:val="auto"/>
          <w:spacing w:val="0"/>
          <w:kern w:val="21"/>
          <w:sz w:val="24"/>
          <w:highlight w:val="none"/>
        </w:rPr>
        <w:t>监测点的地下水化学类均以HCO</w:t>
      </w:r>
      <w:r>
        <w:rPr>
          <w:color w:val="auto"/>
          <w:spacing w:val="0"/>
          <w:kern w:val="21"/>
          <w:sz w:val="24"/>
          <w:highlight w:val="none"/>
          <w:vertAlign w:val="subscript"/>
        </w:rPr>
        <w:t>3</w:t>
      </w:r>
      <w:r>
        <w:rPr>
          <w:color w:val="auto"/>
          <w:spacing w:val="0"/>
          <w:kern w:val="21"/>
          <w:sz w:val="24"/>
          <w:highlight w:val="none"/>
        </w:rPr>
        <w:t>·SO</w:t>
      </w:r>
      <w:r>
        <w:rPr>
          <w:color w:val="auto"/>
          <w:spacing w:val="0"/>
          <w:kern w:val="21"/>
          <w:sz w:val="24"/>
          <w:highlight w:val="none"/>
          <w:vertAlign w:val="subscript"/>
        </w:rPr>
        <w:t>4</w:t>
      </w:r>
      <w:r>
        <w:rPr>
          <w:color w:val="auto"/>
          <w:spacing w:val="0"/>
          <w:kern w:val="21"/>
          <w:sz w:val="24"/>
          <w:highlight w:val="none"/>
        </w:rPr>
        <w:t>•Cl-Na·Ca和SO</w:t>
      </w:r>
      <w:r>
        <w:rPr>
          <w:color w:val="auto"/>
          <w:spacing w:val="0"/>
          <w:kern w:val="21"/>
          <w:sz w:val="24"/>
          <w:highlight w:val="none"/>
          <w:vertAlign w:val="subscript"/>
        </w:rPr>
        <w:t>4</w:t>
      </w:r>
      <w:r>
        <w:rPr>
          <w:color w:val="auto"/>
          <w:spacing w:val="0"/>
          <w:kern w:val="21"/>
          <w:sz w:val="24"/>
          <w:highlight w:val="none"/>
        </w:rPr>
        <w:t>•Cl-Na·Ca、HCO</w:t>
      </w:r>
      <w:r>
        <w:rPr>
          <w:color w:val="auto"/>
          <w:spacing w:val="0"/>
          <w:kern w:val="21"/>
          <w:sz w:val="24"/>
          <w:highlight w:val="none"/>
          <w:vertAlign w:val="subscript"/>
        </w:rPr>
        <w:t>3</w:t>
      </w:r>
      <w:r>
        <w:rPr>
          <w:color w:val="auto"/>
          <w:spacing w:val="0"/>
          <w:kern w:val="21"/>
          <w:sz w:val="24"/>
          <w:highlight w:val="none"/>
        </w:rPr>
        <w:t>-Na·Ca型淡水为主；地下水矿化度＜1g/L，矿化度较低，水质状况较好；区域水质总阳离子（钠、钾、钙、镁）与阴离子（硫酸盐、氯化物、碳酸盐、重碳酸盐）毫克当量浓度相对误差不大于10%，阴阳离子平衡。</w:t>
      </w:r>
    </w:p>
    <w:p w14:paraId="711E7AC4">
      <w:pPr>
        <w:keepNext w:val="0"/>
        <w:keepLines w:val="0"/>
        <w:pageBreakBefore w:val="0"/>
        <w:widowControl/>
        <w:kinsoku/>
        <w:wordWrap/>
        <w:overflowPunct/>
        <w:topLinePunct w:val="0"/>
        <w:autoSpaceDE/>
        <w:autoSpaceDN/>
        <w:bidi w:val="0"/>
        <w:adjustRightInd/>
        <w:snapToGrid/>
        <w:ind w:left="0" w:firstLine="516" w:firstLineChars="200"/>
        <w:jc w:val="both"/>
        <w:textAlignment w:val="auto"/>
        <w:rPr>
          <w:rFonts w:hint="eastAsia" w:cs="Times New Roman"/>
          <w:color w:val="auto"/>
          <w:spacing w:val="9"/>
          <w:szCs w:val="21"/>
          <w:highlight w:val="none"/>
          <w:lang w:eastAsia="zh-CN"/>
        </w:rPr>
      </w:pPr>
      <w:r>
        <w:rPr>
          <w:rFonts w:hint="eastAsia" w:cs="Times New Roman"/>
          <w:color w:val="auto"/>
          <w:spacing w:val="9"/>
          <w:szCs w:val="21"/>
          <w:highlight w:val="none"/>
          <w:lang w:eastAsia="zh-CN"/>
        </w:rPr>
        <w:t>（</w:t>
      </w:r>
      <w:r>
        <w:rPr>
          <w:rFonts w:hint="eastAsia" w:cs="Times New Roman"/>
          <w:color w:val="auto"/>
          <w:spacing w:val="9"/>
          <w:szCs w:val="21"/>
          <w:highlight w:val="none"/>
          <w:lang w:val="en-US" w:eastAsia="zh-CN"/>
        </w:rPr>
        <w:t>5</w:t>
      </w:r>
      <w:r>
        <w:rPr>
          <w:rFonts w:hint="eastAsia" w:cs="Times New Roman"/>
          <w:color w:val="auto"/>
          <w:spacing w:val="9"/>
          <w:szCs w:val="21"/>
          <w:highlight w:val="none"/>
          <w:lang w:eastAsia="zh-CN"/>
        </w:rPr>
        <w:t>）固体废物现状</w:t>
      </w:r>
    </w:p>
    <w:p w14:paraId="53EF3D2F">
      <w:pPr>
        <w:keepNext w:val="0"/>
        <w:keepLines w:val="0"/>
        <w:pageBreakBefore w:val="0"/>
        <w:widowControl/>
        <w:kinsoku/>
        <w:wordWrap/>
        <w:overflowPunct/>
        <w:topLinePunct w:val="0"/>
        <w:autoSpaceDE/>
        <w:autoSpaceDN/>
        <w:bidi w:val="0"/>
        <w:adjustRightInd/>
        <w:snapToGrid/>
        <w:ind w:left="0" w:firstLine="480" w:firstLineChars="200"/>
        <w:jc w:val="both"/>
        <w:textAlignment w:val="auto"/>
        <w:rPr>
          <w:rFonts w:hint="eastAsia" w:cs="Times New Roman"/>
          <w:color w:val="auto"/>
          <w:spacing w:val="9"/>
          <w:szCs w:val="21"/>
          <w:highlight w:val="none"/>
          <w:lang w:eastAsia="zh-CN"/>
        </w:rPr>
      </w:pPr>
      <w:r>
        <w:rPr>
          <w:rFonts w:hint="eastAsia" w:cs="Times New Roman"/>
          <w:color w:val="auto"/>
          <w:szCs w:val="21"/>
          <w:highlight w:val="none"/>
          <w:lang w:val="en-US" w:eastAsia="zh-CN"/>
        </w:rPr>
        <w:t>本期机场航空垃圾、生活垃圾等依托精河县城镇垃圾场进行处置。精河县城镇垃圾场位于精河县城西南约10公里，G30连霍高速八家户收费站南侧约850m的砂石料场采料坑处，距离本项目约8.2km。垃圾场总占地25.64×10</w:t>
      </w:r>
      <w:r>
        <w:rPr>
          <w:rFonts w:hint="eastAsia" w:cs="Times New Roman"/>
          <w:color w:val="auto"/>
          <w:szCs w:val="21"/>
          <w:highlight w:val="none"/>
          <w:vertAlign w:val="superscript"/>
          <w:lang w:val="en-US" w:eastAsia="zh-CN"/>
        </w:rPr>
        <w:t>4</w:t>
      </w:r>
      <w:r>
        <w:rPr>
          <w:rFonts w:hint="eastAsia" w:cs="Times New Roman"/>
          <w:color w:val="auto"/>
          <w:szCs w:val="21"/>
          <w:highlight w:val="none"/>
          <w:lang w:val="en-US" w:eastAsia="zh-CN"/>
        </w:rPr>
        <w:t>m</w:t>
      </w:r>
      <w:r>
        <w:rPr>
          <w:rFonts w:hint="eastAsia" w:cs="Times New Roman"/>
          <w:color w:val="auto"/>
          <w:szCs w:val="21"/>
          <w:highlight w:val="none"/>
          <w:vertAlign w:val="superscript"/>
          <w:lang w:val="en-US" w:eastAsia="zh-CN"/>
        </w:rPr>
        <w:t>2</w:t>
      </w:r>
      <w:r>
        <w:rPr>
          <w:rFonts w:hint="eastAsia" w:cs="Times New Roman"/>
          <w:color w:val="auto"/>
          <w:szCs w:val="21"/>
          <w:highlight w:val="none"/>
          <w:lang w:val="en-US" w:eastAsia="zh-CN"/>
        </w:rPr>
        <w:t>，有效库容200×10</w:t>
      </w:r>
      <w:r>
        <w:rPr>
          <w:rFonts w:hint="eastAsia" w:cs="Times New Roman"/>
          <w:color w:val="auto"/>
          <w:szCs w:val="21"/>
          <w:highlight w:val="none"/>
          <w:vertAlign w:val="superscript"/>
          <w:lang w:val="en-US" w:eastAsia="zh-CN"/>
        </w:rPr>
        <w:t>4</w:t>
      </w:r>
      <w:r>
        <w:rPr>
          <w:rFonts w:hint="eastAsia" w:cs="Times New Roman"/>
          <w:color w:val="auto"/>
          <w:szCs w:val="21"/>
          <w:highlight w:val="none"/>
          <w:lang w:val="en-US" w:eastAsia="zh-CN"/>
        </w:rPr>
        <w:t>m</w:t>
      </w:r>
      <w:r>
        <w:rPr>
          <w:rFonts w:hint="eastAsia" w:cs="Times New Roman"/>
          <w:color w:val="auto"/>
          <w:szCs w:val="21"/>
          <w:highlight w:val="none"/>
          <w:vertAlign w:val="superscript"/>
          <w:lang w:val="en-US" w:eastAsia="zh-CN"/>
        </w:rPr>
        <w:t>3</w:t>
      </w:r>
      <w:r>
        <w:rPr>
          <w:rFonts w:hint="eastAsia" w:cs="Times New Roman"/>
          <w:color w:val="auto"/>
          <w:szCs w:val="21"/>
          <w:highlight w:val="none"/>
          <w:lang w:val="en-US" w:eastAsia="zh-CN"/>
        </w:rPr>
        <w:t>，目前日处理垃圾200t/d，2030年预计日处理垃圾量290t/d。</w:t>
      </w:r>
    </w:p>
    <w:p w14:paraId="1DBEF654">
      <w:pPr>
        <w:keepNext w:val="0"/>
        <w:keepLines w:val="0"/>
        <w:pageBreakBefore w:val="0"/>
        <w:widowControl/>
        <w:kinsoku/>
        <w:wordWrap/>
        <w:overflowPunct/>
        <w:topLinePunct w:val="0"/>
        <w:autoSpaceDE/>
        <w:autoSpaceDN/>
        <w:bidi w:val="0"/>
        <w:adjustRightInd/>
        <w:snapToGrid/>
        <w:ind w:left="0" w:firstLine="516" w:firstLineChars="200"/>
        <w:jc w:val="both"/>
        <w:textAlignment w:val="auto"/>
        <w:rPr>
          <w:rFonts w:hint="eastAsia" w:cs="Times New Roman"/>
          <w:color w:val="auto"/>
          <w:spacing w:val="9"/>
          <w:szCs w:val="21"/>
          <w:highlight w:val="none"/>
          <w:lang w:eastAsia="zh-CN"/>
        </w:rPr>
      </w:pPr>
      <w:r>
        <w:rPr>
          <w:rFonts w:hint="eastAsia" w:cs="Times New Roman"/>
          <w:color w:val="auto"/>
          <w:spacing w:val="9"/>
          <w:szCs w:val="21"/>
          <w:highlight w:val="none"/>
          <w:lang w:eastAsia="zh-CN"/>
        </w:rPr>
        <w:t>（</w:t>
      </w:r>
      <w:r>
        <w:rPr>
          <w:rFonts w:hint="eastAsia" w:cs="Times New Roman"/>
          <w:color w:val="auto"/>
          <w:spacing w:val="9"/>
          <w:szCs w:val="21"/>
          <w:highlight w:val="none"/>
          <w:lang w:val="en-US" w:eastAsia="zh-CN"/>
        </w:rPr>
        <w:t>6</w:t>
      </w:r>
      <w:r>
        <w:rPr>
          <w:rFonts w:hint="eastAsia" w:cs="Times New Roman"/>
          <w:color w:val="auto"/>
          <w:spacing w:val="9"/>
          <w:szCs w:val="21"/>
          <w:highlight w:val="none"/>
          <w:lang w:eastAsia="zh-CN"/>
        </w:rPr>
        <w:t>）土壤环境现状</w:t>
      </w:r>
    </w:p>
    <w:p w14:paraId="6C54DE79">
      <w:pPr>
        <w:keepNext w:val="0"/>
        <w:keepLines w:val="0"/>
        <w:pageBreakBefore w:val="0"/>
        <w:widowControl/>
        <w:kinsoku/>
        <w:wordWrap/>
        <w:overflowPunct/>
        <w:topLinePunct w:val="0"/>
        <w:autoSpaceDE/>
        <w:autoSpaceDN/>
        <w:bidi w:val="0"/>
        <w:adjustRightInd/>
        <w:snapToGrid/>
        <w:ind w:left="0" w:firstLine="480" w:firstLineChars="200"/>
        <w:jc w:val="both"/>
        <w:textAlignment w:val="auto"/>
        <w:rPr>
          <w:rFonts w:hint="eastAsia" w:cs="Times New Roman"/>
          <w:color w:val="auto"/>
          <w:spacing w:val="0"/>
          <w:sz w:val="24"/>
          <w:szCs w:val="21"/>
          <w:highlight w:val="none"/>
          <w:lang w:eastAsia="zh-CN"/>
        </w:rPr>
      </w:pPr>
      <w:r>
        <w:rPr>
          <w:rFonts w:hint="eastAsia" w:cs="Times New Roman"/>
          <w:color w:val="auto"/>
          <w:spacing w:val="0"/>
          <w:sz w:val="24"/>
          <w:szCs w:val="21"/>
          <w:highlight w:val="none"/>
          <w:lang w:eastAsia="zh-CN"/>
        </w:rPr>
        <w:t>项目区土壤类型为沼泽土。项目占地范围外土壤中重金属元素含量相对较低，小于《土壤环境质量 农用地土壤污染风险管控标准（试行）》（GB15618-2018）中“表.1农用地土壤污染风险筛选值（基本项目）”的pH&gt;7.5所列标准；土壤中石油烃含量较低，满足《土壤环境质量 建设用地土壤污染风险管控标准（试行）》（GB36600-2018）第二类用地风险筛选值要求。</w:t>
      </w:r>
    </w:p>
    <w:p w14:paraId="1DA0BA01">
      <w:pPr>
        <w:keepNext w:val="0"/>
        <w:keepLines w:val="0"/>
        <w:pageBreakBefore w:val="0"/>
        <w:widowControl/>
        <w:kinsoku/>
        <w:wordWrap/>
        <w:overflowPunct/>
        <w:topLinePunct w:val="0"/>
        <w:autoSpaceDE/>
        <w:autoSpaceDN/>
        <w:bidi w:val="0"/>
        <w:adjustRightInd/>
        <w:snapToGrid/>
        <w:ind w:left="0" w:firstLine="480" w:firstLineChars="200"/>
        <w:jc w:val="both"/>
        <w:textAlignment w:val="auto"/>
        <w:rPr>
          <w:rFonts w:hint="eastAsia" w:cs="Times New Roman"/>
          <w:color w:val="auto"/>
          <w:spacing w:val="0"/>
          <w:sz w:val="24"/>
          <w:szCs w:val="21"/>
          <w:highlight w:val="none"/>
          <w:lang w:eastAsia="zh-CN"/>
        </w:rPr>
      </w:pPr>
      <w:r>
        <w:rPr>
          <w:rFonts w:hint="eastAsia" w:cs="Times New Roman"/>
          <w:color w:val="auto"/>
          <w:spacing w:val="0"/>
          <w:sz w:val="24"/>
          <w:szCs w:val="21"/>
          <w:highlight w:val="none"/>
          <w:lang w:eastAsia="zh-CN"/>
        </w:rPr>
        <w:t>（</w:t>
      </w:r>
      <w:r>
        <w:rPr>
          <w:rFonts w:hint="eastAsia" w:cs="Times New Roman"/>
          <w:color w:val="auto"/>
          <w:spacing w:val="0"/>
          <w:sz w:val="24"/>
          <w:szCs w:val="21"/>
          <w:highlight w:val="none"/>
          <w:lang w:val="en-US" w:eastAsia="zh-CN"/>
        </w:rPr>
        <w:t>7</w:t>
      </w:r>
      <w:r>
        <w:rPr>
          <w:rFonts w:hint="eastAsia" w:cs="Times New Roman"/>
          <w:color w:val="auto"/>
          <w:spacing w:val="0"/>
          <w:sz w:val="24"/>
          <w:szCs w:val="21"/>
          <w:highlight w:val="none"/>
          <w:lang w:eastAsia="zh-CN"/>
        </w:rPr>
        <w:t>）电磁辐射环境现状</w:t>
      </w:r>
    </w:p>
    <w:p w14:paraId="1312C0DA">
      <w:pPr>
        <w:keepNext w:val="0"/>
        <w:keepLines w:val="0"/>
        <w:pageBreakBefore w:val="0"/>
        <w:widowControl/>
        <w:kinsoku/>
        <w:wordWrap/>
        <w:overflowPunct/>
        <w:topLinePunct w:val="0"/>
        <w:autoSpaceDE/>
        <w:autoSpaceDN/>
        <w:bidi w:val="0"/>
        <w:adjustRightInd/>
        <w:snapToGrid/>
        <w:ind w:left="0" w:firstLine="480" w:firstLineChars="200"/>
        <w:jc w:val="both"/>
        <w:textAlignment w:val="auto"/>
        <w:rPr>
          <w:rFonts w:hint="eastAsia" w:cs="Times New Roman"/>
          <w:color w:val="auto"/>
          <w:spacing w:val="0"/>
          <w:sz w:val="24"/>
          <w:szCs w:val="21"/>
          <w:highlight w:val="none"/>
          <w:lang w:eastAsia="zh-CN"/>
        </w:rPr>
      </w:pPr>
      <w:r>
        <w:rPr>
          <w:rFonts w:hint="eastAsia" w:cs="Times New Roman"/>
          <w:color w:val="auto"/>
          <w:spacing w:val="0"/>
          <w:sz w:val="24"/>
          <w:szCs w:val="21"/>
          <w:highlight w:val="none"/>
          <w:lang w:eastAsia="zh-CN"/>
        </w:rPr>
        <w:t>拟建精河通用机场本期为非仪表跑道，不设导航设备，配套设施发射功率均在300W以下，属于《辐射环境保护管理导则 电磁辐射环境影响评价方法与标准》（HJ/T10.3-1996）中的豁免设备。</w:t>
      </w:r>
    </w:p>
    <w:p w14:paraId="03C32D2A">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48" w:name="_Toc2891"/>
      <w:bookmarkStart w:id="349" w:name="_Toc135735480"/>
      <w:r>
        <w:rPr>
          <w:rFonts w:hint="eastAsia" w:ascii="Times New Roman" w:hAnsi="Times New Roman" w:eastAsia="黑体" w:cs="Times New Roman"/>
          <w:bCs/>
          <w:color w:val="auto"/>
          <w:spacing w:val="0"/>
          <w:w w:val="100"/>
          <w:kern w:val="28"/>
          <w:sz w:val="30"/>
          <w:szCs w:val="30"/>
          <w:highlight w:val="none"/>
          <w:lang w:val="en-US" w:eastAsia="zh-CN" w:bidi="ar-SA"/>
        </w:rPr>
        <w:t>污染物排放情况</w:t>
      </w:r>
      <w:bookmarkEnd w:id="348"/>
    </w:p>
    <w:bookmarkEnd w:id="349"/>
    <w:p w14:paraId="47D0CA03">
      <w:pPr>
        <w:pageBreakBefore w:val="0"/>
        <w:widowControl w:val="0"/>
        <w:kinsoku/>
        <w:wordWrap/>
        <w:overflowPunct/>
        <w:bidi w:val="0"/>
        <w:spacing w:line="360" w:lineRule="auto"/>
        <w:ind w:firstLine="480" w:firstLineChars="200"/>
        <w:jc w:val="both"/>
        <w:rPr>
          <w:rFonts w:hint="eastAsia" w:cs="Times New Roman"/>
          <w:color w:val="auto"/>
          <w:kern w:val="24"/>
          <w:sz w:val="24"/>
          <w:szCs w:val="20"/>
          <w:highlight w:val="none"/>
          <w:lang w:val="en-US" w:eastAsia="zh-CN" w:bidi="ar-SA"/>
        </w:rPr>
      </w:pPr>
      <w:r>
        <w:rPr>
          <w:rFonts w:hint="eastAsia" w:cs="Times New Roman"/>
          <w:color w:val="auto"/>
          <w:kern w:val="24"/>
          <w:sz w:val="24"/>
          <w:szCs w:val="20"/>
          <w:highlight w:val="none"/>
          <w:lang w:val="en-US" w:eastAsia="zh-CN" w:bidi="ar-SA"/>
        </w:rPr>
        <w:t>本项目</w:t>
      </w:r>
      <w:r>
        <w:rPr>
          <w:rFonts w:ascii="Times New Roman" w:hAnsi="Times New Roman" w:eastAsia="宋体" w:cs="Times New Roman"/>
          <w:color w:val="auto"/>
          <w:kern w:val="24"/>
          <w:sz w:val="24"/>
          <w:szCs w:val="20"/>
          <w:highlight w:val="none"/>
          <w:lang w:val="en-US" w:eastAsia="zh-CN" w:bidi="ar-SA"/>
        </w:rPr>
        <w:t>运营期污染物产生及排放情况详见表</w:t>
      </w:r>
      <w:r>
        <w:rPr>
          <w:rFonts w:hint="eastAsia" w:cs="Times New Roman"/>
          <w:color w:val="auto"/>
          <w:kern w:val="24"/>
          <w:sz w:val="24"/>
          <w:szCs w:val="20"/>
          <w:highlight w:val="none"/>
          <w:lang w:val="en-US" w:eastAsia="zh-CN" w:bidi="ar-SA"/>
        </w:rPr>
        <w:t>8</w:t>
      </w:r>
      <w:r>
        <w:rPr>
          <w:rFonts w:ascii="Times New Roman" w:hAnsi="Times New Roman" w:eastAsia="宋体" w:cs="Times New Roman"/>
          <w:color w:val="auto"/>
          <w:kern w:val="24"/>
          <w:sz w:val="24"/>
          <w:szCs w:val="20"/>
          <w:highlight w:val="none"/>
          <w:lang w:val="en-US" w:eastAsia="zh-CN" w:bidi="ar-SA"/>
        </w:rPr>
        <w:t>.4-1</w:t>
      </w:r>
      <w:r>
        <w:rPr>
          <w:rFonts w:hint="eastAsia" w:cs="Times New Roman"/>
          <w:color w:val="auto"/>
          <w:kern w:val="24"/>
          <w:sz w:val="24"/>
          <w:szCs w:val="20"/>
          <w:highlight w:val="none"/>
          <w:lang w:val="en-US" w:eastAsia="zh-CN" w:bidi="ar-SA"/>
        </w:rPr>
        <w:t>。</w:t>
      </w:r>
    </w:p>
    <w:p w14:paraId="0E1C9D5A">
      <w:pPr>
        <w:pageBreakBefore w:val="0"/>
        <w:widowControl w:val="0"/>
        <w:kinsoku/>
        <w:wordWrap/>
        <w:overflowPunct/>
        <w:bidi w:val="0"/>
        <w:adjustRightInd w:val="0"/>
        <w:snapToGrid w:val="0"/>
        <w:spacing w:line="276" w:lineRule="auto"/>
        <w:ind w:left="0" w:leftChars="0" w:right="0" w:rightChars="0" w:firstLine="0" w:firstLineChars="0"/>
        <w:jc w:val="center"/>
        <w:rPr>
          <w:rFonts w:hint="default" w:ascii="Times New Roman" w:hAnsi="Times New Roman" w:eastAsia="黑体" w:cs="Times New Roman"/>
          <w:b w:val="0"/>
          <w:bCs/>
          <w:color w:val="auto"/>
          <w:kern w:val="2"/>
          <w:sz w:val="21"/>
          <w:szCs w:val="21"/>
          <w:highlight w:val="none"/>
          <w:lang w:val="en-US" w:eastAsia="zh-CN" w:bidi="ar-SA"/>
        </w:rPr>
      </w:pPr>
      <w:r>
        <w:rPr>
          <w:rFonts w:hint="eastAsia" w:ascii="Times New Roman" w:hAnsi="Times New Roman" w:eastAsia="黑体" w:cs="Times New Roman"/>
          <w:b w:val="0"/>
          <w:bCs/>
          <w:color w:val="auto"/>
          <w:kern w:val="2"/>
          <w:sz w:val="21"/>
          <w:szCs w:val="21"/>
          <w:highlight w:val="none"/>
          <w:lang w:val="en-US" w:eastAsia="zh-CN" w:bidi="ar-SA"/>
        </w:rPr>
        <w:t>表</w:t>
      </w:r>
      <w:r>
        <w:rPr>
          <w:rFonts w:hint="eastAsia" w:eastAsia="黑体" w:cs="Times New Roman"/>
          <w:b w:val="0"/>
          <w:bCs/>
          <w:color w:val="auto"/>
          <w:kern w:val="2"/>
          <w:sz w:val="21"/>
          <w:szCs w:val="21"/>
          <w:highlight w:val="none"/>
          <w:lang w:val="en-US" w:eastAsia="zh-CN" w:bidi="ar-SA"/>
        </w:rPr>
        <w:t>8</w:t>
      </w:r>
      <w:r>
        <w:rPr>
          <w:rFonts w:hint="eastAsia" w:ascii="Times New Roman" w:hAnsi="Times New Roman" w:eastAsia="黑体" w:cs="Times New Roman"/>
          <w:b w:val="0"/>
          <w:bCs/>
          <w:color w:val="auto"/>
          <w:kern w:val="2"/>
          <w:sz w:val="21"/>
          <w:szCs w:val="21"/>
          <w:highlight w:val="none"/>
          <w:lang w:val="en-US" w:eastAsia="zh-CN" w:bidi="ar-SA"/>
        </w:rPr>
        <w:t>.4-1</w:t>
      </w:r>
      <w:r>
        <w:rPr>
          <w:rFonts w:ascii="Times New Roman" w:hAnsi="Times New Roman" w:eastAsia="黑体" w:cs="Times New Roman"/>
          <w:b w:val="0"/>
          <w:bCs/>
          <w:color w:val="auto"/>
          <w:kern w:val="2"/>
          <w:sz w:val="21"/>
          <w:szCs w:val="21"/>
          <w:highlight w:val="none"/>
          <w:lang w:val="en-US" w:eastAsia="zh-CN" w:bidi="ar-SA"/>
        </w:rPr>
        <w:t xml:space="preserve"> </w:t>
      </w:r>
      <w:r>
        <w:rPr>
          <w:rFonts w:hint="eastAsia" w:eastAsia="黑体" w:cs="Times New Roman"/>
          <w:b w:val="0"/>
          <w:bCs/>
          <w:color w:val="auto"/>
          <w:kern w:val="2"/>
          <w:sz w:val="21"/>
          <w:szCs w:val="21"/>
          <w:highlight w:val="none"/>
          <w:lang w:val="en-US" w:eastAsia="zh-CN" w:bidi="ar-SA"/>
        </w:rPr>
        <w:t>本项目</w:t>
      </w:r>
      <w:r>
        <w:rPr>
          <w:rFonts w:hint="eastAsia" w:ascii="Times New Roman" w:hAnsi="Times New Roman" w:eastAsia="黑体" w:cs="Times New Roman"/>
          <w:b w:val="0"/>
          <w:bCs/>
          <w:color w:val="auto"/>
          <w:kern w:val="2"/>
          <w:sz w:val="21"/>
          <w:szCs w:val="21"/>
          <w:highlight w:val="none"/>
          <w:lang w:val="en-US" w:eastAsia="zh-CN" w:bidi="ar-SA"/>
        </w:rPr>
        <w:t>运营期污染物产生及排放情况</w:t>
      </w:r>
      <w:r>
        <w:rPr>
          <w:rFonts w:hint="eastAsia" w:eastAsia="黑体" w:cs="Times New Roman"/>
          <w:b w:val="0"/>
          <w:bCs/>
          <w:color w:val="auto"/>
          <w:kern w:val="2"/>
          <w:sz w:val="21"/>
          <w:szCs w:val="21"/>
          <w:highlight w:val="none"/>
          <w:lang w:val="en-US" w:eastAsia="zh-CN" w:bidi="ar-SA"/>
        </w:rPr>
        <w:t>一览表</w:t>
      </w:r>
    </w:p>
    <w:tbl>
      <w:tblPr>
        <w:tblStyle w:val="5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1445"/>
        <w:gridCol w:w="1933"/>
        <w:gridCol w:w="2157"/>
        <w:gridCol w:w="2282"/>
      </w:tblGrid>
      <w:tr w14:paraId="73CF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517" w:type="pct"/>
            <w:vAlign w:val="center"/>
          </w:tcPr>
          <w:p w14:paraId="0E8A2B9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内容</w:t>
            </w:r>
          </w:p>
          <w:p w14:paraId="6F68A82D">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类型</w:t>
            </w:r>
          </w:p>
        </w:tc>
        <w:tc>
          <w:tcPr>
            <w:tcW w:w="828" w:type="pct"/>
            <w:vAlign w:val="center"/>
          </w:tcPr>
          <w:p w14:paraId="084A960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排放源</w:t>
            </w:r>
          </w:p>
        </w:tc>
        <w:tc>
          <w:tcPr>
            <w:tcW w:w="1108" w:type="pct"/>
            <w:vAlign w:val="center"/>
          </w:tcPr>
          <w:p w14:paraId="4C3B408F">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污染物名称</w:t>
            </w:r>
          </w:p>
        </w:tc>
        <w:tc>
          <w:tcPr>
            <w:tcW w:w="1236" w:type="pct"/>
            <w:vAlign w:val="center"/>
          </w:tcPr>
          <w:p w14:paraId="70EE15E4">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产生量（t/a）</w:t>
            </w:r>
          </w:p>
        </w:tc>
        <w:tc>
          <w:tcPr>
            <w:tcW w:w="1308" w:type="pct"/>
            <w:vAlign w:val="center"/>
          </w:tcPr>
          <w:p w14:paraId="6A91F42B">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排放量（t/a）</w:t>
            </w:r>
          </w:p>
        </w:tc>
      </w:tr>
      <w:tr w14:paraId="6BFE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restart"/>
            <w:vAlign w:val="center"/>
          </w:tcPr>
          <w:p w14:paraId="3D42C226">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eastAsia"/>
                <w:color w:val="auto"/>
                <w:sz w:val="21"/>
                <w:szCs w:val="21"/>
                <w:highlight w:val="none"/>
              </w:rPr>
              <w:t>噪声</w:t>
            </w:r>
          </w:p>
        </w:tc>
        <w:tc>
          <w:tcPr>
            <w:tcW w:w="828" w:type="pct"/>
            <w:shd w:val="clear" w:color="auto" w:fill="auto"/>
            <w:vAlign w:val="center"/>
          </w:tcPr>
          <w:p w14:paraId="4137CCEC">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航空器</w:t>
            </w:r>
          </w:p>
        </w:tc>
        <w:tc>
          <w:tcPr>
            <w:tcW w:w="1108" w:type="pct"/>
            <w:shd w:val="clear" w:color="auto" w:fill="auto"/>
            <w:vAlign w:val="center"/>
          </w:tcPr>
          <w:p w14:paraId="448B6AFA">
            <w:pPr>
              <w:keepNext w:val="0"/>
              <w:keepLines w:val="0"/>
              <w:widowControl w:val="0"/>
              <w:suppressLineNumbers w:val="0"/>
              <w:spacing w:before="0" w:beforeAutospacing="0" w:after="0" w:afterAutospacing="0" w:line="240" w:lineRule="atLeast"/>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航空器噪声</w:t>
            </w:r>
          </w:p>
        </w:tc>
        <w:tc>
          <w:tcPr>
            <w:tcW w:w="1236" w:type="pct"/>
            <w:shd w:val="clear" w:color="auto" w:fill="auto"/>
            <w:vAlign w:val="center"/>
          </w:tcPr>
          <w:p w14:paraId="40B19EEA">
            <w:pPr>
              <w:keepNext w:val="0"/>
              <w:keepLines w:val="0"/>
              <w:widowControl w:val="0"/>
              <w:suppressLineNumbers w:val="0"/>
              <w:spacing w:before="0" w:beforeAutospacing="0" w:after="0" w:afterAutospacing="0" w:line="240" w:lineRule="atLeast"/>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
              </w:rPr>
              <w:t>84.0</w:t>
            </w:r>
            <w:r>
              <w:rPr>
                <w:rFonts w:hint="eastAsia" w:cs="Times New Roman"/>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100.1dB</w:t>
            </w:r>
          </w:p>
        </w:tc>
        <w:tc>
          <w:tcPr>
            <w:tcW w:w="1308" w:type="pct"/>
            <w:vAlign w:val="center"/>
          </w:tcPr>
          <w:p w14:paraId="514C5129">
            <w:pPr>
              <w:keepNext w:val="0"/>
              <w:keepLines w:val="0"/>
              <w:widowControl w:val="0"/>
              <w:suppressLineNumbers w:val="0"/>
              <w:spacing w:before="0" w:beforeAutospacing="0" w:after="0" w:afterAutospacing="0" w:line="240" w:lineRule="atLeast"/>
              <w:ind w:left="0" w:leftChars="0" w:right="0" w:rightChars="0" w:firstLine="0" w:firstLineChars="0"/>
              <w:jc w:val="center"/>
              <w:rPr>
                <w:rFonts w:hint="default"/>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≤70dB</w:t>
            </w:r>
          </w:p>
        </w:tc>
      </w:tr>
      <w:tr w14:paraId="1167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0A419693">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shd w:val="clear" w:color="auto" w:fill="auto"/>
            <w:vAlign w:val="center"/>
          </w:tcPr>
          <w:p w14:paraId="5EE2D57E">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场内</w:t>
            </w:r>
            <w:r>
              <w:rPr>
                <w:rFonts w:hint="eastAsia" w:ascii="Times New Roman" w:hAnsi="Times New Roman" w:eastAsia="宋体" w:cs="Times New Roman"/>
                <w:color w:val="auto"/>
                <w:kern w:val="2"/>
                <w:sz w:val="21"/>
                <w:szCs w:val="21"/>
                <w:highlight w:val="none"/>
                <w:lang w:val="en-US" w:eastAsia="zh-CN" w:bidi="ar-SA"/>
              </w:rPr>
              <w:t>设备</w:t>
            </w:r>
          </w:p>
        </w:tc>
        <w:tc>
          <w:tcPr>
            <w:tcW w:w="1108" w:type="pct"/>
            <w:shd w:val="clear" w:color="auto" w:fill="auto"/>
            <w:vAlign w:val="center"/>
          </w:tcPr>
          <w:p w14:paraId="060C329B">
            <w:pPr>
              <w:keepNext w:val="0"/>
              <w:keepLines w:val="0"/>
              <w:widowControl w:val="0"/>
              <w:suppressLineNumbers w:val="0"/>
              <w:spacing w:before="0" w:beforeAutospacing="0" w:after="0" w:afterAutospacing="0" w:line="240" w:lineRule="atLeast"/>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设备噪声</w:t>
            </w:r>
          </w:p>
        </w:tc>
        <w:tc>
          <w:tcPr>
            <w:tcW w:w="1236" w:type="pct"/>
            <w:shd w:val="clear" w:color="auto" w:fill="auto"/>
            <w:vAlign w:val="center"/>
          </w:tcPr>
          <w:p w14:paraId="24812F86">
            <w:pPr>
              <w:keepNext w:val="0"/>
              <w:keepLines w:val="0"/>
              <w:widowControl w:val="0"/>
              <w:suppressLineNumbers w:val="0"/>
              <w:spacing w:before="0" w:beforeAutospacing="0" w:after="0" w:afterAutospacing="0" w:line="240" w:lineRule="atLeast"/>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
              </w:rPr>
              <w:t>70.0</w:t>
            </w:r>
            <w:r>
              <w:rPr>
                <w:rFonts w:hint="eastAsia" w:cs="Times New Roman"/>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110dB</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A</w:t>
            </w:r>
            <w:r>
              <w:rPr>
                <w:rFonts w:hint="eastAsia" w:cs="Times New Roman"/>
                <w:color w:val="auto"/>
                <w:kern w:val="2"/>
                <w:sz w:val="21"/>
                <w:szCs w:val="21"/>
                <w:highlight w:val="none"/>
                <w:lang w:val="en-US" w:eastAsia="zh-CN" w:bidi="ar"/>
              </w:rPr>
              <w:t>)</w:t>
            </w:r>
          </w:p>
        </w:tc>
        <w:tc>
          <w:tcPr>
            <w:tcW w:w="1308" w:type="pct"/>
            <w:vAlign w:val="center"/>
          </w:tcPr>
          <w:p w14:paraId="41F58B3F">
            <w:pPr>
              <w:keepNext w:val="0"/>
              <w:keepLines w:val="0"/>
              <w:widowControl w:val="0"/>
              <w:suppressLineNumbers w:val="0"/>
              <w:spacing w:before="0" w:beforeAutospacing="0" w:after="0" w:afterAutospacing="0" w:line="240" w:lineRule="atLeast"/>
              <w:ind w:left="0" w:leftChars="0" w:right="0" w:rightChars="0" w:firstLine="0" w:firstLineChars="0"/>
              <w:jc w:val="center"/>
              <w:rPr>
                <w:rFonts w:hint="default"/>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
              </w:rPr>
              <w:t>≤50dB</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A</w:t>
            </w:r>
            <w:r>
              <w:rPr>
                <w:rFonts w:hint="eastAsia" w:cs="Times New Roman"/>
                <w:color w:val="auto"/>
                <w:kern w:val="2"/>
                <w:sz w:val="21"/>
                <w:szCs w:val="21"/>
                <w:highlight w:val="none"/>
                <w:lang w:val="en-US" w:eastAsia="zh-CN" w:bidi="ar"/>
              </w:rPr>
              <w:t>)</w:t>
            </w:r>
          </w:p>
        </w:tc>
      </w:tr>
      <w:tr w14:paraId="1022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restart"/>
            <w:vAlign w:val="center"/>
          </w:tcPr>
          <w:p w14:paraId="66A34F7D">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eastAsia="zh-CN"/>
              </w:rPr>
            </w:pPr>
            <w:r>
              <w:rPr>
                <w:rFonts w:hint="eastAsia" w:ascii="Times New Roman" w:eastAsia="宋体"/>
                <w:color w:val="auto"/>
                <w:sz w:val="21"/>
                <w:szCs w:val="21"/>
                <w:highlight w:val="none"/>
                <w:lang w:val="en-US" w:eastAsia="zh-CN"/>
              </w:rPr>
              <w:t>无组织废气</w:t>
            </w:r>
          </w:p>
        </w:tc>
        <w:tc>
          <w:tcPr>
            <w:tcW w:w="828" w:type="pct"/>
            <w:vMerge w:val="restart"/>
            <w:vAlign w:val="center"/>
          </w:tcPr>
          <w:p w14:paraId="19F8A1BF">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飞机尾气</w:t>
            </w:r>
          </w:p>
        </w:tc>
        <w:tc>
          <w:tcPr>
            <w:tcW w:w="1108" w:type="pct"/>
            <w:vAlign w:val="center"/>
          </w:tcPr>
          <w:p w14:paraId="003B1B97">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CO</w:t>
            </w:r>
          </w:p>
        </w:tc>
        <w:tc>
          <w:tcPr>
            <w:tcW w:w="1236" w:type="pct"/>
            <w:vAlign w:val="center"/>
          </w:tcPr>
          <w:p w14:paraId="0F8BA1BD">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20.196</w:t>
            </w:r>
          </w:p>
        </w:tc>
        <w:tc>
          <w:tcPr>
            <w:tcW w:w="1308" w:type="pct"/>
            <w:vAlign w:val="center"/>
          </w:tcPr>
          <w:p w14:paraId="3C9817E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20.196</w:t>
            </w:r>
          </w:p>
        </w:tc>
      </w:tr>
      <w:tr w14:paraId="3AE0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4C898321">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06CDAA5C">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329194E8">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eastAsia"/>
                <w:color w:val="auto"/>
                <w:sz w:val="21"/>
                <w:szCs w:val="21"/>
                <w:highlight w:val="none"/>
              </w:rPr>
              <w:t>N</w:t>
            </w:r>
            <w:r>
              <w:rPr>
                <w:rFonts w:hint="default"/>
                <w:color w:val="auto"/>
                <w:sz w:val="21"/>
                <w:szCs w:val="21"/>
                <w:highlight w:val="none"/>
              </w:rPr>
              <w:t>MHC</w:t>
            </w:r>
          </w:p>
        </w:tc>
        <w:tc>
          <w:tcPr>
            <w:tcW w:w="1236" w:type="pct"/>
            <w:vAlign w:val="center"/>
          </w:tcPr>
          <w:p w14:paraId="1E722297">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5.148</w:t>
            </w:r>
          </w:p>
        </w:tc>
        <w:tc>
          <w:tcPr>
            <w:tcW w:w="1308" w:type="pct"/>
            <w:vAlign w:val="center"/>
          </w:tcPr>
          <w:p w14:paraId="53F27251">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5.148</w:t>
            </w:r>
          </w:p>
        </w:tc>
      </w:tr>
      <w:tr w14:paraId="7BB4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52C48734">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3C7FFF28">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259ABD4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SO</w:t>
            </w:r>
            <w:r>
              <w:rPr>
                <w:rFonts w:hint="default"/>
                <w:color w:val="auto"/>
                <w:sz w:val="21"/>
                <w:szCs w:val="21"/>
                <w:highlight w:val="none"/>
                <w:vertAlign w:val="subscript"/>
              </w:rPr>
              <w:t>2</w:t>
            </w:r>
          </w:p>
        </w:tc>
        <w:tc>
          <w:tcPr>
            <w:tcW w:w="1236" w:type="pct"/>
            <w:vAlign w:val="center"/>
          </w:tcPr>
          <w:p w14:paraId="26F0C447">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c>
          <w:tcPr>
            <w:tcW w:w="1308" w:type="pct"/>
            <w:vAlign w:val="center"/>
          </w:tcPr>
          <w:p w14:paraId="09223FF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w:t>
            </w:r>
          </w:p>
        </w:tc>
      </w:tr>
      <w:tr w14:paraId="682F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1F14E2EE">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4D6EED14">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415F5CD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NO</w:t>
            </w:r>
            <w:r>
              <w:rPr>
                <w:rFonts w:hint="default"/>
                <w:color w:val="auto"/>
                <w:sz w:val="21"/>
                <w:szCs w:val="21"/>
                <w:highlight w:val="none"/>
                <w:vertAlign w:val="subscript"/>
              </w:rPr>
              <w:t>X</w:t>
            </w:r>
          </w:p>
        </w:tc>
        <w:tc>
          <w:tcPr>
            <w:tcW w:w="1236" w:type="pct"/>
            <w:vAlign w:val="center"/>
          </w:tcPr>
          <w:p w14:paraId="3A4A640F">
            <w:pPr>
              <w:keepNext w:val="0"/>
              <w:keepLines w:val="0"/>
              <w:suppressLineNumbers w:val="0"/>
              <w:spacing w:before="0" w:beforeAutospacing="0" w:after="0" w:afterAutospacing="0" w:line="240" w:lineRule="atLeast"/>
              <w:ind w:left="0" w:right="0" w:firstLine="0"/>
              <w:jc w:val="center"/>
              <w:rPr>
                <w:rFonts w:hint="default" w:eastAsia="宋体"/>
                <w:color w:val="auto"/>
                <w:sz w:val="21"/>
                <w:szCs w:val="21"/>
                <w:highlight w:val="none"/>
                <w:lang w:val="en-US" w:eastAsia="zh-CN"/>
              </w:rPr>
            </w:pPr>
            <w:r>
              <w:rPr>
                <w:rFonts w:hint="default"/>
                <w:color w:val="auto"/>
                <w:sz w:val="21"/>
                <w:szCs w:val="21"/>
                <w:highlight w:val="none"/>
              </w:rPr>
              <w:t>11.237</w:t>
            </w:r>
          </w:p>
        </w:tc>
        <w:tc>
          <w:tcPr>
            <w:tcW w:w="1308" w:type="pct"/>
            <w:vAlign w:val="center"/>
          </w:tcPr>
          <w:p w14:paraId="3164FFB2">
            <w:pPr>
              <w:keepNext w:val="0"/>
              <w:keepLines w:val="0"/>
              <w:suppressLineNumbers w:val="0"/>
              <w:spacing w:before="0" w:beforeAutospacing="0" w:after="0" w:afterAutospacing="0" w:line="240" w:lineRule="atLeast"/>
              <w:ind w:left="0" w:right="0" w:firstLine="0"/>
              <w:jc w:val="center"/>
              <w:rPr>
                <w:rFonts w:hint="default" w:eastAsia="宋体"/>
                <w:color w:val="auto"/>
                <w:sz w:val="21"/>
                <w:szCs w:val="21"/>
                <w:highlight w:val="none"/>
                <w:lang w:val="en-US" w:eastAsia="zh-CN"/>
              </w:rPr>
            </w:pPr>
            <w:r>
              <w:rPr>
                <w:rFonts w:hint="default"/>
                <w:color w:val="auto"/>
                <w:sz w:val="21"/>
                <w:szCs w:val="21"/>
                <w:highlight w:val="none"/>
              </w:rPr>
              <w:t>11.237</w:t>
            </w:r>
          </w:p>
        </w:tc>
      </w:tr>
      <w:tr w14:paraId="18BE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64C3F39C">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restart"/>
            <w:vAlign w:val="center"/>
          </w:tcPr>
          <w:p w14:paraId="72DA659E">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汽车尾气</w:t>
            </w:r>
          </w:p>
        </w:tc>
        <w:tc>
          <w:tcPr>
            <w:tcW w:w="1108" w:type="pct"/>
            <w:vAlign w:val="center"/>
          </w:tcPr>
          <w:p w14:paraId="6299C1FB">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CO</w:t>
            </w:r>
          </w:p>
        </w:tc>
        <w:tc>
          <w:tcPr>
            <w:tcW w:w="1236" w:type="pct"/>
            <w:vAlign w:val="center"/>
          </w:tcPr>
          <w:p w14:paraId="287C03EF">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0.446</w:t>
            </w:r>
          </w:p>
        </w:tc>
        <w:tc>
          <w:tcPr>
            <w:tcW w:w="1308" w:type="pct"/>
            <w:vAlign w:val="center"/>
          </w:tcPr>
          <w:p w14:paraId="1FA4E57D">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0.446</w:t>
            </w:r>
          </w:p>
        </w:tc>
      </w:tr>
      <w:tr w14:paraId="1ACC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464F5A2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169B224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077264B3">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NMHC</w:t>
            </w:r>
          </w:p>
        </w:tc>
        <w:tc>
          <w:tcPr>
            <w:tcW w:w="1236" w:type="pct"/>
            <w:vAlign w:val="center"/>
          </w:tcPr>
          <w:p w14:paraId="786C2034">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0.044</w:t>
            </w:r>
          </w:p>
        </w:tc>
        <w:tc>
          <w:tcPr>
            <w:tcW w:w="1308" w:type="pct"/>
            <w:vAlign w:val="center"/>
          </w:tcPr>
          <w:p w14:paraId="6A32589A">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0.044</w:t>
            </w:r>
          </w:p>
        </w:tc>
      </w:tr>
      <w:tr w14:paraId="7D8E7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436D663B">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05C810DC">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38AD7C2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NO</w:t>
            </w:r>
            <w:r>
              <w:rPr>
                <w:rFonts w:hint="default"/>
                <w:color w:val="auto"/>
                <w:sz w:val="21"/>
                <w:szCs w:val="21"/>
                <w:highlight w:val="none"/>
                <w:vertAlign w:val="subscript"/>
              </w:rPr>
              <w:t>X</w:t>
            </w:r>
          </w:p>
        </w:tc>
        <w:tc>
          <w:tcPr>
            <w:tcW w:w="1236" w:type="pct"/>
            <w:vAlign w:val="center"/>
          </w:tcPr>
          <w:p w14:paraId="71590373">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0.018</w:t>
            </w:r>
          </w:p>
        </w:tc>
        <w:tc>
          <w:tcPr>
            <w:tcW w:w="1308" w:type="pct"/>
            <w:vAlign w:val="center"/>
          </w:tcPr>
          <w:p w14:paraId="08BEC51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0.018</w:t>
            </w:r>
          </w:p>
        </w:tc>
      </w:tr>
      <w:tr w14:paraId="6B30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699721B7">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Align w:val="center"/>
          </w:tcPr>
          <w:p w14:paraId="30FAEE70">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val="en-US" w:eastAsia="zh-CN"/>
              </w:rPr>
            </w:pPr>
            <w:r>
              <w:rPr>
                <w:rFonts w:hint="eastAsia"/>
                <w:color w:val="auto"/>
                <w:sz w:val="21"/>
                <w:szCs w:val="21"/>
                <w:highlight w:val="none"/>
              </w:rPr>
              <w:t>油车棚</w:t>
            </w:r>
            <w:r>
              <w:rPr>
                <w:rFonts w:hint="eastAsia" w:ascii="Times New Roman" w:eastAsia="宋体"/>
                <w:color w:val="auto"/>
                <w:sz w:val="21"/>
                <w:szCs w:val="21"/>
                <w:highlight w:val="none"/>
                <w:lang w:val="en-US" w:eastAsia="zh-CN"/>
              </w:rPr>
              <w:t>内罐式加油车</w:t>
            </w:r>
          </w:p>
        </w:tc>
        <w:tc>
          <w:tcPr>
            <w:tcW w:w="1108" w:type="pct"/>
            <w:vAlign w:val="center"/>
          </w:tcPr>
          <w:p w14:paraId="4A6B8B1D">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NMHC</w:t>
            </w:r>
          </w:p>
        </w:tc>
        <w:tc>
          <w:tcPr>
            <w:tcW w:w="1236" w:type="pct"/>
            <w:vAlign w:val="center"/>
          </w:tcPr>
          <w:p w14:paraId="288BFDE1">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eastAsia="zh-CN"/>
              </w:rPr>
            </w:pPr>
            <w:r>
              <w:rPr>
                <w:rFonts w:hint="default"/>
                <w:color w:val="auto"/>
                <w:sz w:val="21"/>
                <w:szCs w:val="21"/>
                <w:highlight w:val="none"/>
              </w:rPr>
              <w:t>0.04</w:t>
            </w:r>
            <w:r>
              <w:rPr>
                <w:rFonts w:hint="eastAsia" w:ascii="Times New Roman" w:eastAsia="宋体"/>
                <w:color w:val="auto"/>
                <w:sz w:val="21"/>
                <w:szCs w:val="21"/>
                <w:highlight w:val="none"/>
                <w:lang w:val="en-US" w:eastAsia="zh-CN"/>
              </w:rPr>
              <w:t>6</w:t>
            </w:r>
          </w:p>
        </w:tc>
        <w:tc>
          <w:tcPr>
            <w:tcW w:w="1308" w:type="pct"/>
            <w:vAlign w:val="center"/>
          </w:tcPr>
          <w:p w14:paraId="065A900F">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eastAsia="zh-CN"/>
              </w:rPr>
            </w:pPr>
            <w:r>
              <w:rPr>
                <w:rFonts w:hint="default"/>
                <w:color w:val="auto"/>
                <w:sz w:val="21"/>
                <w:szCs w:val="21"/>
                <w:highlight w:val="none"/>
              </w:rPr>
              <w:t>0.04</w:t>
            </w:r>
            <w:r>
              <w:rPr>
                <w:rFonts w:hint="eastAsia" w:ascii="Times New Roman" w:eastAsia="宋体"/>
                <w:color w:val="auto"/>
                <w:sz w:val="21"/>
                <w:szCs w:val="21"/>
                <w:highlight w:val="none"/>
                <w:lang w:val="en-US" w:eastAsia="zh-CN"/>
              </w:rPr>
              <w:t>6</w:t>
            </w:r>
          </w:p>
        </w:tc>
      </w:tr>
      <w:tr w14:paraId="64B9D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30E7C6EB">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Align w:val="center"/>
          </w:tcPr>
          <w:p w14:paraId="691B3CC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食堂</w:t>
            </w:r>
          </w:p>
        </w:tc>
        <w:tc>
          <w:tcPr>
            <w:tcW w:w="1108" w:type="pct"/>
            <w:shd w:val="clear" w:color="auto" w:fill="auto"/>
            <w:vAlign w:val="center"/>
          </w:tcPr>
          <w:p w14:paraId="37C2C1C6">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食堂</w:t>
            </w:r>
            <w:r>
              <w:rPr>
                <w:rFonts w:hint="default"/>
                <w:color w:val="auto"/>
                <w:sz w:val="21"/>
                <w:szCs w:val="21"/>
                <w:highlight w:val="none"/>
              </w:rPr>
              <w:t>油烟</w:t>
            </w:r>
          </w:p>
        </w:tc>
        <w:tc>
          <w:tcPr>
            <w:tcW w:w="1236" w:type="pct"/>
            <w:shd w:val="clear" w:color="auto" w:fill="auto"/>
            <w:vAlign w:val="center"/>
          </w:tcPr>
          <w:p w14:paraId="671C5341">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0.005</w:t>
            </w:r>
          </w:p>
        </w:tc>
        <w:tc>
          <w:tcPr>
            <w:tcW w:w="1308" w:type="pct"/>
            <w:shd w:val="clear" w:color="auto" w:fill="auto"/>
            <w:vAlign w:val="center"/>
          </w:tcPr>
          <w:p w14:paraId="5C51D4EF">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0.005</w:t>
            </w:r>
          </w:p>
        </w:tc>
      </w:tr>
      <w:tr w14:paraId="6748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545A124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restart"/>
            <w:vAlign w:val="center"/>
          </w:tcPr>
          <w:p w14:paraId="20A9DFE2">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污水处理站</w:t>
            </w:r>
          </w:p>
        </w:tc>
        <w:tc>
          <w:tcPr>
            <w:tcW w:w="1108" w:type="pct"/>
            <w:vAlign w:val="center"/>
          </w:tcPr>
          <w:p w14:paraId="57E579FB">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NH</w:t>
            </w:r>
            <w:r>
              <w:rPr>
                <w:rFonts w:hint="default"/>
                <w:color w:val="auto"/>
                <w:sz w:val="21"/>
                <w:szCs w:val="21"/>
                <w:highlight w:val="none"/>
                <w:vertAlign w:val="subscript"/>
              </w:rPr>
              <w:t>3</w:t>
            </w:r>
          </w:p>
        </w:tc>
        <w:tc>
          <w:tcPr>
            <w:tcW w:w="1236" w:type="pct"/>
            <w:vAlign w:val="center"/>
          </w:tcPr>
          <w:p w14:paraId="4E339365">
            <w:pPr>
              <w:keepNext w:val="0"/>
              <w:keepLines w:val="0"/>
              <w:suppressLineNumbers w:val="0"/>
              <w:spacing w:before="0" w:beforeAutospacing="0" w:after="0" w:afterAutospacing="0" w:line="240" w:lineRule="atLeast"/>
              <w:ind w:left="0" w:right="0" w:firstLine="0"/>
              <w:jc w:val="center"/>
              <w:rPr>
                <w:rFonts w:hint="default" w:eastAsia="宋体"/>
                <w:color w:val="auto"/>
                <w:sz w:val="21"/>
                <w:szCs w:val="21"/>
                <w:highlight w:val="none"/>
                <w:lang w:val="en-US" w:eastAsia="zh-CN"/>
              </w:rPr>
            </w:pPr>
            <w:r>
              <w:rPr>
                <w:rFonts w:hint="default"/>
                <w:color w:val="auto"/>
                <w:sz w:val="21"/>
                <w:szCs w:val="21"/>
                <w:highlight w:val="none"/>
              </w:rPr>
              <w:t>0.00</w:t>
            </w:r>
            <w:r>
              <w:rPr>
                <w:rFonts w:hint="eastAsia" w:ascii="Times New Roman" w:eastAsia="宋体"/>
                <w:color w:val="auto"/>
                <w:sz w:val="21"/>
                <w:szCs w:val="21"/>
                <w:highlight w:val="none"/>
                <w:lang w:val="en-US" w:eastAsia="zh-CN"/>
              </w:rPr>
              <w:t>19</w:t>
            </w:r>
          </w:p>
        </w:tc>
        <w:tc>
          <w:tcPr>
            <w:tcW w:w="1308" w:type="pct"/>
            <w:vAlign w:val="center"/>
          </w:tcPr>
          <w:p w14:paraId="6EE0ED7B">
            <w:pPr>
              <w:keepNext w:val="0"/>
              <w:keepLines w:val="0"/>
              <w:suppressLineNumbers w:val="0"/>
              <w:spacing w:before="0" w:beforeAutospacing="0" w:after="0" w:afterAutospacing="0" w:line="240" w:lineRule="atLeast"/>
              <w:ind w:left="0" w:right="0" w:firstLine="0"/>
              <w:jc w:val="center"/>
              <w:rPr>
                <w:rFonts w:hint="default" w:eastAsia="宋体"/>
                <w:color w:val="auto"/>
                <w:sz w:val="21"/>
                <w:szCs w:val="21"/>
                <w:highlight w:val="none"/>
                <w:lang w:val="en-US" w:eastAsia="zh-CN"/>
              </w:rPr>
            </w:pPr>
            <w:r>
              <w:rPr>
                <w:rFonts w:hint="default"/>
                <w:color w:val="auto"/>
                <w:sz w:val="21"/>
                <w:szCs w:val="21"/>
                <w:highlight w:val="none"/>
              </w:rPr>
              <w:t>0.00</w:t>
            </w:r>
            <w:r>
              <w:rPr>
                <w:rFonts w:hint="eastAsia" w:ascii="Times New Roman" w:eastAsia="宋体"/>
                <w:color w:val="auto"/>
                <w:sz w:val="21"/>
                <w:szCs w:val="21"/>
                <w:highlight w:val="none"/>
                <w:lang w:val="en-US" w:eastAsia="zh-CN"/>
              </w:rPr>
              <w:t>19</w:t>
            </w:r>
          </w:p>
        </w:tc>
      </w:tr>
      <w:tr w14:paraId="7A72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678D6348">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182253ED">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43E6707F">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H</w:t>
            </w:r>
            <w:r>
              <w:rPr>
                <w:rFonts w:hint="default"/>
                <w:color w:val="auto"/>
                <w:sz w:val="21"/>
                <w:szCs w:val="21"/>
                <w:highlight w:val="none"/>
                <w:vertAlign w:val="subscript"/>
              </w:rPr>
              <w:t>2</w:t>
            </w:r>
            <w:r>
              <w:rPr>
                <w:rFonts w:hint="default"/>
                <w:color w:val="auto"/>
                <w:sz w:val="21"/>
                <w:szCs w:val="21"/>
                <w:highlight w:val="none"/>
              </w:rPr>
              <w:t>S</w:t>
            </w:r>
          </w:p>
        </w:tc>
        <w:tc>
          <w:tcPr>
            <w:tcW w:w="1236" w:type="pct"/>
            <w:vAlign w:val="center"/>
          </w:tcPr>
          <w:p w14:paraId="5CC4AFAF">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eastAsia="zh-CN"/>
              </w:rPr>
            </w:pPr>
            <w:r>
              <w:rPr>
                <w:rFonts w:hint="default"/>
                <w:color w:val="auto"/>
                <w:sz w:val="21"/>
                <w:szCs w:val="21"/>
                <w:highlight w:val="none"/>
              </w:rPr>
              <w:t>0.000</w:t>
            </w:r>
            <w:r>
              <w:rPr>
                <w:rFonts w:hint="eastAsia" w:ascii="Times New Roman" w:eastAsia="宋体"/>
                <w:color w:val="auto"/>
                <w:sz w:val="21"/>
                <w:szCs w:val="21"/>
                <w:highlight w:val="none"/>
                <w:lang w:val="en-US" w:eastAsia="zh-CN"/>
              </w:rPr>
              <w:t>1</w:t>
            </w:r>
          </w:p>
        </w:tc>
        <w:tc>
          <w:tcPr>
            <w:tcW w:w="1308" w:type="pct"/>
            <w:vAlign w:val="center"/>
          </w:tcPr>
          <w:p w14:paraId="0E82D88B">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eastAsia="zh-CN"/>
              </w:rPr>
            </w:pPr>
            <w:r>
              <w:rPr>
                <w:rFonts w:hint="default"/>
                <w:color w:val="auto"/>
                <w:sz w:val="21"/>
                <w:szCs w:val="21"/>
                <w:highlight w:val="none"/>
              </w:rPr>
              <w:t>0.000</w:t>
            </w:r>
            <w:r>
              <w:rPr>
                <w:rFonts w:hint="eastAsia" w:ascii="Times New Roman" w:eastAsia="宋体"/>
                <w:color w:val="auto"/>
                <w:sz w:val="21"/>
                <w:szCs w:val="21"/>
                <w:highlight w:val="none"/>
                <w:lang w:val="en-US" w:eastAsia="zh-CN"/>
              </w:rPr>
              <w:t>1</w:t>
            </w:r>
          </w:p>
        </w:tc>
      </w:tr>
      <w:tr w14:paraId="6CAD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restart"/>
            <w:vAlign w:val="center"/>
          </w:tcPr>
          <w:p w14:paraId="2CE1099A">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eastAsia="zh-CN"/>
              </w:rPr>
            </w:pPr>
            <w:r>
              <w:rPr>
                <w:rFonts w:hint="eastAsia" w:ascii="Times New Roman" w:eastAsia="宋体"/>
                <w:color w:val="auto"/>
                <w:sz w:val="21"/>
                <w:szCs w:val="21"/>
                <w:highlight w:val="none"/>
                <w:lang w:val="en-US" w:eastAsia="zh-CN"/>
              </w:rPr>
              <w:t>废水</w:t>
            </w:r>
          </w:p>
        </w:tc>
        <w:tc>
          <w:tcPr>
            <w:tcW w:w="828" w:type="pct"/>
            <w:vMerge w:val="restart"/>
            <w:vAlign w:val="center"/>
          </w:tcPr>
          <w:p w14:paraId="415A1B19">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混合废水</w:t>
            </w:r>
          </w:p>
        </w:tc>
        <w:tc>
          <w:tcPr>
            <w:tcW w:w="1108" w:type="pct"/>
            <w:vAlign w:val="center"/>
          </w:tcPr>
          <w:p w14:paraId="43713BB0">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废水量</w:t>
            </w:r>
          </w:p>
        </w:tc>
        <w:tc>
          <w:tcPr>
            <w:tcW w:w="1236" w:type="pct"/>
            <w:vAlign w:val="center"/>
          </w:tcPr>
          <w:p w14:paraId="225FA590">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eastAsia"/>
                <w:color w:val="auto"/>
                <w:sz w:val="21"/>
                <w:szCs w:val="21"/>
                <w:highlight w:val="none"/>
              </w:rPr>
              <w:t>4191.66</w:t>
            </w:r>
          </w:p>
        </w:tc>
        <w:tc>
          <w:tcPr>
            <w:tcW w:w="1308" w:type="pct"/>
            <w:vAlign w:val="center"/>
          </w:tcPr>
          <w:p w14:paraId="6812A583">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0</w:t>
            </w:r>
          </w:p>
        </w:tc>
      </w:tr>
      <w:tr w14:paraId="638E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2F1CF1FF">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147E5613">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5F0A839A">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SS</w:t>
            </w:r>
          </w:p>
        </w:tc>
        <w:tc>
          <w:tcPr>
            <w:tcW w:w="1236" w:type="pct"/>
            <w:vAlign w:val="center"/>
          </w:tcPr>
          <w:p w14:paraId="08F8B643">
            <w:pPr>
              <w:keepNext w:val="0"/>
              <w:keepLines w:val="0"/>
              <w:suppressLineNumbers w:val="0"/>
              <w:spacing w:before="0" w:beforeAutospacing="0" w:after="0" w:afterAutospacing="0" w:line="240" w:lineRule="atLeast"/>
              <w:ind w:left="0" w:right="0" w:firstLine="0"/>
              <w:jc w:val="center"/>
              <w:rPr>
                <w:rFonts w:hint="eastAsia"/>
                <w:color w:val="auto"/>
                <w:sz w:val="21"/>
                <w:szCs w:val="21"/>
                <w:highlight w:val="none"/>
              </w:rPr>
            </w:pPr>
            <w:r>
              <w:rPr>
                <w:rFonts w:hint="eastAsia" w:ascii="Times New Roman" w:eastAsia="宋体"/>
                <w:color w:val="auto"/>
                <w:sz w:val="21"/>
                <w:szCs w:val="21"/>
                <w:highlight w:val="none"/>
                <w:lang w:val="en-US" w:eastAsia="zh-CN"/>
              </w:rPr>
              <w:t>1.6767</w:t>
            </w:r>
          </w:p>
        </w:tc>
        <w:tc>
          <w:tcPr>
            <w:tcW w:w="1308" w:type="pct"/>
            <w:vAlign w:val="center"/>
          </w:tcPr>
          <w:p w14:paraId="51B217D5">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0</w:t>
            </w:r>
          </w:p>
        </w:tc>
      </w:tr>
      <w:tr w14:paraId="7CFDE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6C8D4F45">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14C554A6">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517E9C3A">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COD</w:t>
            </w:r>
          </w:p>
        </w:tc>
        <w:tc>
          <w:tcPr>
            <w:tcW w:w="1236" w:type="pct"/>
            <w:vAlign w:val="center"/>
          </w:tcPr>
          <w:p w14:paraId="1697F29C">
            <w:pPr>
              <w:keepNext w:val="0"/>
              <w:keepLines w:val="0"/>
              <w:suppressLineNumbers w:val="0"/>
              <w:spacing w:before="0" w:beforeAutospacing="0" w:after="0" w:afterAutospacing="0" w:line="240" w:lineRule="atLeast"/>
              <w:ind w:left="0" w:right="0" w:firstLine="0"/>
              <w:jc w:val="center"/>
              <w:rPr>
                <w:rFonts w:hint="eastAsia"/>
                <w:color w:val="auto"/>
                <w:sz w:val="21"/>
                <w:szCs w:val="21"/>
                <w:highlight w:val="none"/>
              </w:rPr>
            </w:pPr>
            <w:r>
              <w:rPr>
                <w:rFonts w:hint="eastAsia" w:ascii="Times New Roman" w:eastAsia="宋体"/>
                <w:color w:val="auto"/>
                <w:sz w:val="21"/>
                <w:szCs w:val="21"/>
                <w:highlight w:val="none"/>
                <w:lang w:val="en-US" w:eastAsia="zh-CN"/>
              </w:rPr>
              <w:t>1.0898</w:t>
            </w:r>
          </w:p>
        </w:tc>
        <w:tc>
          <w:tcPr>
            <w:tcW w:w="1308" w:type="pct"/>
            <w:vAlign w:val="center"/>
          </w:tcPr>
          <w:p w14:paraId="341FA784">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0</w:t>
            </w:r>
          </w:p>
        </w:tc>
      </w:tr>
      <w:tr w14:paraId="2767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3580EA38">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7BD62985">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2AD1A50C">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BOD</w:t>
            </w:r>
            <w:r>
              <w:rPr>
                <w:rFonts w:hint="default"/>
                <w:color w:val="auto"/>
                <w:sz w:val="21"/>
                <w:szCs w:val="21"/>
                <w:highlight w:val="none"/>
                <w:vertAlign w:val="subscript"/>
              </w:rPr>
              <w:t>5</w:t>
            </w:r>
          </w:p>
        </w:tc>
        <w:tc>
          <w:tcPr>
            <w:tcW w:w="1236" w:type="pct"/>
            <w:vAlign w:val="center"/>
          </w:tcPr>
          <w:p w14:paraId="44ABC3E6">
            <w:pPr>
              <w:keepNext w:val="0"/>
              <w:keepLines w:val="0"/>
              <w:suppressLineNumbers w:val="0"/>
              <w:spacing w:before="0" w:beforeAutospacing="0" w:after="0" w:afterAutospacing="0" w:line="240" w:lineRule="atLeast"/>
              <w:ind w:left="0" w:right="0" w:firstLine="0"/>
              <w:jc w:val="center"/>
              <w:rPr>
                <w:rFonts w:hint="eastAsia"/>
                <w:color w:val="auto"/>
                <w:sz w:val="21"/>
                <w:szCs w:val="21"/>
                <w:highlight w:val="none"/>
              </w:rPr>
            </w:pPr>
            <w:r>
              <w:rPr>
                <w:rFonts w:hint="eastAsia" w:ascii="Times New Roman" w:eastAsia="宋体"/>
                <w:color w:val="auto"/>
                <w:sz w:val="21"/>
                <w:szCs w:val="21"/>
                <w:highlight w:val="none"/>
                <w:lang w:val="en-US" w:eastAsia="zh-CN"/>
              </w:rPr>
              <w:t>0.6287</w:t>
            </w:r>
          </w:p>
        </w:tc>
        <w:tc>
          <w:tcPr>
            <w:tcW w:w="1308" w:type="pct"/>
            <w:vAlign w:val="center"/>
          </w:tcPr>
          <w:p w14:paraId="12D7B536">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0</w:t>
            </w:r>
          </w:p>
        </w:tc>
      </w:tr>
      <w:tr w14:paraId="04B0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50B837B3">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Merge w:val="continue"/>
            <w:vAlign w:val="center"/>
          </w:tcPr>
          <w:p w14:paraId="6EDB1FB5">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1108" w:type="pct"/>
            <w:vAlign w:val="center"/>
          </w:tcPr>
          <w:p w14:paraId="3654C66D">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氨氮</w:t>
            </w:r>
          </w:p>
        </w:tc>
        <w:tc>
          <w:tcPr>
            <w:tcW w:w="1236" w:type="pct"/>
            <w:vAlign w:val="center"/>
          </w:tcPr>
          <w:p w14:paraId="21B8A81D">
            <w:pPr>
              <w:keepNext w:val="0"/>
              <w:keepLines w:val="0"/>
              <w:suppressLineNumbers w:val="0"/>
              <w:spacing w:before="0" w:beforeAutospacing="0" w:after="0" w:afterAutospacing="0" w:line="240" w:lineRule="atLeast"/>
              <w:ind w:left="0" w:right="0" w:firstLine="0"/>
              <w:jc w:val="center"/>
              <w:rPr>
                <w:rFonts w:hint="eastAsia"/>
                <w:color w:val="auto"/>
                <w:sz w:val="21"/>
                <w:szCs w:val="21"/>
                <w:highlight w:val="none"/>
              </w:rPr>
            </w:pPr>
            <w:r>
              <w:rPr>
                <w:rFonts w:hint="eastAsia" w:ascii="Times New Roman" w:eastAsia="宋体"/>
                <w:color w:val="auto"/>
                <w:sz w:val="21"/>
                <w:szCs w:val="21"/>
                <w:highlight w:val="none"/>
                <w:lang w:val="en-US" w:eastAsia="zh-CN"/>
              </w:rPr>
              <w:t>0.1677</w:t>
            </w:r>
          </w:p>
        </w:tc>
        <w:tc>
          <w:tcPr>
            <w:tcW w:w="1308" w:type="pct"/>
            <w:vAlign w:val="center"/>
          </w:tcPr>
          <w:p w14:paraId="6C8724E4">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0</w:t>
            </w:r>
          </w:p>
        </w:tc>
      </w:tr>
      <w:tr w14:paraId="40C3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restart"/>
            <w:vAlign w:val="center"/>
          </w:tcPr>
          <w:p w14:paraId="423116A1">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固体废物</w:t>
            </w:r>
          </w:p>
        </w:tc>
        <w:tc>
          <w:tcPr>
            <w:tcW w:w="828" w:type="pct"/>
            <w:shd w:val="clear" w:color="auto" w:fill="auto"/>
            <w:vAlign w:val="center"/>
          </w:tcPr>
          <w:p w14:paraId="158F26A8">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航空垃圾</w:t>
            </w:r>
          </w:p>
        </w:tc>
        <w:tc>
          <w:tcPr>
            <w:tcW w:w="1108" w:type="pct"/>
            <w:shd w:val="clear" w:color="auto" w:fill="auto"/>
            <w:vAlign w:val="center"/>
          </w:tcPr>
          <w:p w14:paraId="7CCCAB2B">
            <w:pPr>
              <w:keepNext w:val="0"/>
              <w:keepLines w:val="0"/>
              <w:suppressLineNumbers w:val="0"/>
              <w:spacing w:before="0" w:beforeAutospacing="0" w:after="0" w:afterAutospacing="0" w:line="240" w:lineRule="atLeast"/>
              <w:ind w:left="0" w:right="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olor w:val="auto"/>
                <w:sz w:val="21"/>
                <w:szCs w:val="21"/>
                <w:highlight w:val="none"/>
                <w:lang w:val="en-US" w:eastAsia="zh-CN"/>
              </w:rPr>
              <w:t>航空器、航站区</w:t>
            </w:r>
          </w:p>
        </w:tc>
        <w:tc>
          <w:tcPr>
            <w:tcW w:w="1236" w:type="pct"/>
            <w:shd w:val="clear" w:color="auto" w:fill="auto"/>
            <w:vAlign w:val="center"/>
          </w:tcPr>
          <w:p w14:paraId="6ED219DE">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1.2624</w:t>
            </w:r>
          </w:p>
        </w:tc>
        <w:tc>
          <w:tcPr>
            <w:tcW w:w="1308" w:type="pct"/>
            <w:shd w:val="clear" w:color="auto" w:fill="auto"/>
            <w:vAlign w:val="center"/>
          </w:tcPr>
          <w:p w14:paraId="07EBAFC9">
            <w:pPr>
              <w:keepNext w:val="0"/>
              <w:keepLines w:val="0"/>
              <w:suppressLineNumbers w:val="0"/>
              <w:spacing w:before="0" w:beforeAutospacing="0" w:after="0" w:afterAutospacing="0" w:line="240" w:lineRule="atLeast"/>
              <w:ind w:left="0" w:right="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olor w:val="auto"/>
                <w:sz w:val="21"/>
                <w:szCs w:val="21"/>
                <w:highlight w:val="none"/>
                <w:lang w:val="en-US" w:eastAsia="zh-CN"/>
              </w:rPr>
              <w:t>0</w:t>
            </w:r>
          </w:p>
        </w:tc>
      </w:tr>
      <w:tr w14:paraId="22C3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33043351">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shd w:val="clear" w:color="auto" w:fill="auto"/>
            <w:vAlign w:val="center"/>
          </w:tcPr>
          <w:p w14:paraId="03020C50">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生活垃圾</w:t>
            </w:r>
          </w:p>
        </w:tc>
        <w:tc>
          <w:tcPr>
            <w:tcW w:w="1108" w:type="pct"/>
            <w:shd w:val="clear" w:color="auto" w:fill="auto"/>
            <w:vAlign w:val="center"/>
          </w:tcPr>
          <w:p w14:paraId="58AA6690">
            <w:pPr>
              <w:keepNext w:val="0"/>
              <w:keepLines w:val="0"/>
              <w:suppressLineNumbers w:val="0"/>
              <w:spacing w:before="0" w:beforeAutospacing="0" w:after="0" w:afterAutospacing="0" w:line="240" w:lineRule="atLeast"/>
              <w:ind w:left="0" w:right="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办公</w:t>
            </w:r>
            <w:r>
              <w:rPr>
                <w:rFonts w:hint="eastAsia" w:ascii="Times New Roman" w:eastAsia="宋体"/>
                <w:color w:val="auto"/>
                <w:sz w:val="21"/>
                <w:szCs w:val="21"/>
                <w:highlight w:val="none"/>
                <w:lang w:val="en-US" w:eastAsia="zh-CN"/>
              </w:rPr>
              <w:t>区</w:t>
            </w:r>
            <w:r>
              <w:rPr>
                <w:rFonts w:hint="default"/>
                <w:color w:val="auto"/>
                <w:sz w:val="21"/>
                <w:szCs w:val="21"/>
                <w:highlight w:val="none"/>
              </w:rPr>
              <w:t>、生活</w:t>
            </w:r>
            <w:r>
              <w:rPr>
                <w:rFonts w:hint="eastAsia" w:ascii="Times New Roman" w:eastAsia="宋体"/>
                <w:color w:val="auto"/>
                <w:sz w:val="21"/>
                <w:szCs w:val="21"/>
                <w:highlight w:val="none"/>
                <w:lang w:val="en-US" w:eastAsia="zh-CN"/>
              </w:rPr>
              <w:t>区</w:t>
            </w:r>
          </w:p>
        </w:tc>
        <w:tc>
          <w:tcPr>
            <w:tcW w:w="1236" w:type="pct"/>
            <w:shd w:val="clear" w:color="auto" w:fill="auto"/>
            <w:vAlign w:val="center"/>
          </w:tcPr>
          <w:p w14:paraId="76D81CBF">
            <w:pPr>
              <w:keepNext w:val="0"/>
              <w:keepLines w:val="0"/>
              <w:suppressLineNumbers w:val="0"/>
              <w:spacing w:before="0" w:beforeAutospacing="0" w:after="0" w:afterAutospacing="0" w:line="240" w:lineRule="atLeast"/>
              <w:ind w:left="0" w:right="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5.475</w:t>
            </w:r>
            <w:r>
              <w:rPr>
                <w:rFonts w:hint="eastAsia" w:ascii="Times New Roman" w:eastAsia="宋体"/>
                <w:color w:val="auto"/>
                <w:sz w:val="21"/>
                <w:szCs w:val="21"/>
                <w:highlight w:val="none"/>
                <w:lang w:val="en-US" w:eastAsia="zh-CN"/>
              </w:rPr>
              <w:t>0</w:t>
            </w:r>
          </w:p>
        </w:tc>
        <w:tc>
          <w:tcPr>
            <w:tcW w:w="1308" w:type="pct"/>
            <w:shd w:val="clear" w:color="auto" w:fill="auto"/>
            <w:vAlign w:val="center"/>
          </w:tcPr>
          <w:p w14:paraId="325753CA">
            <w:pPr>
              <w:keepNext w:val="0"/>
              <w:keepLines w:val="0"/>
              <w:suppressLineNumbers w:val="0"/>
              <w:spacing w:before="0" w:beforeAutospacing="0" w:after="0" w:afterAutospacing="0" w:line="240" w:lineRule="atLeast"/>
              <w:ind w:left="0" w:right="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olor w:val="auto"/>
                <w:sz w:val="21"/>
                <w:szCs w:val="21"/>
                <w:highlight w:val="none"/>
                <w:lang w:val="en-US" w:eastAsia="zh-CN"/>
              </w:rPr>
              <w:t>0</w:t>
            </w:r>
          </w:p>
        </w:tc>
      </w:tr>
      <w:tr w14:paraId="2FE2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2A2A37D0">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shd w:val="clear" w:color="auto" w:fill="auto"/>
            <w:vAlign w:val="center"/>
          </w:tcPr>
          <w:p w14:paraId="02413DCE">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污水处理站</w:t>
            </w:r>
          </w:p>
        </w:tc>
        <w:tc>
          <w:tcPr>
            <w:tcW w:w="1108" w:type="pct"/>
            <w:shd w:val="clear" w:color="auto" w:fill="auto"/>
            <w:vAlign w:val="center"/>
          </w:tcPr>
          <w:p w14:paraId="079F5EE6">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污泥</w:t>
            </w:r>
          </w:p>
        </w:tc>
        <w:tc>
          <w:tcPr>
            <w:tcW w:w="1236" w:type="pct"/>
            <w:shd w:val="clear" w:color="auto" w:fill="auto"/>
            <w:vAlign w:val="center"/>
          </w:tcPr>
          <w:p w14:paraId="5B07E51D">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0.2515</w:t>
            </w:r>
          </w:p>
        </w:tc>
        <w:tc>
          <w:tcPr>
            <w:tcW w:w="1308" w:type="pct"/>
            <w:shd w:val="clear" w:color="auto" w:fill="auto"/>
            <w:vAlign w:val="center"/>
          </w:tcPr>
          <w:p w14:paraId="138F158E">
            <w:pPr>
              <w:keepNext w:val="0"/>
              <w:keepLines w:val="0"/>
              <w:suppressLineNumbers w:val="0"/>
              <w:spacing w:before="0" w:beforeAutospacing="0" w:after="0" w:afterAutospacing="0" w:line="240" w:lineRule="atLeast"/>
              <w:ind w:left="0" w:right="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olor w:val="auto"/>
                <w:sz w:val="21"/>
                <w:szCs w:val="21"/>
                <w:highlight w:val="none"/>
                <w:lang w:val="en-US" w:eastAsia="zh-CN"/>
              </w:rPr>
              <w:t>0</w:t>
            </w:r>
          </w:p>
        </w:tc>
      </w:tr>
      <w:tr w14:paraId="3263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708B2B18">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vAlign w:val="center"/>
          </w:tcPr>
          <w:p w14:paraId="2F62C127">
            <w:pPr>
              <w:keepNext w:val="0"/>
              <w:keepLines w:val="0"/>
              <w:suppressLineNumbers w:val="0"/>
              <w:spacing w:before="0" w:beforeAutospacing="0" w:after="0" w:afterAutospacing="0" w:line="240" w:lineRule="atLeast"/>
              <w:ind w:left="0" w:right="0" w:firstLine="0"/>
              <w:jc w:val="center"/>
              <w:rPr>
                <w:rFonts w:hint="eastAsia" w:eastAsia="宋体"/>
                <w:color w:val="auto"/>
                <w:sz w:val="21"/>
                <w:szCs w:val="21"/>
                <w:highlight w:val="none"/>
                <w:lang w:val="en-US" w:eastAsia="zh-CN"/>
              </w:rPr>
            </w:pPr>
            <w:r>
              <w:rPr>
                <w:rFonts w:hint="eastAsia" w:ascii="Times New Roman" w:eastAsia="宋体"/>
                <w:color w:val="auto"/>
                <w:sz w:val="21"/>
                <w:szCs w:val="21"/>
                <w:highlight w:val="none"/>
                <w:lang w:val="en-US" w:eastAsia="zh-CN"/>
              </w:rPr>
              <w:t>油车棚</w:t>
            </w:r>
          </w:p>
        </w:tc>
        <w:tc>
          <w:tcPr>
            <w:tcW w:w="1108" w:type="pct"/>
            <w:vAlign w:val="center"/>
          </w:tcPr>
          <w:p w14:paraId="49B7C49F">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eastAsia"/>
                <w:color w:val="auto"/>
                <w:sz w:val="21"/>
                <w:szCs w:val="21"/>
                <w:highlight w:val="none"/>
              </w:rPr>
              <w:t>污油、油泥</w:t>
            </w:r>
          </w:p>
        </w:tc>
        <w:tc>
          <w:tcPr>
            <w:tcW w:w="1236" w:type="pct"/>
            <w:vAlign w:val="center"/>
          </w:tcPr>
          <w:p w14:paraId="61D3A1FC">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r>
              <w:rPr>
                <w:rFonts w:hint="default"/>
                <w:color w:val="auto"/>
                <w:sz w:val="21"/>
                <w:szCs w:val="21"/>
                <w:highlight w:val="none"/>
              </w:rPr>
              <w:t>0.5</w:t>
            </w:r>
          </w:p>
        </w:tc>
        <w:tc>
          <w:tcPr>
            <w:tcW w:w="1308" w:type="pct"/>
            <w:vAlign w:val="center"/>
          </w:tcPr>
          <w:p w14:paraId="6815051F">
            <w:pPr>
              <w:keepNext w:val="0"/>
              <w:keepLines w:val="0"/>
              <w:suppressLineNumbers w:val="0"/>
              <w:spacing w:before="0" w:beforeAutospacing="0" w:after="0" w:afterAutospacing="0" w:line="240" w:lineRule="atLeast"/>
              <w:ind w:left="0" w:right="0" w:firstLine="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w:t>
            </w:r>
          </w:p>
        </w:tc>
      </w:tr>
      <w:tr w14:paraId="10B9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7" w:type="pct"/>
            <w:vMerge w:val="continue"/>
            <w:vAlign w:val="center"/>
          </w:tcPr>
          <w:p w14:paraId="72BA7D5E">
            <w:pPr>
              <w:keepNext w:val="0"/>
              <w:keepLines w:val="0"/>
              <w:suppressLineNumbers w:val="0"/>
              <w:spacing w:before="0" w:beforeAutospacing="0" w:after="0" w:afterAutospacing="0" w:line="240" w:lineRule="atLeast"/>
              <w:ind w:left="0" w:right="0" w:firstLine="0"/>
              <w:jc w:val="center"/>
              <w:rPr>
                <w:rFonts w:hint="default"/>
                <w:color w:val="auto"/>
                <w:sz w:val="21"/>
                <w:szCs w:val="21"/>
                <w:highlight w:val="none"/>
              </w:rPr>
            </w:pPr>
          </w:p>
        </w:tc>
        <w:tc>
          <w:tcPr>
            <w:tcW w:w="828" w:type="pct"/>
            <w:shd w:val="clear" w:color="auto" w:fill="auto"/>
            <w:vAlign w:val="center"/>
          </w:tcPr>
          <w:p w14:paraId="3B1A80AE">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维修车间</w:t>
            </w:r>
          </w:p>
        </w:tc>
        <w:tc>
          <w:tcPr>
            <w:tcW w:w="1108" w:type="pct"/>
            <w:shd w:val="clear" w:color="auto" w:fill="auto"/>
            <w:vAlign w:val="center"/>
          </w:tcPr>
          <w:p w14:paraId="5B1ADFCC">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废机油</w:t>
            </w:r>
          </w:p>
        </w:tc>
        <w:tc>
          <w:tcPr>
            <w:tcW w:w="1236" w:type="pct"/>
            <w:shd w:val="clear" w:color="auto" w:fill="auto"/>
            <w:vAlign w:val="center"/>
          </w:tcPr>
          <w:p w14:paraId="448861C8">
            <w:pPr>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0.01</w:t>
            </w:r>
          </w:p>
        </w:tc>
        <w:tc>
          <w:tcPr>
            <w:tcW w:w="1308" w:type="pct"/>
            <w:shd w:val="clear" w:color="auto" w:fill="auto"/>
            <w:vAlign w:val="center"/>
          </w:tcPr>
          <w:p w14:paraId="1BB9E4E8">
            <w:pPr>
              <w:keepNext w:val="0"/>
              <w:keepLines w:val="0"/>
              <w:suppressLineNumbers w:val="0"/>
              <w:spacing w:before="0" w:beforeAutospacing="0" w:after="0" w:afterAutospacing="0" w:line="240" w:lineRule="atLeast"/>
              <w:ind w:left="0" w:right="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olor w:val="auto"/>
                <w:sz w:val="21"/>
                <w:szCs w:val="21"/>
                <w:highlight w:val="none"/>
                <w:lang w:val="en-US" w:eastAsia="zh-CN"/>
              </w:rPr>
              <w:t>0</w:t>
            </w:r>
          </w:p>
        </w:tc>
      </w:tr>
    </w:tbl>
    <w:p w14:paraId="724B7030">
      <w:pPr>
        <w:pageBreakBefore w:val="0"/>
        <w:widowControl w:val="0"/>
        <w:kinsoku/>
        <w:wordWrap/>
        <w:overflowPunct/>
        <w:bidi w:val="0"/>
        <w:spacing w:line="360" w:lineRule="auto"/>
        <w:ind w:left="0" w:leftChars="0" w:right="0" w:rightChars="0" w:firstLine="0" w:firstLineChars="0"/>
        <w:jc w:val="center"/>
        <w:rPr>
          <w:rFonts w:ascii="Times New Roman" w:hAnsi="Times New Roman" w:eastAsia="宋体" w:cs="Times New Roman"/>
          <w:color w:val="auto"/>
          <w:kern w:val="24"/>
          <w:sz w:val="24"/>
          <w:szCs w:val="20"/>
          <w:highlight w:val="none"/>
          <w:lang w:val="en-US" w:eastAsia="zh-CN" w:bidi="ar-SA"/>
        </w:rPr>
      </w:pPr>
    </w:p>
    <w:p w14:paraId="53A998A4">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50" w:name="_Toc731"/>
      <w:bookmarkStart w:id="351" w:name="_Toc135735481"/>
      <w:r>
        <w:rPr>
          <w:rFonts w:hint="eastAsia" w:ascii="Times New Roman" w:hAnsi="Times New Roman" w:eastAsia="黑体" w:cs="Times New Roman"/>
          <w:bCs/>
          <w:color w:val="auto"/>
          <w:spacing w:val="0"/>
          <w:w w:val="100"/>
          <w:kern w:val="28"/>
          <w:sz w:val="30"/>
          <w:szCs w:val="30"/>
          <w:highlight w:val="none"/>
          <w:lang w:val="en-US" w:eastAsia="zh-CN" w:bidi="ar-SA"/>
        </w:rPr>
        <w:t>环境影响及保护措施</w:t>
      </w:r>
      <w:bookmarkEnd w:id="350"/>
    </w:p>
    <w:bookmarkEnd w:id="351"/>
    <w:p w14:paraId="6D3293A6">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bookmarkStart w:id="352" w:name="_Hlk36055315"/>
      <w:r>
        <w:rPr>
          <w:rFonts w:hint="eastAsia" w:eastAsia="黑体" w:cs="Times New Roman"/>
          <w:color w:val="auto"/>
          <w:spacing w:val="0"/>
          <w:kern w:val="2"/>
          <w:sz w:val="28"/>
          <w:szCs w:val="28"/>
          <w:highlight w:val="none"/>
          <w:lang w:val="en-US" w:eastAsia="zh-CN" w:bidi="ar-SA"/>
        </w:rPr>
        <w:t>航空器</w:t>
      </w:r>
      <w:r>
        <w:rPr>
          <w:rFonts w:hint="eastAsia" w:ascii="Times New Roman" w:hAnsi="Times New Roman" w:eastAsia="黑体" w:cs="Times New Roman"/>
          <w:color w:val="auto"/>
          <w:spacing w:val="0"/>
          <w:kern w:val="2"/>
          <w:sz w:val="28"/>
          <w:szCs w:val="28"/>
          <w:highlight w:val="none"/>
          <w:lang w:val="en-US" w:eastAsia="zh-CN" w:bidi="ar-SA"/>
        </w:rPr>
        <w:t>噪声影响和污染防治措施</w:t>
      </w:r>
    </w:p>
    <w:p w14:paraId="068B6F08">
      <w:pPr>
        <w:pageBreakBefore w:val="0"/>
        <w:widowControl/>
        <w:kinsoku/>
        <w:wordWrap/>
        <w:overflowPunct/>
        <w:bidi w:val="0"/>
        <w:spacing w:after="5" w:line="374" w:lineRule="auto"/>
        <w:ind w:left="-15" w:right="130" w:firstLine="480"/>
        <w:jc w:val="both"/>
        <w:rPr>
          <w:rFonts w:hint="eastAsia" w:cs="Times New Roman"/>
          <w:color w:val="auto"/>
          <w:szCs w:val="21"/>
          <w:highlight w:val="none"/>
          <w:lang w:eastAsia="zh-CN"/>
        </w:rPr>
      </w:pPr>
      <w:r>
        <w:rPr>
          <w:rFonts w:hint="eastAsia" w:cs="Times New Roman"/>
          <w:color w:val="auto"/>
          <w:szCs w:val="21"/>
          <w:highlight w:val="none"/>
          <w:lang w:eastAsia="zh-CN"/>
        </w:rPr>
        <w:t>精河通用机场飞机噪声影响评价范围内有居民区，无学校、医院等声环境敏感点。</w:t>
      </w:r>
      <w:r>
        <w:rPr>
          <w:rFonts w:hint="eastAsia" w:cs="Times New Roman"/>
          <w:color w:val="auto"/>
          <w:szCs w:val="21"/>
          <w:highlight w:val="none"/>
          <w:lang w:val="en-US" w:eastAsia="zh-CN"/>
        </w:rPr>
        <w:t>经预测，</w:t>
      </w:r>
      <w:r>
        <w:rPr>
          <w:rFonts w:hint="eastAsia" w:cs="Times New Roman"/>
          <w:color w:val="auto"/>
          <w:szCs w:val="21"/>
          <w:highlight w:val="none"/>
          <w:lang w:eastAsia="zh-CN"/>
        </w:rPr>
        <w:t>机场运营期</w:t>
      </w:r>
      <w:r>
        <w:rPr>
          <w:rFonts w:hint="eastAsia" w:cs="Times New Roman"/>
          <w:color w:val="auto"/>
          <w:szCs w:val="21"/>
          <w:highlight w:val="none"/>
          <w:lang w:val="en-US" w:eastAsia="zh-CN"/>
        </w:rPr>
        <w:t>本期</w:t>
      </w:r>
      <w:r>
        <w:rPr>
          <w:rFonts w:hint="eastAsia" w:cs="Times New Roman"/>
          <w:color w:val="auto"/>
          <w:szCs w:val="21"/>
          <w:highlight w:val="none"/>
          <w:lang w:eastAsia="zh-CN"/>
        </w:rPr>
        <w:t>、远期目标年飞机噪声对周边居民区声环境影响在可接受范围内。</w:t>
      </w:r>
    </w:p>
    <w:p w14:paraId="17B3EFF8">
      <w:pPr>
        <w:pageBreakBefore w:val="0"/>
        <w:widowControl/>
        <w:kinsoku/>
        <w:wordWrap/>
        <w:overflowPunct/>
        <w:bidi w:val="0"/>
        <w:spacing w:after="5" w:line="374" w:lineRule="auto"/>
        <w:ind w:left="-15" w:right="130" w:firstLine="480"/>
        <w:jc w:val="both"/>
        <w:rPr>
          <w:rFonts w:ascii="Times New Roman" w:hAnsi="Times New Roman" w:eastAsia="宋体" w:cs="Times New Roman"/>
          <w:color w:val="auto"/>
          <w:szCs w:val="21"/>
          <w:highlight w:val="none"/>
        </w:rPr>
      </w:pPr>
      <w:r>
        <w:rPr>
          <w:rFonts w:hint="eastAsia" w:cs="Times New Roman"/>
          <w:color w:val="auto"/>
          <w:szCs w:val="21"/>
          <w:highlight w:val="none"/>
          <w:lang w:eastAsia="zh-CN"/>
        </w:rPr>
        <w:t>合理安排机场周围土地开发，是避免飞机噪声干扰的重要措施，机场运营管理单位和当地规划部门，应结合机场未来发展，合理规划机场周围土地利用形式。评价建议，应根据噪声预测结果，在机场远期2050年飞机噪声70dB影响范围内严格控制新建居民集中点、学校和医院，必须建设时，应根据《中华人民共和国噪声污染防治法》中第五十二条有关规定及原国家环保总局环函〔20</w:t>
      </w:r>
      <w:r>
        <w:rPr>
          <w:rFonts w:hint="eastAsia" w:cs="Times New Roman"/>
          <w:color w:val="auto"/>
          <w:szCs w:val="21"/>
          <w:highlight w:val="none"/>
          <w:lang w:val="en-US" w:eastAsia="zh-CN"/>
        </w:rPr>
        <w:t>04</w:t>
      </w:r>
      <w:r>
        <w:rPr>
          <w:rFonts w:hint="eastAsia" w:cs="Times New Roman"/>
          <w:color w:val="auto"/>
          <w:szCs w:val="21"/>
          <w:highlight w:val="none"/>
          <w:lang w:eastAsia="zh-CN"/>
        </w:rPr>
        <w:t>〕463号文件相关要求，应采取相应的建筑物隔声措施</w:t>
      </w:r>
      <w:r>
        <w:rPr>
          <w:rFonts w:ascii="Times New Roman" w:hAnsi="Times New Roman" w:eastAsia="宋体" w:cs="Times New Roman"/>
          <w:color w:val="auto"/>
          <w:szCs w:val="21"/>
          <w:highlight w:val="none"/>
        </w:rPr>
        <w:t>。</w:t>
      </w:r>
    </w:p>
    <w:p w14:paraId="37CACD79">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生态影响和保护措施</w:t>
      </w:r>
    </w:p>
    <w:p w14:paraId="2336C5B1">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w:t>
      </w:r>
      <w:r>
        <w:rPr>
          <w:rFonts w:hint="eastAsia" w:cs="Times New Roman"/>
          <w:color w:val="auto"/>
          <w:szCs w:val="21"/>
          <w:highlight w:val="none"/>
          <w:lang w:val="en-US" w:eastAsia="zh-CN"/>
        </w:rPr>
        <w:t>1</w:t>
      </w:r>
      <w:r>
        <w:rPr>
          <w:rFonts w:hint="eastAsia" w:cs="Times New Roman"/>
          <w:color w:val="auto"/>
          <w:szCs w:val="21"/>
          <w:highlight w:val="none"/>
          <w:lang w:eastAsia="zh-CN"/>
        </w:rPr>
        <w:t>）生态环境影响分析</w:t>
      </w:r>
    </w:p>
    <w:p w14:paraId="3A7E7A14">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施工期间，占地区土地利用格局会发生改变，造成植被组成的改变和生物量的损失。拟建项目永久用地所导致的植被生物量损失约336.46t。栖息于项目区的鸟类会受到施工占地、施工噪声的影响而迁往周边相似生境。由于土方开挖和填筑等工程，容易引发水土流失，需重点加以防治。</w:t>
      </w:r>
    </w:p>
    <w:p w14:paraId="63F0F53C">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机场建设后，由于占地面积相对较小，通过及时采取植被恢复等措施，对区域生态系统的结构与功能影响较小。</w:t>
      </w:r>
    </w:p>
    <w:p w14:paraId="250155F0">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w:t>
      </w:r>
      <w:r>
        <w:rPr>
          <w:rFonts w:hint="eastAsia" w:cs="Times New Roman"/>
          <w:color w:val="auto"/>
          <w:szCs w:val="21"/>
          <w:highlight w:val="none"/>
          <w:lang w:val="en-US" w:eastAsia="zh-CN"/>
        </w:rPr>
        <w:t>2</w:t>
      </w:r>
      <w:r>
        <w:rPr>
          <w:rFonts w:hint="eastAsia" w:cs="Times New Roman"/>
          <w:color w:val="auto"/>
          <w:szCs w:val="21"/>
          <w:highlight w:val="none"/>
          <w:lang w:eastAsia="zh-CN"/>
        </w:rPr>
        <w:t>）生态保护措施</w:t>
      </w:r>
    </w:p>
    <w:p w14:paraId="60753EF8">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拟建项目生态影响主要体现在施工期，影响包括土地利用格局影响、动植物影响、水土流失影响等。施工期要严格控制征占地面积，规范施工用地，特别是临时用地，注意各单项工程施工的协调配合，规范作业方式。该场址涉及耕地，根据相关规定，本项目开工前应申请办理耕地征占用审核审批手续，并按相关部门要求缴纳耕地补偿费、植被恢复费等。</w:t>
      </w:r>
    </w:p>
    <w:p w14:paraId="2E115B75">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依据水土流失防治措施布设原则、项目区所在位置和项目建设过程中可能引发新增水土流失的特点和危害程度，尽量减少对原有地表的扰动和破坏，采取治理与防护相结合、植物措施与工程措施相结合、永久与临时措施相结合，因地制宜布设各类水土保持措施，形成完整的水土流失综合防治体系。</w:t>
      </w:r>
    </w:p>
    <w:p w14:paraId="1C4F663C">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施工期鸟类保护措施：①科学选择开工建设时间与严格管理施工行为；②实施环境监理，签订保护鸟类协议；③做好鸟情观测，加强施工人员环保教育，设置宣传牌。</w:t>
      </w:r>
    </w:p>
    <w:p w14:paraId="0ADBC43A">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cs="Times New Roman"/>
          <w:color w:val="auto"/>
          <w:szCs w:val="21"/>
          <w:highlight w:val="none"/>
          <w:lang w:eastAsia="zh-CN"/>
        </w:rPr>
        <w:t>运营期鸟类保护措施：利用生态学的基本原理和方法，采用减少营巢、切断食物源、水源、干扰鸟类活动等方法，达到减少机场鸟类种类、数量和防范鸟撞的目的；加强机场飞行区草坪的管理，定期修剪，减少鸟类食源；要求机场制订全年鸟击防范工作计划，针对每个季节不同鸟种制定不同的驱鸟措施（采用雷达探鸟，超声波、激光等驱鸟措施，禁止使用驱鸟网），尤其要对春秋</w:t>
      </w:r>
      <w:r>
        <w:rPr>
          <w:rFonts w:hint="eastAsia" w:cs="Times New Roman"/>
          <w:color w:val="auto"/>
          <w:szCs w:val="21"/>
          <w:highlight w:val="none"/>
          <w:lang w:val="en-US" w:eastAsia="zh-CN"/>
        </w:rPr>
        <w:t>迁徙</w:t>
      </w:r>
      <w:r>
        <w:rPr>
          <w:rFonts w:hint="eastAsia" w:cs="Times New Roman"/>
          <w:color w:val="auto"/>
          <w:szCs w:val="21"/>
          <w:highlight w:val="none"/>
          <w:lang w:eastAsia="zh-CN"/>
        </w:rPr>
        <w:t>季节重点</w:t>
      </w:r>
      <w:r>
        <w:rPr>
          <w:rFonts w:hint="eastAsia" w:cs="Times New Roman"/>
          <w:color w:val="auto"/>
          <w:szCs w:val="21"/>
          <w:highlight w:val="none"/>
          <w:lang w:val="en-US" w:eastAsia="zh-CN"/>
        </w:rPr>
        <w:t>对</w:t>
      </w:r>
      <w:r>
        <w:rPr>
          <w:rFonts w:hint="eastAsia" w:cs="Times New Roman"/>
          <w:color w:val="auto"/>
          <w:szCs w:val="21"/>
          <w:highlight w:val="none"/>
          <w:lang w:eastAsia="zh-CN"/>
        </w:rPr>
        <w:t>威胁类</w:t>
      </w:r>
      <w:r>
        <w:rPr>
          <w:rFonts w:hint="eastAsia" w:cs="Times New Roman"/>
          <w:color w:val="auto"/>
          <w:szCs w:val="21"/>
          <w:highlight w:val="none"/>
          <w:lang w:val="en-US" w:eastAsia="zh-CN"/>
        </w:rPr>
        <w:t>鸟</w:t>
      </w:r>
      <w:r>
        <w:rPr>
          <w:rFonts w:hint="eastAsia" w:cs="Times New Roman"/>
          <w:color w:val="auto"/>
          <w:szCs w:val="21"/>
          <w:highlight w:val="none"/>
          <w:lang w:eastAsia="zh-CN"/>
        </w:rPr>
        <w:t>群做出明确的防范措施，</w:t>
      </w:r>
      <w:r>
        <w:rPr>
          <w:rFonts w:hint="eastAsia" w:cs="Times New Roman"/>
          <w:color w:val="auto"/>
          <w:szCs w:val="21"/>
          <w:highlight w:val="none"/>
          <w:lang w:val="en-US" w:eastAsia="zh-CN"/>
        </w:rPr>
        <w:t>必要时进行航班动态调整，根据鸟情监测情况及时优化飞行程序</w:t>
      </w:r>
      <w:r>
        <w:rPr>
          <w:rFonts w:hint="eastAsia" w:cs="Times New Roman"/>
          <w:color w:val="auto"/>
          <w:szCs w:val="21"/>
          <w:highlight w:val="none"/>
          <w:lang w:eastAsia="zh-CN"/>
        </w:rPr>
        <w:t>；可在机场围界外5km至20km范围内的区域，采取措施适当提高区域鸟类栖息生境的质量，形成机场地区的替代性栖息地，引导影响航空器飞行的高危鸟种“迁离”机场地区；加强驱鸟设备的及时更新维护；加强鸟类观测，加强鸟种危害评估、鸟情预测预报等相关性研究</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建议当地政府控制在机场周围5km范围内新建大型畜禽养殖场、污水处理厂等，以减少对鸟类的吸引，避免在飞机起降方向的一定区域内经常有大量的鸟类飞行</w:t>
      </w:r>
      <w:r>
        <w:rPr>
          <w:rFonts w:hint="eastAsia" w:cs="Times New Roman"/>
          <w:color w:val="auto"/>
          <w:szCs w:val="21"/>
          <w:highlight w:val="none"/>
          <w:lang w:eastAsia="zh-CN"/>
        </w:rPr>
        <w:t>；鸟类的迁徙是自然选择的结果，人为控制的难度大，飞机飞行可以人为设计航线和高度，所以在鸟类迁徙期可以对航线进行适当的调整。随着机场鸟情预警系统的开发与成熟，航班动态调整作为鸟击防范手段将得到普遍应用</w:t>
      </w:r>
      <w:r>
        <w:rPr>
          <w:rFonts w:hint="eastAsia" w:ascii="Times New Roman" w:hAnsi="Times New Roman" w:eastAsia="宋体" w:cs="Times New Roman"/>
          <w:color w:val="auto"/>
          <w:szCs w:val="21"/>
          <w:highlight w:val="none"/>
        </w:rPr>
        <w:t>为保护区域鸟类生境、候鸟迁徙及生态环境，本次评价中空中游览观光内容不包括艾比湖、赛里木湖方向的航空器游览飞行。若后期开展艾比湖湿地国家级自然保护区及赛里木湖国家湿地公园低空旅游，需涉及本机场的使用，须另行开展环境影响论证。</w:t>
      </w:r>
    </w:p>
    <w:p w14:paraId="480AF0C3">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废气影响和污染防治措施</w:t>
      </w:r>
    </w:p>
    <w:p w14:paraId="3F83F1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cs="Times New Roman"/>
          <w:color w:val="auto"/>
          <w:szCs w:val="21"/>
          <w:highlight w:val="none"/>
          <w:lang w:eastAsia="zh-CN"/>
        </w:rPr>
      </w:pPr>
      <w:r>
        <w:rPr>
          <w:rFonts w:hint="eastAsia" w:cs="Times New Roman"/>
          <w:color w:val="auto"/>
          <w:szCs w:val="21"/>
          <w:highlight w:val="none"/>
          <w:lang w:eastAsia="zh-CN"/>
        </w:rPr>
        <w:t>（1）废气影响分析</w:t>
      </w:r>
    </w:p>
    <w:p w14:paraId="52ADFA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cs="Times New Roman"/>
          <w:color w:val="auto"/>
          <w:szCs w:val="21"/>
          <w:highlight w:val="none"/>
          <w:lang w:eastAsia="zh-CN"/>
        </w:rPr>
      </w:pPr>
      <w:r>
        <w:rPr>
          <w:rFonts w:hint="eastAsia" w:cs="Times New Roman"/>
          <w:color w:val="auto"/>
          <w:szCs w:val="21"/>
          <w:highlight w:val="none"/>
          <w:lang w:eastAsia="zh-CN"/>
        </w:rPr>
        <w:t>施工期通过洒水、遮盖等措施控制施工扬尘，减小对环境空气的影响。运营期废气主要为飞机尾气、汽车尾气、</w:t>
      </w:r>
      <w:r>
        <w:rPr>
          <w:rFonts w:hint="eastAsia" w:cs="Times New Roman"/>
          <w:color w:val="auto"/>
          <w:szCs w:val="21"/>
          <w:highlight w:val="none"/>
          <w:lang w:val="en-US" w:eastAsia="zh-CN"/>
        </w:rPr>
        <w:t>油车棚</w:t>
      </w:r>
      <w:r>
        <w:rPr>
          <w:rFonts w:hint="eastAsia" w:cs="Times New Roman"/>
          <w:color w:val="auto"/>
          <w:szCs w:val="21"/>
          <w:highlight w:val="none"/>
          <w:lang w:eastAsia="zh-CN"/>
        </w:rPr>
        <w:t>废气等均为无组织废气。其中飞机尾气、汽车尾气主要污染物为NO</w:t>
      </w:r>
      <w:r>
        <w:rPr>
          <w:rFonts w:hint="eastAsia" w:cs="Times New Roman"/>
          <w:color w:val="auto"/>
          <w:szCs w:val="21"/>
          <w:highlight w:val="none"/>
          <w:vertAlign w:val="subscript"/>
          <w:lang w:eastAsia="zh-CN"/>
        </w:rPr>
        <w:t>2</w:t>
      </w:r>
      <w:r>
        <w:rPr>
          <w:rFonts w:hint="eastAsia" w:cs="Times New Roman"/>
          <w:color w:val="auto"/>
          <w:szCs w:val="21"/>
          <w:highlight w:val="none"/>
          <w:lang w:eastAsia="zh-CN"/>
        </w:rPr>
        <w:t>、NMHC、CO等，属于流动源且为间歇式排放，污染物扩散条件好，对周围环境空气影响很小。</w:t>
      </w:r>
      <w:r>
        <w:rPr>
          <w:rFonts w:hint="eastAsia" w:cs="Times New Roman"/>
          <w:color w:val="auto"/>
          <w:szCs w:val="21"/>
          <w:highlight w:val="none"/>
          <w:lang w:val="en-US" w:eastAsia="zh-CN"/>
        </w:rPr>
        <w:t>油车棚</w:t>
      </w:r>
      <w:r>
        <w:rPr>
          <w:rFonts w:hint="eastAsia" w:cs="Times New Roman"/>
          <w:color w:val="auto"/>
          <w:szCs w:val="21"/>
          <w:highlight w:val="none"/>
          <w:lang w:eastAsia="zh-CN"/>
        </w:rPr>
        <w:t>油气挥发量小，对周围环境空气影响</w:t>
      </w:r>
      <w:r>
        <w:rPr>
          <w:rFonts w:hint="eastAsia" w:cs="Times New Roman"/>
          <w:color w:val="auto"/>
          <w:szCs w:val="21"/>
          <w:highlight w:val="none"/>
          <w:lang w:val="en-US" w:eastAsia="zh-CN"/>
        </w:rPr>
        <w:t>较</w:t>
      </w:r>
      <w:r>
        <w:rPr>
          <w:rFonts w:hint="eastAsia" w:cs="Times New Roman"/>
          <w:color w:val="auto"/>
          <w:szCs w:val="21"/>
          <w:highlight w:val="none"/>
          <w:lang w:eastAsia="zh-CN"/>
        </w:rPr>
        <w:t>小。</w:t>
      </w:r>
    </w:p>
    <w:p w14:paraId="61BA14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cs="Times New Roman"/>
          <w:color w:val="auto"/>
          <w:szCs w:val="21"/>
          <w:highlight w:val="none"/>
          <w:lang w:eastAsia="zh-CN"/>
        </w:rPr>
      </w:pPr>
      <w:r>
        <w:rPr>
          <w:rFonts w:hint="eastAsia" w:cs="Times New Roman"/>
          <w:color w:val="auto"/>
          <w:szCs w:val="21"/>
          <w:highlight w:val="none"/>
          <w:lang w:eastAsia="zh-CN"/>
        </w:rPr>
        <w:t>（2）废气防治措施</w:t>
      </w:r>
    </w:p>
    <w:p w14:paraId="5D1EC4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cs="Times New Roman"/>
          <w:color w:val="auto"/>
          <w:szCs w:val="21"/>
          <w:highlight w:val="none"/>
          <w:lang w:eastAsia="zh-CN"/>
        </w:rPr>
      </w:pPr>
      <w:r>
        <w:rPr>
          <w:rFonts w:hint="eastAsia" w:cs="Times New Roman"/>
          <w:color w:val="auto"/>
          <w:szCs w:val="21"/>
          <w:highlight w:val="none"/>
          <w:lang w:eastAsia="zh-CN"/>
        </w:rPr>
        <w:t>①为了保证机场地区的大气环境质量，严格限制污染物排放量大的汽车进入机场。</w:t>
      </w:r>
    </w:p>
    <w:p w14:paraId="3DC3C4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cs="Times New Roman"/>
          <w:color w:val="auto"/>
          <w:szCs w:val="21"/>
          <w:highlight w:val="none"/>
          <w:lang w:eastAsia="zh-CN"/>
        </w:rPr>
      </w:pPr>
      <w:r>
        <w:rPr>
          <w:rFonts w:hint="eastAsia" w:cs="Times New Roman"/>
          <w:color w:val="auto"/>
          <w:szCs w:val="21"/>
          <w:highlight w:val="none"/>
          <w:lang w:val="en-US" w:eastAsia="zh-CN"/>
        </w:rPr>
        <w:t>②</w:t>
      </w:r>
      <w:r>
        <w:rPr>
          <w:rFonts w:hint="eastAsia" w:cs="Times New Roman"/>
          <w:color w:val="auto"/>
          <w:szCs w:val="21"/>
          <w:highlight w:val="none"/>
          <w:lang w:eastAsia="zh-CN"/>
        </w:rPr>
        <w:t>机场食堂产生的油烟采用油烟净化装置。</w:t>
      </w:r>
    </w:p>
    <w:p w14:paraId="7595E7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ascii="Times New Roman" w:hAnsi="Times New Roman" w:eastAsia="宋体" w:cs="Times New Roman"/>
          <w:color w:val="auto"/>
          <w:szCs w:val="21"/>
          <w:highlight w:val="none"/>
        </w:rPr>
      </w:pPr>
      <w:r>
        <w:rPr>
          <w:rFonts w:hint="eastAsia" w:cs="Times New Roman"/>
          <w:color w:val="auto"/>
          <w:szCs w:val="21"/>
          <w:highlight w:val="none"/>
          <w:lang w:eastAsia="zh-CN"/>
        </w:rPr>
        <w:t>③做好</w:t>
      </w:r>
      <w:r>
        <w:rPr>
          <w:rFonts w:hint="eastAsia" w:cs="Times New Roman"/>
          <w:color w:val="auto"/>
          <w:szCs w:val="21"/>
          <w:highlight w:val="none"/>
          <w:lang w:val="en-US" w:eastAsia="zh-CN"/>
        </w:rPr>
        <w:t>油车棚</w:t>
      </w:r>
      <w:r>
        <w:rPr>
          <w:rFonts w:hint="eastAsia" w:cs="Times New Roman"/>
          <w:color w:val="auto"/>
          <w:szCs w:val="21"/>
          <w:highlight w:val="none"/>
          <w:lang w:eastAsia="zh-CN"/>
        </w:rPr>
        <w:t>设备维修与维护，加强管理，防止跑冒滴漏，减少挥发的烃类气体，保证烃类污染物达标排放</w:t>
      </w:r>
      <w:r>
        <w:rPr>
          <w:rFonts w:ascii="Times New Roman" w:hAnsi="Times New Roman" w:eastAsia="宋体" w:cs="Times New Roman"/>
          <w:color w:val="auto"/>
          <w:szCs w:val="21"/>
          <w:highlight w:val="none"/>
        </w:rPr>
        <w:t>。</w:t>
      </w:r>
    </w:p>
    <w:p w14:paraId="2444252C">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废水影响和防治措施</w:t>
      </w:r>
    </w:p>
    <w:p w14:paraId="33BA49A5">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项目建设期产生的废水主要为施工人员日常生活产生的生活污水及生产废水，收集处理达标后回用，不外排，对场地内的浅层地下水水环境影响较小。</w:t>
      </w:r>
    </w:p>
    <w:p w14:paraId="47E8A476">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运营期机场废水主要包括车辆冲洗废水、机修和检修废水、食堂废水和生活污水，经隔油池等预处理后，排入机场污水处理站采用生化处理工艺，处理后的中水采用“冬储夏灌”的方式，用于机场绿化、路面冲洗等。处理后的</w:t>
      </w:r>
      <w:r>
        <w:rPr>
          <w:rFonts w:hint="eastAsia" w:cs="Times New Roman"/>
          <w:color w:val="auto"/>
          <w:szCs w:val="21"/>
          <w:highlight w:val="none"/>
          <w:lang w:eastAsia="zh-CN"/>
        </w:rPr>
        <w:t>出水水质</w:t>
      </w:r>
      <w:r>
        <w:rPr>
          <w:rFonts w:hint="eastAsia" w:ascii="Times New Roman" w:hAnsi="Times New Roman" w:eastAsia="宋体" w:cs="Times New Roman"/>
          <w:color w:val="auto"/>
          <w:szCs w:val="21"/>
          <w:highlight w:val="none"/>
        </w:rPr>
        <w:t>执行《城市污水再生利用 城市杂用水水质》（GB/T18920-2020）中相应回用水水质标准，不外排</w:t>
      </w:r>
      <w:r>
        <w:rPr>
          <w:rFonts w:ascii="Times New Roman" w:hAnsi="Times New Roman" w:eastAsia="宋体" w:cs="Times New Roman"/>
          <w:color w:val="auto"/>
          <w:szCs w:val="21"/>
          <w:highlight w:val="none"/>
        </w:rPr>
        <w:t>。</w:t>
      </w:r>
    </w:p>
    <w:p w14:paraId="0EBDBECF">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项目运营期正常情况下，加油区等区域的污染物均不会对周围地下水产生影响。但是一旦发生事故，油料或者污水泄漏，可能会对周围地下水造成一定的影响。对地下水污染防治措施按照“源头控制、过程防控、跟踪监测、应急响应”相结合的原则，落实相关保护措施后，该项目对水环境的影响是可以接受的。</w:t>
      </w:r>
    </w:p>
    <w:p w14:paraId="467928BB">
      <w:pPr>
        <w:pageBreakBefore w:val="0"/>
        <w:widowControl/>
        <w:kinsoku/>
        <w:wordWrap/>
        <w:overflowPunct/>
        <w:bidi w:val="0"/>
        <w:ind w:firstLine="480" w:firstLineChars="200"/>
        <w:jc w:val="both"/>
        <w:rPr>
          <w:rFonts w:hint="eastAsia" w:ascii="Times New Roman" w:hAnsi="Times New Roman" w:eastAsia="宋体" w:cs="Times New Roman"/>
          <w:color w:val="auto"/>
          <w:szCs w:val="21"/>
          <w:highlight w:val="none"/>
          <w:lang w:eastAsia="zh-CN"/>
        </w:rPr>
      </w:pPr>
      <w:r>
        <w:rPr>
          <w:rFonts w:hint="eastAsia" w:cs="Times New Roman"/>
          <w:color w:val="auto"/>
          <w:szCs w:val="21"/>
          <w:highlight w:val="none"/>
          <w:lang w:eastAsia="zh-CN"/>
        </w:rPr>
        <w:t>拟建项目必须采取可靠的防渗防漏措施，并采取严格的监测措施，防止重大事故或者事故处理不及时污水泄漏对地下水环境造成污染：①源头控制措施；②分区防治措施（重点防渗区、一般防渗区和简单防渗区）；③防渗防腐施工管理；④地下水定期监测，针对监测井做好防护；⑤应急治理措施。</w:t>
      </w:r>
    </w:p>
    <w:p w14:paraId="03FB18DA">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固体废物影响分析和处理措施</w:t>
      </w:r>
    </w:p>
    <w:p w14:paraId="006C0D22">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（1）固体废物影响分析</w:t>
      </w:r>
    </w:p>
    <w:p w14:paraId="6D8A8295">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施工期建筑垃圾和生活垃圾及时清运，对周围环境影响较小。机场运营期固体废物主要为航空垃圾、生活垃圾、污油、油泥、废机油等。</w:t>
      </w:r>
      <w:r>
        <w:rPr>
          <w:rFonts w:hint="eastAsia" w:cs="Times New Roman"/>
          <w:color w:val="auto"/>
          <w:szCs w:val="21"/>
          <w:highlight w:val="none"/>
          <w:lang w:val="en-US" w:eastAsia="zh-CN"/>
        </w:rPr>
        <w:t>本</w:t>
      </w:r>
      <w:r>
        <w:rPr>
          <w:rFonts w:hint="eastAsia" w:cs="Times New Roman"/>
          <w:color w:val="auto"/>
          <w:szCs w:val="21"/>
          <w:highlight w:val="none"/>
          <w:lang w:eastAsia="zh-CN"/>
        </w:rPr>
        <w:t>期目标年203</w:t>
      </w:r>
      <w:r>
        <w:rPr>
          <w:rFonts w:hint="eastAsia" w:cs="Times New Roman"/>
          <w:color w:val="auto"/>
          <w:szCs w:val="21"/>
          <w:highlight w:val="none"/>
          <w:lang w:val="en-US" w:eastAsia="zh-CN"/>
        </w:rPr>
        <w:t>0</w:t>
      </w:r>
      <w:r>
        <w:rPr>
          <w:rFonts w:hint="eastAsia" w:cs="Times New Roman"/>
          <w:color w:val="auto"/>
          <w:szCs w:val="21"/>
          <w:highlight w:val="none"/>
          <w:lang w:eastAsia="zh-CN"/>
        </w:rPr>
        <w:t>年机场航空垃圾产生总量约1.2624t/a，生活垃圾产生总量约5.4750t/a，污油产生量约0.5t/a，维修废机油0.01t/a，污水处理站污泥0.2515t/a。固体废物均可以得到妥善地处置，不会对环境造成较大影响。</w:t>
      </w:r>
    </w:p>
    <w:p w14:paraId="570654C4">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（2）固体废物处理措施</w:t>
      </w:r>
    </w:p>
    <w:p w14:paraId="424E10A8">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cs="Times New Roman"/>
          <w:color w:val="auto"/>
          <w:szCs w:val="21"/>
          <w:highlight w:val="none"/>
          <w:lang w:eastAsia="zh-CN"/>
        </w:rPr>
        <w:t>航空垃圾、生活垃圾由市政统一清运、集中处置。污油、油泥和废机油按危险废物进行处置，收集后暂存于危废贮存点，委托有相关处理资质的单位进行安全处置。在日常管理过程中，申报、运输、处理过程中严格执行《危险废物转移管理办法》要求</w:t>
      </w:r>
      <w:r>
        <w:rPr>
          <w:rFonts w:ascii="Times New Roman" w:hAnsi="Times New Roman" w:eastAsia="宋体" w:cs="Times New Roman"/>
          <w:color w:val="auto"/>
          <w:szCs w:val="21"/>
          <w:highlight w:val="none"/>
        </w:rPr>
        <w:t>。</w:t>
      </w:r>
    </w:p>
    <w:p w14:paraId="0A42DCDF">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土壤影响和防治措施</w:t>
      </w:r>
    </w:p>
    <w:p w14:paraId="7638F4E8">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（1）土壤影响分析</w:t>
      </w:r>
    </w:p>
    <w:p w14:paraId="110D770C">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项目建设期主要对土壤的结构产生影响，但对土壤的污染影响主要发生在运营期。非正常状况下，油类物质渗漏将穿透土壤层，影响地下含水层。</w:t>
      </w:r>
    </w:p>
    <w:p w14:paraId="13817EB0">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（2）防治措施</w:t>
      </w:r>
    </w:p>
    <w:p w14:paraId="2354CC32">
      <w:pPr>
        <w:pageBreakBefore w:val="0"/>
        <w:widowControl/>
        <w:kinsoku/>
        <w:wordWrap/>
        <w:overflowPunct/>
        <w:bidi w:val="0"/>
        <w:ind w:firstLine="480" w:firstLineChars="200"/>
        <w:jc w:val="both"/>
        <w:rPr>
          <w:rFonts w:hint="eastAsia" w:cs="Times New Roman"/>
          <w:color w:val="auto"/>
          <w:szCs w:val="21"/>
          <w:highlight w:val="none"/>
          <w:lang w:eastAsia="zh-CN"/>
        </w:rPr>
      </w:pPr>
      <w:r>
        <w:rPr>
          <w:rFonts w:hint="eastAsia" w:cs="Times New Roman"/>
          <w:color w:val="auto"/>
          <w:szCs w:val="21"/>
          <w:highlight w:val="none"/>
          <w:lang w:eastAsia="zh-CN"/>
        </w:rPr>
        <w:t>拟建项目必须采取可靠的防渗防漏措施，并采取严格的监测措施，防止重大事故或者事故处理不及时污水泄漏对土壤环境造成污染；危险废物严格按要求进行处理处置；并做好相应的应急处置。</w:t>
      </w:r>
    </w:p>
    <w:p w14:paraId="5B1B5178">
      <w:pPr>
        <w:keepNext/>
        <w:keepLines/>
        <w:pageBreakBefore w:val="0"/>
        <w:widowControl w:val="0"/>
        <w:numPr>
          <w:ilvl w:val="2"/>
          <w:numId w:val="10"/>
        </w:numPr>
        <w:kinsoku/>
        <w:overflowPunct/>
        <w:bidi w:val="0"/>
        <w:spacing w:line="360" w:lineRule="auto"/>
        <w:ind w:left="709" w:leftChars="0" w:hanging="709" w:firstLineChars="0"/>
        <w:jc w:val="both"/>
        <w:outlineLvl w:val="2"/>
        <w:rPr>
          <w:rFonts w:ascii="Times New Roman" w:hAnsi="Times New Roman" w:eastAsia="黑体" w:cs="Times New Roman"/>
          <w:color w:val="auto"/>
          <w:spacing w:val="0"/>
          <w:kern w:val="2"/>
          <w:sz w:val="28"/>
          <w:szCs w:val="28"/>
          <w:highlight w:val="none"/>
          <w:lang w:val="en-US" w:eastAsia="zh-CN" w:bidi="ar-SA"/>
        </w:rPr>
      </w:pPr>
      <w:r>
        <w:rPr>
          <w:rFonts w:hint="eastAsia" w:ascii="Times New Roman" w:hAnsi="Times New Roman" w:eastAsia="黑体" w:cs="Times New Roman"/>
          <w:color w:val="auto"/>
          <w:spacing w:val="0"/>
          <w:kern w:val="2"/>
          <w:sz w:val="28"/>
          <w:szCs w:val="28"/>
          <w:highlight w:val="none"/>
          <w:lang w:val="en-US" w:eastAsia="zh-CN" w:bidi="ar-SA"/>
        </w:rPr>
        <w:t>电磁辐射环境影响</w:t>
      </w:r>
    </w:p>
    <w:p w14:paraId="1E38E5D9">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cs="Times New Roman"/>
          <w:color w:val="auto"/>
          <w:szCs w:val="21"/>
          <w:highlight w:val="none"/>
          <w:lang w:eastAsia="zh-CN"/>
        </w:rPr>
        <w:t>拟建精河通用机场本期为非仪表跑道，不设导航设备。航管工程中电磁辐射源主要为甚高频通信系统，配置3个信道，塔台主频、备频及应急频率，其中主频主备设置，配置4台单机及VHF遥控盒4个，发射功率在300W以下。根据《辐射环境保护管理导则 电磁辐射环境影响评价方法与标准》（HJ/T10.3-1996），发射功率在300W以下的设备为豁免设备。项目建设对电磁环境影响较小</w:t>
      </w:r>
      <w:r>
        <w:rPr>
          <w:rFonts w:ascii="Times New Roman" w:hAnsi="Times New Roman" w:eastAsia="宋体" w:cs="Times New Roman"/>
          <w:color w:val="auto"/>
          <w:szCs w:val="21"/>
          <w:highlight w:val="none"/>
        </w:rPr>
        <w:t>。</w:t>
      </w:r>
    </w:p>
    <w:p w14:paraId="0D9892BA">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53" w:name="_Toc9458"/>
      <w:bookmarkStart w:id="354" w:name="_Toc441846170"/>
      <w:bookmarkStart w:id="355" w:name="_Toc135735482"/>
      <w:bookmarkStart w:id="356" w:name="_Toc414553246"/>
      <w:bookmarkStart w:id="357" w:name="_Toc26804"/>
      <w:r>
        <w:rPr>
          <w:rFonts w:hint="eastAsia" w:ascii="Times New Roman" w:hAnsi="Times New Roman" w:eastAsia="黑体" w:cs="Times New Roman"/>
          <w:bCs/>
          <w:color w:val="auto"/>
          <w:spacing w:val="0"/>
          <w:w w:val="100"/>
          <w:kern w:val="28"/>
          <w:sz w:val="30"/>
          <w:szCs w:val="30"/>
          <w:highlight w:val="none"/>
          <w:lang w:val="en-US" w:eastAsia="zh-CN" w:bidi="ar-SA"/>
        </w:rPr>
        <w:t>公众意见采纳情况</w:t>
      </w:r>
      <w:bookmarkEnd w:id="353"/>
    </w:p>
    <w:bookmarkEnd w:id="354"/>
    <w:bookmarkEnd w:id="355"/>
    <w:bookmarkEnd w:id="356"/>
    <w:bookmarkEnd w:id="357"/>
    <w:p w14:paraId="614BD04C">
      <w:pPr>
        <w:keepNext w:val="0"/>
        <w:keepLines w:val="0"/>
        <w:pageBreakBefore w:val="0"/>
        <w:widowControl/>
        <w:tabs>
          <w:tab w:val="left" w:leader="dot" w:pos="8820"/>
        </w:tabs>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s="Times New Roman"/>
          <w:bCs/>
          <w:color w:val="auto"/>
          <w:kern w:val="2"/>
          <w:sz w:val="24"/>
          <w:szCs w:val="24"/>
          <w:highlight w:val="none"/>
          <w:lang w:val="en-US" w:eastAsia="zh-CN" w:bidi="ar-SA"/>
        </w:rPr>
      </w:pPr>
      <w:bookmarkStart w:id="358" w:name="_Hlk33713607"/>
      <w:bookmarkStart w:id="359" w:name="_Hlk521698622"/>
      <w:r>
        <w:rPr>
          <w:rFonts w:hint="eastAsia" w:cs="Times New Roman"/>
          <w:bCs/>
          <w:color w:val="auto"/>
          <w:kern w:val="0"/>
          <w:sz w:val="24"/>
          <w:szCs w:val="24"/>
          <w:highlight w:val="none"/>
          <w:lang w:val="en-US" w:eastAsia="zh-CN" w:bidi="ar"/>
        </w:rPr>
        <w:t>本次评价从前期的现场调查开始一直到环评报告书的编制完成，在整个环评阶段建设单位均进行了公众参与工作。公众参与由建设单位组织完成，采取网站、登报、张贴公告等方式对环评信息进行了公示，在信息公告期间，未收到当地公众的反馈意见</w:t>
      </w:r>
      <w:r>
        <w:rPr>
          <w:rFonts w:hint="eastAsia" w:ascii="Times New Roman" w:hAnsi="Times New Roman" w:eastAsia="宋体" w:cs="Times New Roman"/>
          <w:bCs/>
          <w:color w:val="auto"/>
          <w:kern w:val="0"/>
          <w:sz w:val="24"/>
          <w:szCs w:val="24"/>
          <w:highlight w:val="none"/>
          <w:lang w:val="en-US" w:eastAsia="zh-CN" w:bidi="ar"/>
        </w:rPr>
        <w:t>。</w:t>
      </w:r>
      <w:bookmarkEnd w:id="358"/>
      <w:bookmarkEnd w:id="359"/>
    </w:p>
    <w:p w14:paraId="60CBA7BD">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60" w:name="_Toc23495"/>
      <w:bookmarkStart w:id="361" w:name="_Toc135735483"/>
      <w:bookmarkStart w:id="362" w:name="_Toc489976943"/>
      <w:r>
        <w:rPr>
          <w:rFonts w:hint="eastAsia" w:ascii="Times New Roman" w:hAnsi="Times New Roman" w:eastAsia="黑体" w:cs="Times New Roman"/>
          <w:bCs/>
          <w:color w:val="auto"/>
          <w:spacing w:val="0"/>
          <w:w w:val="100"/>
          <w:kern w:val="28"/>
          <w:sz w:val="30"/>
          <w:szCs w:val="30"/>
          <w:highlight w:val="none"/>
          <w:lang w:val="en-US" w:eastAsia="zh-CN" w:bidi="ar-SA"/>
        </w:rPr>
        <w:t>环境影响经济损益分析</w:t>
      </w:r>
      <w:bookmarkEnd w:id="360"/>
    </w:p>
    <w:bookmarkEnd w:id="361"/>
    <w:bookmarkEnd w:id="362"/>
    <w:p w14:paraId="38F4F407">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cs="Times New Roman"/>
          <w:color w:val="auto"/>
          <w:szCs w:val="24"/>
          <w:highlight w:val="none"/>
          <w:lang w:eastAsia="zh-CN"/>
        </w:rPr>
        <w:t>本项目建成运营后，在严格落实环评报告提出的环保措施基础上，环境效益可观，可实现经济效益和环境效益的统一。经估算本项目环境保护投资约</w:t>
      </w:r>
      <w:r>
        <w:rPr>
          <w:rFonts w:hint="eastAsia" w:cs="Times New Roman"/>
          <w:color w:val="auto"/>
          <w:szCs w:val="24"/>
          <w:highlight w:val="none"/>
          <w:lang w:val="en-US" w:eastAsia="zh-CN"/>
        </w:rPr>
        <w:t>855</w:t>
      </w:r>
      <w:r>
        <w:rPr>
          <w:rFonts w:hint="eastAsia" w:cs="Times New Roman"/>
          <w:color w:val="auto"/>
          <w:szCs w:val="24"/>
          <w:highlight w:val="none"/>
          <w:lang w:eastAsia="zh-CN"/>
        </w:rPr>
        <w:t>万元，环境保护投资占总投资的</w:t>
      </w:r>
      <w:r>
        <w:rPr>
          <w:rFonts w:hint="eastAsia" w:cs="Times New Roman"/>
          <w:color w:val="auto"/>
          <w:szCs w:val="24"/>
          <w:highlight w:val="none"/>
          <w:lang w:val="en-US" w:eastAsia="zh-CN"/>
        </w:rPr>
        <w:t>6.77</w:t>
      </w:r>
      <w:r>
        <w:rPr>
          <w:rFonts w:hint="eastAsia" w:cs="Times New Roman"/>
          <w:color w:val="auto"/>
          <w:szCs w:val="24"/>
          <w:highlight w:val="none"/>
          <w:lang w:eastAsia="zh-CN"/>
        </w:rPr>
        <w:t>%</w:t>
      </w:r>
      <w:r>
        <w:rPr>
          <w:rFonts w:ascii="Times New Roman" w:hAnsi="Times New Roman" w:eastAsia="宋体" w:cs="Times New Roman"/>
          <w:color w:val="auto"/>
          <w:szCs w:val="21"/>
          <w:highlight w:val="none"/>
        </w:rPr>
        <w:t>。</w:t>
      </w:r>
    </w:p>
    <w:p w14:paraId="305997C3">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63" w:name="_Toc31145"/>
      <w:bookmarkStart w:id="364" w:name="_Toc135735484"/>
      <w:bookmarkStart w:id="365" w:name="_Toc489976944"/>
      <w:r>
        <w:rPr>
          <w:rFonts w:hint="eastAsia" w:ascii="Times New Roman" w:hAnsi="Times New Roman" w:eastAsia="黑体" w:cs="Times New Roman"/>
          <w:bCs/>
          <w:color w:val="auto"/>
          <w:spacing w:val="0"/>
          <w:w w:val="100"/>
          <w:kern w:val="28"/>
          <w:sz w:val="30"/>
          <w:szCs w:val="30"/>
          <w:highlight w:val="none"/>
          <w:lang w:val="en-US" w:eastAsia="zh-CN" w:bidi="ar-SA"/>
        </w:rPr>
        <w:t>环境管理与监测计划</w:t>
      </w:r>
      <w:bookmarkEnd w:id="363"/>
    </w:p>
    <w:bookmarkEnd w:id="364"/>
    <w:bookmarkEnd w:id="365"/>
    <w:p w14:paraId="78C0DBEF">
      <w:pPr>
        <w:pageBreakBefore w:val="0"/>
        <w:kinsoku/>
        <w:wordWrap/>
        <w:overflowPunct/>
        <w:bidi w:val="0"/>
        <w:spacing w:line="360" w:lineRule="auto"/>
        <w:ind w:firstLine="480" w:firstLineChars="200"/>
        <w:rPr>
          <w:rFonts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本项目制定了施工期环境监理计划、运营期环境监测计划和环保设施竣工验收管理要求，针对项目的不同阶段提出了具体的环境管理要求</w:t>
      </w:r>
      <w:r>
        <w:rPr>
          <w:rFonts w:ascii="Times New Roman" w:hAnsi="Times New Roman" w:eastAsia="宋体" w:cs="Times New Roman"/>
          <w:color w:val="auto"/>
          <w:kern w:val="0"/>
          <w:sz w:val="24"/>
          <w:szCs w:val="24"/>
          <w:highlight w:val="none"/>
          <w:lang w:val="en-US" w:eastAsia="zh-CN" w:bidi="ar-SA"/>
        </w:rPr>
        <w:t>。</w:t>
      </w:r>
    </w:p>
    <w:bookmarkEnd w:id="352"/>
    <w:p w14:paraId="01F27964">
      <w:pPr>
        <w:keepNext/>
        <w:keepLines/>
        <w:pageBreakBefore w:val="0"/>
        <w:widowControl w:val="0"/>
        <w:numPr>
          <w:ilvl w:val="1"/>
          <w:numId w:val="10"/>
        </w:numPr>
        <w:kinsoku/>
        <w:overflowPunct/>
        <w:bidi w:val="0"/>
        <w:spacing w:line="360" w:lineRule="auto"/>
        <w:ind w:left="567" w:leftChars="0" w:hanging="567" w:firstLineChars="0"/>
        <w:jc w:val="both"/>
        <w:outlineLvl w:val="1"/>
        <w:rPr>
          <w:rFonts w:ascii="Times New Roman" w:hAnsi="Times New Roman" w:eastAsia="黑体" w:cs="Times New Roman"/>
          <w:bCs/>
          <w:color w:val="auto"/>
          <w:spacing w:val="0"/>
          <w:w w:val="100"/>
          <w:kern w:val="28"/>
          <w:sz w:val="30"/>
          <w:szCs w:val="30"/>
          <w:highlight w:val="none"/>
          <w:lang w:val="en-US" w:eastAsia="zh-CN" w:bidi="ar-SA"/>
        </w:rPr>
      </w:pPr>
      <w:bookmarkStart w:id="366" w:name="_Toc19412"/>
      <w:bookmarkStart w:id="367" w:name="_Toc135735485"/>
      <w:r>
        <w:rPr>
          <w:rFonts w:hint="eastAsia" w:ascii="Times New Roman" w:hAnsi="Times New Roman" w:eastAsia="黑体" w:cs="Times New Roman"/>
          <w:bCs/>
          <w:color w:val="auto"/>
          <w:spacing w:val="0"/>
          <w:w w:val="100"/>
          <w:kern w:val="28"/>
          <w:sz w:val="30"/>
          <w:szCs w:val="30"/>
          <w:highlight w:val="none"/>
          <w:lang w:val="en-US" w:eastAsia="zh-CN" w:bidi="ar-SA"/>
        </w:rPr>
        <w:t>总体评价结论</w:t>
      </w:r>
      <w:bookmarkEnd w:id="366"/>
    </w:p>
    <w:bookmarkEnd w:id="367"/>
    <w:p w14:paraId="1C126907">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cs="Times New Roman"/>
          <w:bCs/>
          <w:color w:val="auto"/>
          <w:szCs w:val="21"/>
          <w:highlight w:val="none"/>
          <w:lang w:eastAsia="zh-CN"/>
        </w:rPr>
        <w:t>新疆精河通用机场建设项目</w:t>
      </w:r>
      <w:r>
        <w:rPr>
          <w:rFonts w:ascii="Times New Roman" w:hAnsi="Times New Roman" w:eastAsia="宋体" w:cs="Times New Roman"/>
          <w:color w:val="auto"/>
          <w:szCs w:val="21"/>
          <w:highlight w:val="none"/>
        </w:rPr>
        <w:t>的建设符合国家、</w:t>
      </w:r>
      <w:r>
        <w:rPr>
          <w:rFonts w:hint="eastAsia" w:cs="Times New Roman"/>
          <w:color w:val="auto"/>
          <w:szCs w:val="21"/>
          <w:highlight w:val="none"/>
          <w:lang w:val="en-US" w:eastAsia="zh-CN"/>
        </w:rPr>
        <w:t>自治区</w:t>
      </w:r>
      <w:r>
        <w:rPr>
          <w:rFonts w:ascii="Times New Roman" w:hAnsi="Times New Roman" w:eastAsia="宋体" w:cs="Times New Roman"/>
          <w:color w:val="auto"/>
          <w:szCs w:val="21"/>
          <w:highlight w:val="none"/>
        </w:rPr>
        <w:t>、</w:t>
      </w:r>
      <w:r>
        <w:rPr>
          <w:rFonts w:hint="eastAsia" w:cs="Times New Roman"/>
          <w:color w:val="auto"/>
          <w:szCs w:val="21"/>
          <w:highlight w:val="none"/>
          <w:lang w:val="en-US" w:eastAsia="zh-CN"/>
        </w:rPr>
        <w:t>博州</w:t>
      </w:r>
      <w:r>
        <w:rPr>
          <w:rFonts w:ascii="Times New Roman" w:hAnsi="Times New Roman" w:eastAsia="宋体" w:cs="Times New Roman"/>
          <w:color w:val="auto"/>
          <w:szCs w:val="21"/>
          <w:highlight w:val="none"/>
        </w:rPr>
        <w:t>相关产业政策及相关规划，符合地方的环境管理要求，选址合理，符合</w:t>
      </w:r>
      <w:r>
        <w:rPr>
          <w:rFonts w:hint="eastAsia" w:cs="Times New Roman"/>
          <w:color w:val="auto"/>
          <w:szCs w:val="21"/>
          <w:highlight w:val="none"/>
          <w:lang w:val="en-US" w:eastAsia="zh-CN"/>
        </w:rPr>
        <w:t>精河县国土空间规划</w:t>
      </w:r>
      <w:r>
        <w:rPr>
          <w:rFonts w:ascii="Times New Roman" w:hAnsi="Times New Roman" w:eastAsia="宋体" w:cs="Times New Roman"/>
          <w:color w:val="auto"/>
          <w:szCs w:val="21"/>
          <w:highlight w:val="none"/>
        </w:rPr>
        <w:t>要求。污染治理措施能够满足环保管理的要求，废气、废水、噪声、固体废物均能实现达标排放和安全处置，对大气环境、声环境、水环境和生态环境等的影响较小。项目建成后有利于</w:t>
      </w:r>
      <w:r>
        <w:rPr>
          <w:rFonts w:hint="eastAsia" w:cs="Times New Roman"/>
          <w:color w:val="auto"/>
          <w:szCs w:val="21"/>
          <w:highlight w:val="none"/>
          <w:lang w:val="en-US" w:eastAsia="zh-CN"/>
        </w:rPr>
        <w:t>精河县</w:t>
      </w:r>
      <w:r>
        <w:rPr>
          <w:rFonts w:ascii="Times New Roman" w:hAnsi="Times New Roman" w:eastAsia="宋体" w:cs="Times New Roman"/>
          <w:color w:val="auto"/>
          <w:szCs w:val="21"/>
          <w:highlight w:val="none"/>
        </w:rPr>
        <w:t>地方经济发展，产生的社会效益、经济效益显著，项目得到当地公众的普遍支持。</w:t>
      </w:r>
    </w:p>
    <w:p w14:paraId="4D62B0BD">
      <w:pPr>
        <w:pageBreakBefore w:val="0"/>
        <w:widowControl/>
        <w:kinsoku/>
        <w:wordWrap/>
        <w:overflowPunct/>
        <w:bidi w:val="0"/>
        <w:ind w:firstLine="480" w:firstLineChars="200"/>
        <w:jc w:val="both"/>
        <w:rPr>
          <w:rFonts w:ascii="Times New Roman" w:hAnsi="Times New Roman" w:eastAsia="宋体" w:cs="Times New Roman"/>
          <w:color w:val="auto"/>
          <w:szCs w:val="21"/>
          <w:highlight w:val="none"/>
        </w:rPr>
      </w:pPr>
      <w:r>
        <w:rPr>
          <w:rFonts w:hint="eastAsia" w:cs="Times New Roman"/>
          <w:color w:val="auto"/>
          <w:szCs w:val="21"/>
          <w:highlight w:val="none"/>
          <w:lang w:eastAsia="zh-CN"/>
        </w:rPr>
        <w:t>本项目</w:t>
      </w:r>
      <w:r>
        <w:rPr>
          <w:rFonts w:ascii="Times New Roman" w:hAnsi="Times New Roman" w:eastAsia="宋体" w:cs="Times New Roman"/>
          <w:color w:val="auto"/>
          <w:szCs w:val="21"/>
          <w:highlight w:val="none"/>
        </w:rPr>
        <w:t>在坚持</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三同时</w:t>
      </w:r>
      <w:r>
        <w:rPr>
          <w:rFonts w:ascii="宋体" w:hAnsi="宋体" w:eastAsia="宋体" w:cs="Times New Roman"/>
          <w:color w:val="auto"/>
          <w:szCs w:val="21"/>
          <w:highlight w:val="none"/>
        </w:rPr>
        <w:t>”</w:t>
      </w:r>
      <w:r>
        <w:rPr>
          <w:rFonts w:ascii="Times New Roman" w:hAnsi="Times New Roman" w:eastAsia="宋体" w:cs="Times New Roman"/>
          <w:color w:val="auto"/>
          <w:szCs w:val="21"/>
          <w:highlight w:val="none"/>
        </w:rPr>
        <w:t>原则的基础上，严格执行国家</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自治区、</w:t>
      </w:r>
      <w:r>
        <w:rPr>
          <w:rFonts w:hint="eastAsia" w:cs="Times New Roman"/>
          <w:color w:val="auto"/>
          <w:szCs w:val="21"/>
          <w:highlight w:val="none"/>
          <w:lang w:val="en-US" w:eastAsia="zh-CN"/>
        </w:rPr>
        <w:t>博州</w:t>
      </w:r>
      <w:r>
        <w:rPr>
          <w:rFonts w:ascii="Times New Roman" w:hAnsi="Times New Roman" w:eastAsia="宋体" w:cs="Times New Roman"/>
          <w:color w:val="auto"/>
          <w:szCs w:val="21"/>
          <w:highlight w:val="none"/>
        </w:rPr>
        <w:t>的生态环境保护要求</w:t>
      </w:r>
      <w:r>
        <w:rPr>
          <w:rFonts w:hint="eastAsia" w:cs="Times New Roman"/>
          <w:color w:val="auto"/>
          <w:szCs w:val="21"/>
          <w:highlight w:val="none"/>
          <w:lang w:eastAsia="zh-CN"/>
        </w:rPr>
        <w:t>，在</w:t>
      </w:r>
      <w:r>
        <w:rPr>
          <w:rFonts w:ascii="Times New Roman" w:hAnsi="Times New Roman" w:eastAsia="宋体" w:cs="Times New Roman"/>
          <w:color w:val="auto"/>
          <w:szCs w:val="21"/>
          <w:highlight w:val="none"/>
        </w:rPr>
        <w:t>落实环境影响报告书中的各项环保措施后，</w:t>
      </w:r>
      <w:r>
        <w:rPr>
          <w:rFonts w:hint="eastAsia" w:cs="Times New Roman"/>
          <w:color w:val="auto"/>
          <w:szCs w:val="21"/>
          <w:highlight w:val="none"/>
          <w:lang w:eastAsia="zh-CN"/>
        </w:rPr>
        <w:t>本项目</w:t>
      </w:r>
      <w:r>
        <w:rPr>
          <w:rFonts w:ascii="Times New Roman" w:hAnsi="Times New Roman" w:eastAsia="宋体" w:cs="Times New Roman"/>
          <w:color w:val="auto"/>
          <w:szCs w:val="21"/>
          <w:highlight w:val="none"/>
        </w:rPr>
        <w:t>对环境的影响可符合国家和地方的环境保护要求。</w:t>
      </w:r>
    </w:p>
    <w:p w14:paraId="3F5F2D22">
      <w:pPr>
        <w:pageBreakBefore w:val="0"/>
        <w:widowControl/>
        <w:kinsoku/>
        <w:wordWrap/>
        <w:overflowPunct/>
        <w:bidi w:val="0"/>
        <w:ind w:firstLine="480" w:firstLineChars="200"/>
        <w:jc w:val="both"/>
        <w:rPr>
          <w:color w:val="auto"/>
          <w:highlight w:val="none"/>
        </w:rPr>
      </w:pPr>
      <w:r>
        <w:rPr>
          <w:rFonts w:ascii="Times New Roman" w:hAnsi="Times New Roman" w:eastAsia="宋体" w:cs="Times New Roman"/>
          <w:color w:val="auto"/>
          <w:szCs w:val="21"/>
          <w:highlight w:val="none"/>
        </w:rPr>
        <w:t>总体来说，</w:t>
      </w:r>
      <w:r>
        <w:rPr>
          <w:rFonts w:hint="eastAsia" w:cs="Times New Roman"/>
          <w:color w:val="auto"/>
          <w:szCs w:val="21"/>
          <w:highlight w:val="none"/>
          <w:lang w:eastAsia="zh-CN"/>
        </w:rPr>
        <w:t>新疆精河通用机场建设项目</w:t>
      </w:r>
      <w:r>
        <w:rPr>
          <w:rFonts w:ascii="Times New Roman" w:hAnsi="Times New Roman" w:eastAsia="宋体" w:cs="Times New Roman"/>
          <w:color w:val="auto"/>
          <w:szCs w:val="21"/>
          <w:highlight w:val="none"/>
        </w:rPr>
        <w:t>在环境保护方面是可行的</w:t>
      </w:r>
      <w:r>
        <w:rPr>
          <w:color w:val="auto"/>
          <w:highlight w:val="none"/>
        </w:rPr>
        <w:t>。</w:t>
      </w:r>
    </w:p>
    <w:sectPr>
      <w:pgSz w:w="11904" w:h="16838"/>
      <w:pgMar w:top="1474" w:right="1474" w:bottom="1474" w:left="1814" w:header="850" w:footer="850" w:gutter="113"/>
      <w:pgNumType w:fmt="decimal"/>
      <w:cols w:space="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9" w:usb3="00000000" w:csb0="200001FF" w:csb1="0000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ymusic">
    <w:altName w:val="Segoe Print"/>
    <w:panose1 w:val="00000400000000000000"/>
    <w:charset w:val="00"/>
    <w:family w:val="auto"/>
    <w:pitch w:val="default"/>
    <w:sig w:usb0="00000000" w:usb1="00000000" w:usb2="00000000" w:usb3="00000000" w:csb0="000001FF"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swiss"/>
    <w:pitch w:val="default"/>
    <w:sig w:usb0="FFFFFFFF" w:usb1="E9FFFFFF" w:usb2="0000003F" w:usb3="00000000" w:csb0="603F01FF" w:csb1="FFFF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80F3C52" w:usb2="00000016" w:usb3="00000000" w:csb0="0004001F" w:csb1="00000000"/>
  </w:font>
  <w:font w:name="幼圆">
    <w:panose1 w:val="02010509060101010101"/>
    <w:charset w:val="86"/>
    <w:family w:val="modern"/>
    <w:pitch w:val="default"/>
    <w:sig w:usb0="00000001" w:usb1="080E0000" w:usb2="00000000" w:usb3="00000000" w:csb0="00040000" w:csb1="00000000"/>
  </w:font>
  <w:font w:name="汉仪仿宋简">
    <w:altName w:val="宋体"/>
    <w:panose1 w:val="00000000000000000000"/>
    <w:charset w:val="86"/>
    <w:family w:val="modern"/>
    <w:pitch w:val="default"/>
    <w:sig w:usb0="00000000" w:usb1="00000000" w:usb2="00000012" w:usb3="00000000" w:csb0="00040000" w:csb1="00000000"/>
  </w:font>
  <w:font w:name="Noto Sans Mono CJK JP Regular">
    <w:altName w:val="Arial"/>
    <w:panose1 w:val="00000000000000000000"/>
    <w:charset w:val="00"/>
    <w:family w:val="swiss"/>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Mangal">
    <w:panose1 w:val="02040503050203030202"/>
    <w:charset w:val="00"/>
    <w:family w:val="roman"/>
    <w:pitch w:val="default"/>
    <w:sig w:usb0="00008003" w:usb1="00000000" w:usb2="00000000" w:usb3="00000000" w:csb0="00000001"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2FF" w:usb1="420024FF" w:usb2="00000000" w:usb3="00000000" w:csb0="2000019F" w:csb1="00000000"/>
  </w:font>
  <w:font w:name="Segoe UI Symbol">
    <w:panose1 w:val="020B0502040204020203"/>
    <w:charset w:val="00"/>
    <w:family w:val="swiss"/>
    <w:pitch w:val="default"/>
    <w:sig w:usb0="8000006F" w:usb1="1200FBEF" w:usb2="0004C000" w:usb3="00000000" w:csb0="00000001" w:csb1="4000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03CC8">
    <w:pPr>
      <w:pStyle w:val="55"/>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656F2">
    <w:pPr>
      <w:pStyle w:val="55"/>
      <w:pBdr>
        <w:top w:val="single" w:color="auto" w:sz="4" w:space="1"/>
      </w:pBdr>
      <w:ind w:firstLine="0"/>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303"/>
                          </w:sdtPr>
                          <w:sdtContent>
                            <w:p w14:paraId="157898E5">
                              <w:pPr>
                                <w:pStyle w:val="55"/>
                                <w:pBdr>
                                  <w:top w:val="single" w:color="auto" w:sz="4" w:space="1"/>
                                </w:pBdr>
                                <w:ind w:firstLine="0"/>
                              </w:pPr>
                              <w:r>
                                <w:rPr>
                                  <w:rFonts w:asciiTheme="minorEastAsia" w:hAnsiTheme="minorEastAsia" w:eastAsiaTheme="minorEastAsia"/>
                                  <w:sz w:val="21"/>
                                  <w:szCs w:val="21"/>
                                </w:rPr>
                                <w:t>新疆天合环境技术咨询有限公司</w:t>
                              </w:r>
                              <w:r>
                                <w:rPr>
                                  <w:rFonts w:hint="eastAsia" w:asciiTheme="minorEastAsia" w:hAnsiTheme="minorEastAsia" w:eastAsiaTheme="minorEastAsia"/>
                                  <w:sz w:val="21"/>
                                  <w:szCs w:val="21"/>
                                </w:rPr>
                                <w:t xml:space="preserve"> </w:t>
                              </w:r>
                              <w:r>
                                <w:rPr>
                                  <w:rFonts w:hint="eastAsia"/>
                                </w:rPr>
                                <w:t xml:space="preserve">              </w:t>
                              </w:r>
                              <w:r>
                                <w:fldChar w:fldCharType="begin"/>
                              </w:r>
                              <w:r>
                                <w:instrText xml:space="preserve"> PAGE   \* MERGEFORMAT </w:instrText>
                              </w:r>
                              <w:r>
                                <w:fldChar w:fldCharType="separate"/>
                              </w:r>
                              <w:r>
                                <w:rPr>
                                  <w:lang w:val="zh-CN"/>
                                </w:rPr>
                                <w:t>33</w:t>
                              </w:r>
                              <w:r>
                                <w:rPr>
                                  <w:lang w:val="zh-CN"/>
                                </w:rPr>
                                <w:fldChar w:fldCharType="end"/>
                              </w:r>
                            </w:p>
                          </w:sdtContent>
                        </w:sdt>
                        <w:p w14:paraId="786488B8">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sdt>
                    <w:sdtPr>
                      <w:id w:val="147476303"/>
                    </w:sdtPr>
                    <w:sdtContent>
                      <w:p w14:paraId="157898E5">
                        <w:pPr>
                          <w:pStyle w:val="55"/>
                          <w:pBdr>
                            <w:top w:val="single" w:color="auto" w:sz="4" w:space="1"/>
                          </w:pBdr>
                          <w:ind w:firstLine="0"/>
                        </w:pPr>
                        <w:r>
                          <w:rPr>
                            <w:rFonts w:asciiTheme="minorEastAsia" w:hAnsiTheme="minorEastAsia" w:eastAsiaTheme="minorEastAsia"/>
                            <w:sz w:val="21"/>
                            <w:szCs w:val="21"/>
                          </w:rPr>
                          <w:t>新疆天合环境技术咨询有限公司</w:t>
                        </w:r>
                        <w:r>
                          <w:rPr>
                            <w:rFonts w:hint="eastAsia" w:asciiTheme="minorEastAsia" w:hAnsiTheme="minorEastAsia" w:eastAsiaTheme="minorEastAsia"/>
                            <w:sz w:val="21"/>
                            <w:szCs w:val="21"/>
                          </w:rPr>
                          <w:t xml:space="preserve"> </w:t>
                        </w:r>
                        <w:r>
                          <w:rPr>
                            <w:rFonts w:hint="eastAsia"/>
                          </w:rPr>
                          <w:t xml:space="preserve">              </w:t>
                        </w:r>
                        <w:r>
                          <w:fldChar w:fldCharType="begin"/>
                        </w:r>
                        <w:r>
                          <w:instrText xml:space="preserve"> PAGE   \* MERGEFORMAT </w:instrText>
                        </w:r>
                        <w:r>
                          <w:fldChar w:fldCharType="separate"/>
                        </w:r>
                        <w:r>
                          <w:rPr>
                            <w:lang w:val="zh-CN"/>
                          </w:rPr>
                          <w:t>33</w:t>
                        </w:r>
                        <w:r>
                          <w:rPr>
                            <w:lang w:val="zh-CN"/>
                          </w:rPr>
                          <w:fldChar w:fldCharType="end"/>
                        </w:r>
                      </w:p>
                    </w:sdtContent>
                  </w:sdt>
                  <w:p w14:paraId="786488B8">
                    <w:pPr>
                      <w:pStyle w:val="5"/>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E71CD">
    <w:pPr>
      <w:pStyle w:val="55"/>
      <w:pBdr>
        <w:top w:val="single" w:color="auto" w:sz="4" w:space="1"/>
      </w:pBdr>
      <w:ind w:firstLine="0"/>
    </w:pPr>
    <w:r>
      <w:rPr>
        <w:sz w:val="18"/>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432"/>
                          </w:sdtPr>
                          <w:sdtContent>
                            <w:p w14:paraId="668DD458">
                              <w:pPr>
                                <w:pStyle w:val="55"/>
                                <w:pBdr>
                                  <w:top w:val="single" w:color="auto" w:sz="4" w:space="1"/>
                                </w:pBdr>
                                <w:ind w:firstLine="0"/>
                              </w:pPr>
                              <w:r>
                                <w:rPr>
                                  <w:rFonts w:asciiTheme="minorEastAsia" w:hAnsiTheme="minorEastAsia" w:eastAsiaTheme="minorEastAsia"/>
                                  <w:sz w:val="21"/>
                                  <w:szCs w:val="21"/>
                                </w:rPr>
                                <w:t>新疆天合环境技术咨询有限公司</w:t>
                              </w:r>
                              <w:r>
                                <w:rPr>
                                  <w:rFonts w:hint="eastAsia"/>
                                </w:rPr>
                                <w:t xml:space="preserve">               </w:t>
                              </w:r>
                              <w:r>
                                <w:fldChar w:fldCharType="begin"/>
                              </w:r>
                              <w:r>
                                <w:instrText xml:space="preserve"> PAGE   \* MERGEFORMAT </w:instrText>
                              </w:r>
                              <w:r>
                                <w:fldChar w:fldCharType="separate"/>
                              </w:r>
                              <w:r>
                                <w:rPr>
                                  <w:lang w:val="zh-CN"/>
                                </w:rPr>
                                <w:t>150</w:t>
                              </w:r>
                              <w:r>
                                <w:rPr>
                                  <w:lang w:val="zh-CN"/>
                                </w:rPr>
                                <w:fldChar w:fldCharType="end"/>
                              </w:r>
                            </w:p>
                          </w:sdtContent>
                        </w:sdt>
                        <w:p w14:paraId="5A74474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47454432"/>
                    </w:sdtPr>
                    <w:sdtContent>
                      <w:p w14:paraId="668DD458">
                        <w:pPr>
                          <w:pStyle w:val="55"/>
                          <w:pBdr>
                            <w:top w:val="single" w:color="auto" w:sz="4" w:space="1"/>
                          </w:pBdr>
                          <w:ind w:firstLine="0"/>
                        </w:pPr>
                        <w:r>
                          <w:rPr>
                            <w:rFonts w:asciiTheme="minorEastAsia" w:hAnsiTheme="minorEastAsia" w:eastAsiaTheme="minorEastAsia"/>
                            <w:sz w:val="21"/>
                            <w:szCs w:val="21"/>
                          </w:rPr>
                          <w:t>新疆天合环境技术咨询有限公司</w:t>
                        </w:r>
                        <w:r>
                          <w:rPr>
                            <w:rFonts w:hint="eastAsia"/>
                          </w:rPr>
                          <w:t xml:space="preserve">               </w:t>
                        </w:r>
                        <w:r>
                          <w:fldChar w:fldCharType="begin"/>
                        </w:r>
                        <w:r>
                          <w:instrText xml:space="preserve"> PAGE   \* MERGEFORMAT </w:instrText>
                        </w:r>
                        <w:r>
                          <w:fldChar w:fldCharType="separate"/>
                        </w:r>
                        <w:r>
                          <w:rPr>
                            <w:lang w:val="zh-CN"/>
                          </w:rPr>
                          <w:t>150</w:t>
                        </w:r>
                        <w:r>
                          <w:rPr>
                            <w:lang w:val="zh-CN"/>
                          </w:rPr>
                          <w:fldChar w:fldCharType="end"/>
                        </w:r>
                      </w:p>
                    </w:sdtContent>
                  </w:sdt>
                  <w:p w14:paraId="5A744749"/>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8C2EB">
    <w:pPr>
      <w:pStyle w:val="57"/>
      <w:pBdr>
        <w:bottom w:val="none" w:color="auto" w:sz="0" w:space="0"/>
      </w:pBdr>
      <w:spacing w:line="240" w:lineRule="auto"/>
      <w:ind w:firstLine="0"/>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3C450">
    <w:pPr>
      <w:pStyle w:val="57"/>
      <w:spacing w:line="240" w:lineRule="auto"/>
      <w:ind w:firstLine="0"/>
      <w:rPr>
        <w:sz w:val="21"/>
        <w:szCs w:val="21"/>
      </w:rPr>
    </w:pPr>
    <w:r>
      <w:rPr>
        <w:rFonts w:hint="eastAsia"/>
        <w:sz w:val="21"/>
        <w:szCs w:val="21"/>
        <w:lang w:eastAsia="zh-CN"/>
      </w:rPr>
      <w:t>新疆精河通用机场建设项目</w:t>
    </w:r>
    <w:r>
      <w:rPr>
        <w:rFonts w:hint="eastAsia"/>
        <w:sz w:val="21"/>
        <w:szCs w:val="21"/>
      </w:rPr>
      <w:t>环境影响报告书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E5804B"/>
    <w:multiLevelType w:val="multilevel"/>
    <w:tmpl w:val="95E580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C17C5902"/>
    <w:multiLevelType w:val="singleLevel"/>
    <w:tmpl w:val="C17C5902"/>
    <w:lvl w:ilvl="0" w:tentative="0">
      <w:start w:val="1"/>
      <w:numFmt w:val="decimal"/>
      <w:suff w:val="nothing"/>
      <w:lvlText w:val="（%1）"/>
      <w:lvlJc w:val="left"/>
    </w:lvl>
  </w:abstractNum>
  <w:abstractNum w:abstractNumId="2">
    <w:nsid w:val="C1EC2F96"/>
    <w:multiLevelType w:val="singleLevel"/>
    <w:tmpl w:val="C1EC2F96"/>
    <w:lvl w:ilvl="0" w:tentative="0">
      <w:start w:val="1"/>
      <w:numFmt w:val="decimal"/>
      <w:suff w:val="nothing"/>
      <w:lvlText w:val="（%1）"/>
      <w:lvlJc w:val="left"/>
    </w:lvl>
  </w:abstractNum>
  <w:abstractNum w:abstractNumId="3">
    <w:nsid w:val="C71959D7"/>
    <w:multiLevelType w:val="singleLevel"/>
    <w:tmpl w:val="C71959D7"/>
    <w:lvl w:ilvl="0" w:tentative="0">
      <w:start w:val="1"/>
      <w:numFmt w:val="decimal"/>
      <w:suff w:val="nothing"/>
      <w:lvlText w:val="（%1）"/>
      <w:lvlJc w:val="left"/>
    </w:lvl>
  </w:abstractNum>
  <w:abstractNum w:abstractNumId="4">
    <w:nsid w:val="F335B562"/>
    <w:multiLevelType w:val="singleLevel"/>
    <w:tmpl w:val="F335B562"/>
    <w:lvl w:ilvl="0" w:tentative="0">
      <w:start w:val="1"/>
      <w:numFmt w:val="decimal"/>
      <w:suff w:val="nothing"/>
      <w:lvlText w:val="（%1）"/>
      <w:lvlJc w:val="left"/>
    </w:lvl>
  </w:abstractNum>
  <w:abstractNum w:abstractNumId="5">
    <w:nsid w:val="0000001D"/>
    <w:multiLevelType w:val="multilevel"/>
    <w:tmpl w:val="0000001D"/>
    <w:lvl w:ilvl="0" w:tentative="0">
      <w:start w:val="1"/>
      <w:numFmt w:val="decimal"/>
      <w:pStyle w:val="1138"/>
      <w:lvlText w:val="（%1）"/>
      <w:lvlJc w:val="left"/>
      <w:pPr>
        <w:tabs>
          <w:tab w:val="left" w:pos="-56"/>
        </w:tabs>
        <w:ind w:left="-56" w:firstLine="340"/>
      </w:pPr>
      <w:rPr>
        <w:rFonts w:hint="eastAsia"/>
        <w:color w:val="auto"/>
      </w:rPr>
    </w:lvl>
    <w:lvl w:ilvl="1" w:tentative="0">
      <w:start w:val="2"/>
      <w:numFmt w:val="decimal"/>
      <w:lvlText w:val="%2）"/>
      <w:lvlJc w:val="left"/>
      <w:pPr>
        <w:tabs>
          <w:tab w:val="left" w:pos="724"/>
        </w:tabs>
        <w:ind w:left="724" w:hanging="360"/>
      </w:pPr>
      <w:rPr>
        <w:rFonts w:hint="default"/>
      </w:rPr>
    </w:lvl>
    <w:lvl w:ilvl="2" w:tentative="0">
      <w:start w:val="1"/>
      <w:numFmt w:val="lowerRoman"/>
      <w:lvlText w:val="%3."/>
      <w:lvlJc w:val="right"/>
      <w:pPr>
        <w:tabs>
          <w:tab w:val="left" w:pos="1204"/>
        </w:tabs>
        <w:ind w:left="1204" w:hanging="420"/>
      </w:pPr>
    </w:lvl>
    <w:lvl w:ilvl="3" w:tentative="0">
      <w:start w:val="1"/>
      <w:numFmt w:val="decimal"/>
      <w:lvlText w:val="%4."/>
      <w:lvlJc w:val="left"/>
      <w:pPr>
        <w:tabs>
          <w:tab w:val="left" w:pos="1624"/>
        </w:tabs>
        <w:ind w:left="1624" w:hanging="420"/>
      </w:pPr>
    </w:lvl>
    <w:lvl w:ilvl="4" w:tentative="0">
      <w:start w:val="1"/>
      <w:numFmt w:val="lowerLetter"/>
      <w:lvlText w:val="%5)"/>
      <w:lvlJc w:val="left"/>
      <w:pPr>
        <w:tabs>
          <w:tab w:val="left" w:pos="2044"/>
        </w:tabs>
        <w:ind w:left="2044" w:hanging="420"/>
      </w:pPr>
    </w:lvl>
    <w:lvl w:ilvl="5" w:tentative="0">
      <w:start w:val="1"/>
      <w:numFmt w:val="lowerRoman"/>
      <w:lvlText w:val="%6."/>
      <w:lvlJc w:val="right"/>
      <w:pPr>
        <w:tabs>
          <w:tab w:val="left" w:pos="2464"/>
        </w:tabs>
        <w:ind w:left="2464" w:hanging="420"/>
      </w:pPr>
    </w:lvl>
    <w:lvl w:ilvl="6" w:tentative="0">
      <w:start w:val="1"/>
      <w:numFmt w:val="decimal"/>
      <w:lvlText w:val="%7."/>
      <w:lvlJc w:val="left"/>
      <w:pPr>
        <w:tabs>
          <w:tab w:val="left" w:pos="2884"/>
        </w:tabs>
        <w:ind w:left="2884" w:hanging="420"/>
      </w:pPr>
    </w:lvl>
    <w:lvl w:ilvl="7" w:tentative="0">
      <w:start w:val="1"/>
      <w:numFmt w:val="lowerLetter"/>
      <w:lvlText w:val="%8)"/>
      <w:lvlJc w:val="left"/>
      <w:pPr>
        <w:tabs>
          <w:tab w:val="left" w:pos="3304"/>
        </w:tabs>
        <w:ind w:left="3304" w:hanging="420"/>
      </w:pPr>
    </w:lvl>
    <w:lvl w:ilvl="8" w:tentative="0">
      <w:start w:val="1"/>
      <w:numFmt w:val="lowerRoman"/>
      <w:lvlText w:val="%9."/>
      <w:lvlJc w:val="right"/>
      <w:pPr>
        <w:tabs>
          <w:tab w:val="left" w:pos="3724"/>
        </w:tabs>
        <w:ind w:left="3724" w:hanging="420"/>
      </w:pPr>
    </w:lvl>
  </w:abstractNum>
  <w:abstractNum w:abstractNumId="6">
    <w:nsid w:val="01234E6B"/>
    <w:multiLevelType w:val="multilevel"/>
    <w:tmpl w:val="01234E6B"/>
    <w:lvl w:ilvl="0" w:tentative="0">
      <w:start w:val="1"/>
      <w:numFmt w:val="decimal"/>
      <w:pStyle w:val="31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ascii="宋体" w:hAnsi="宋体" w:eastAsia="宋体"/>
        <w:b/>
      </w:rPr>
    </w:lvl>
    <w:lvl w:ilvl="2" w:tentative="0">
      <w:start w:val="1"/>
      <w:numFmt w:val="decimal"/>
      <w:lvlText w:val="%1.%2.%3."/>
      <w:lvlJc w:val="left"/>
      <w:pPr>
        <w:tabs>
          <w:tab w:val="left" w:pos="709"/>
        </w:tabs>
        <w:ind w:left="709" w:hanging="709"/>
      </w:pPr>
      <w:rPr>
        <w:rFonts w:hint="eastAsia"/>
        <w:b/>
      </w:rPr>
    </w:lvl>
    <w:lvl w:ilvl="3" w:tentative="0">
      <w:start w:val="1"/>
      <w:numFmt w:val="decimal"/>
      <w:lvlText w:val="%1.%2.%3.%4."/>
      <w:lvlJc w:val="left"/>
      <w:pPr>
        <w:tabs>
          <w:tab w:val="left" w:pos="851"/>
        </w:tabs>
        <w:ind w:left="851" w:hanging="851"/>
      </w:pPr>
      <w:rPr>
        <w:rFonts w:hint="eastAsia"/>
        <w:b/>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1D4F6F1"/>
    <w:multiLevelType w:val="singleLevel"/>
    <w:tmpl w:val="01D4F6F1"/>
    <w:lvl w:ilvl="0" w:tentative="0">
      <w:start w:val="1"/>
      <w:numFmt w:val="decimal"/>
      <w:suff w:val="nothing"/>
      <w:lvlText w:val="%1）"/>
      <w:lvlJc w:val="left"/>
    </w:lvl>
  </w:abstractNum>
  <w:abstractNum w:abstractNumId="8">
    <w:nsid w:val="0484248C"/>
    <w:multiLevelType w:val="singleLevel"/>
    <w:tmpl w:val="0484248C"/>
    <w:lvl w:ilvl="0" w:tentative="0">
      <w:start w:val="6"/>
      <w:numFmt w:val="decimal"/>
      <w:suff w:val="nothing"/>
      <w:lvlText w:val="%1）"/>
      <w:lvlJc w:val="left"/>
    </w:lvl>
  </w:abstractNum>
  <w:abstractNum w:abstractNumId="9">
    <w:nsid w:val="0E9932EF"/>
    <w:multiLevelType w:val="multilevel"/>
    <w:tmpl w:val="0E9932EF"/>
    <w:lvl w:ilvl="0" w:tentative="0">
      <w:start w:val="1"/>
      <w:numFmt w:val="decimal"/>
      <w:lvlText w:val="（%1）"/>
      <w:lvlJc w:val="left"/>
      <w:pPr>
        <w:ind w:left="0"/>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10">
    <w:nsid w:val="12753E54"/>
    <w:multiLevelType w:val="multilevel"/>
    <w:tmpl w:val="12753E54"/>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1D405BA1"/>
    <w:multiLevelType w:val="multilevel"/>
    <w:tmpl w:val="1D405BA1"/>
    <w:lvl w:ilvl="0" w:tentative="0">
      <w:start w:val="1"/>
      <w:numFmt w:val="decimal"/>
      <w:lvlText w:val="%1"/>
      <w:lvlJc w:val="left"/>
      <w:pPr>
        <w:tabs>
          <w:tab w:val="left" w:pos="433"/>
        </w:tabs>
        <w:ind w:left="433" w:hanging="432"/>
      </w:pPr>
      <w:rPr>
        <w:rFonts w:hint="eastAsia"/>
        <w:color w:val="auto"/>
      </w:rPr>
    </w:lvl>
    <w:lvl w:ilvl="1" w:tentative="0">
      <w:start w:val="1"/>
      <w:numFmt w:val="decimal"/>
      <w:lvlText w:val="%1.%2"/>
      <w:lvlJc w:val="left"/>
      <w:pPr>
        <w:tabs>
          <w:tab w:val="left" w:pos="577"/>
        </w:tabs>
        <w:ind w:left="577" w:hanging="576"/>
      </w:pPr>
      <w:rPr>
        <w:rFonts w:hint="eastAsia"/>
        <w:b/>
      </w:rPr>
    </w:lvl>
    <w:lvl w:ilvl="2" w:tentative="0">
      <w:start w:val="1"/>
      <w:numFmt w:val="decimal"/>
      <w:pStyle w:val="309"/>
      <w:lvlText w:val="%1.%2.%3"/>
      <w:lvlJc w:val="left"/>
      <w:pPr>
        <w:tabs>
          <w:tab w:val="left" w:pos="721"/>
        </w:tabs>
        <w:ind w:left="721" w:hanging="720"/>
      </w:pPr>
      <w:rPr>
        <w:rFonts w:hint="eastAsia"/>
        <w:b/>
        <w:sz w:val="32"/>
        <w:szCs w:val="32"/>
      </w:rPr>
    </w:lvl>
    <w:lvl w:ilvl="3" w:tentative="0">
      <w:start w:val="4"/>
      <w:numFmt w:val="decimal"/>
      <w:isLgl/>
      <w:lvlText w:val="%4.%2.1.1"/>
      <w:lvlJc w:val="left"/>
      <w:pPr>
        <w:tabs>
          <w:tab w:val="left" w:pos="865"/>
        </w:tabs>
        <w:ind w:left="865" w:hanging="864"/>
      </w:pPr>
      <w:rPr>
        <w:rFonts w:hint="default" w:ascii="Times New Roman" w:hAnsi="Times New Roman" w:eastAsia="宋体" w:cs="Arial Unicode MS"/>
        <w:b/>
        <w:sz w:val="28"/>
        <w:szCs w:val="28"/>
      </w:rPr>
    </w:lvl>
    <w:lvl w:ilvl="4" w:tentative="0">
      <w:start w:val="1"/>
      <w:numFmt w:val="decimal"/>
      <w:lvlText w:val="%1.%2.%3.%4.%5"/>
      <w:lvlJc w:val="left"/>
      <w:pPr>
        <w:tabs>
          <w:tab w:val="left" w:pos="1009"/>
        </w:tabs>
        <w:ind w:left="1009" w:hanging="1008"/>
      </w:pPr>
      <w:rPr>
        <w:rFonts w:hint="eastAsia"/>
        <w:color w:val="auto"/>
      </w:rPr>
    </w:lvl>
    <w:lvl w:ilvl="5" w:tentative="0">
      <w:start w:val="1"/>
      <w:numFmt w:val="decimal"/>
      <w:lvlText w:val="%1.%2.%3.%4.%5.%6"/>
      <w:lvlJc w:val="left"/>
      <w:pPr>
        <w:tabs>
          <w:tab w:val="left" w:pos="1153"/>
        </w:tabs>
        <w:ind w:left="1153" w:hanging="1152"/>
      </w:pPr>
      <w:rPr>
        <w:rFonts w:hint="eastAsia"/>
      </w:rPr>
    </w:lvl>
    <w:lvl w:ilvl="6" w:tentative="0">
      <w:start w:val="1"/>
      <w:numFmt w:val="decimal"/>
      <w:lvlText w:val="%1.%2.%3.%4.%5.%6.%7"/>
      <w:lvlJc w:val="left"/>
      <w:pPr>
        <w:tabs>
          <w:tab w:val="left" w:pos="1297"/>
        </w:tabs>
        <w:ind w:left="1297" w:hanging="1296"/>
      </w:pPr>
      <w:rPr>
        <w:rFonts w:hint="eastAsia"/>
      </w:rPr>
    </w:lvl>
    <w:lvl w:ilvl="7" w:tentative="0">
      <w:start w:val="1"/>
      <w:numFmt w:val="decimal"/>
      <w:lvlText w:val="%1.%2.%3.%4.%5.%6.%7.%8"/>
      <w:lvlJc w:val="left"/>
      <w:pPr>
        <w:tabs>
          <w:tab w:val="left" w:pos="1441"/>
        </w:tabs>
        <w:ind w:left="1441" w:hanging="1440"/>
      </w:pPr>
      <w:rPr>
        <w:rFonts w:hint="eastAsia"/>
      </w:rPr>
    </w:lvl>
    <w:lvl w:ilvl="8" w:tentative="0">
      <w:start w:val="1"/>
      <w:numFmt w:val="decimal"/>
      <w:lvlText w:val="%1.%2.%3.%4.%5.%6.%7.%8.%9"/>
      <w:lvlJc w:val="left"/>
      <w:pPr>
        <w:tabs>
          <w:tab w:val="left" w:pos="1585"/>
        </w:tabs>
        <w:ind w:left="1585" w:hanging="1584"/>
      </w:pPr>
      <w:rPr>
        <w:rFonts w:hint="eastAsia"/>
      </w:rPr>
    </w:lvl>
  </w:abstractNum>
  <w:abstractNum w:abstractNumId="12">
    <w:nsid w:val="218F21F9"/>
    <w:multiLevelType w:val="singleLevel"/>
    <w:tmpl w:val="218F21F9"/>
    <w:lvl w:ilvl="0" w:tentative="0">
      <w:start w:val="1"/>
      <w:numFmt w:val="decimal"/>
      <w:suff w:val="nothing"/>
      <w:lvlText w:val="（%1）"/>
      <w:lvlJc w:val="left"/>
    </w:lvl>
  </w:abstractNum>
  <w:abstractNum w:abstractNumId="13">
    <w:nsid w:val="26B6427E"/>
    <w:multiLevelType w:val="multilevel"/>
    <w:tmpl w:val="26B6427E"/>
    <w:lvl w:ilvl="0" w:tentative="0">
      <w:start w:val="1"/>
      <w:numFmt w:val="japaneseCounting"/>
      <w:pStyle w:val="1530"/>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93B094E"/>
    <w:multiLevelType w:val="multilevel"/>
    <w:tmpl w:val="293B094E"/>
    <w:lvl w:ilvl="0" w:tentative="0">
      <w:start w:val="1"/>
      <w:numFmt w:val="decimal"/>
      <w:lvlText w:val="（%1）"/>
      <w:lvlJc w:val="left"/>
      <w:pPr>
        <w:ind w:left="1080"/>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15">
    <w:nsid w:val="300B4DF8"/>
    <w:multiLevelType w:val="multilevel"/>
    <w:tmpl w:val="300B4DF8"/>
    <w:lvl w:ilvl="0" w:tentative="0">
      <w:start w:val="1"/>
      <w:numFmt w:val="decimal"/>
      <w:isLgl/>
      <w:suff w:val="space"/>
      <w:lvlText w:val="%1"/>
      <w:lvlJc w:val="left"/>
      <w:pPr>
        <w:ind w:left="567" w:hanging="567"/>
      </w:pPr>
      <w:rPr>
        <w:rFonts w:hint="default" w:ascii="Times New Roman" w:hAnsi="Times New Roman"/>
        <w:b/>
        <w:i w:val="0"/>
        <w:sz w:val="36"/>
        <w:szCs w:val="36"/>
      </w:rPr>
    </w:lvl>
    <w:lvl w:ilvl="1" w:tentative="0">
      <w:start w:val="1"/>
      <w:numFmt w:val="decimal"/>
      <w:pStyle w:val="303"/>
      <w:suff w:val="space"/>
      <w:lvlText w:val="%1.%2"/>
      <w:lvlJc w:val="left"/>
      <w:pPr>
        <w:ind w:left="324" w:firstLine="0"/>
      </w:pPr>
      <w:rPr>
        <w:rFonts w:hint="eastAsia" w:ascii="黑体" w:hAnsi="宋体" w:eastAsia="黑体"/>
        <w:spacing w:val="20"/>
        <w:sz w:val="32"/>
        <w:szCs w:val="32"/>
      </w:rPr>
    </w:lvl>
    <w:lvl w:ilvl="2" w:tentative="0">
      <w:start w:val="1"/>
      <w:numFmt w:val="decimal"/>
      <w:pStyle w:val="304"/>
      <w:suff w:val="space"/>
      <w:lvlText w:val="%1.%2.%3"/>
      <w:lvlJc w:val="left"/>
      <w:pPr>
        <w:ind w:left="0" w:firstLine="0"/>
      </w:pPr>
      <w:rPr>
        <w:rFonts w:hint="eastAsia" w:ascii="黑体" w:hAnsi="宋体" w:eastAsia="黑体"/>
        <w:sz w:val="30"/>
        <w:szCs w:val="30"/>
      </w:rPr>
    </w:lvl>
    <w:lvl w:ilvl="3" w:tentative="0">
      <w:start w:val="1"/>
      <w:numFmt w:val="decimal"/>
      <w:pStyle w:val="301"/>
      <w:suff w:val="space"/>
      <w:lvlText w:val="%1.%2.%3.%4"/>
      <w:lvlJc w:val="left"/>
      <w:pPr>
        <w:ind w:left="0" w:firstLine="0"/>
      </w:pPr>
      <w:rPr>
        <w:rFonts w:hint="default" w:ascii="宋体" w:hAnsi="宋体" w:eastAsia="宋体"/>
        <w:sz w:val="28"/>
        <w:szCs w:val="28"/>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6">
    <w:nsid w:val="328711BF"/>
    <w:multiLevelType w:val="multilevel"/>
    <w:tmpl w:val="328711BF"/>
    <w:lvl w:ilvl="0" w:tentative="0">
      <w:start w:val="1"/>
      <w:numFmt w:val="decimal"/>
      <w:lvlText w:val="（%1）"/>
      <w:lvlJc w:val="left"/>
      <w:pPr>
        <w:ind w:left="1080"/>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17">
    <w:nsid w:val="32DE251F"/>
    <w:multiLevelType w:val="multilevel"/>
    <w:tmpl w:val="32DE251F"/>
    <w:lvl w:ilvl="0" w:tentative="0">
      <w:start w:val="1"/>
      <w:numFmt w:val="decimal"/>
      <w:lvlText w:val="（%1）"/>
      <w:lvlJc w:val="left"/>
      <w:pPr>
        <w:ind w:left="0"/>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18">
    <w:nsid w:val="3A1913EB"/>
    <w:multiLevelType w:val="multilevel"/>
    <w:tmpl w:val="3A1913EB"/>
    <w:lvl w:ilvl="0" w:tentative="0">
      <w:start w:val="1"/>
      <w:numFmt w:val="decimal"/>
      <w:lvlText w:val="（%1）"/>
      <w:lvlJc w:val="left"/>
      <w:pPr>
        <w:ind w:left="1080"/>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19">
    <w:nsid w:val="3C681A12"/>
    <w:multiLevelType w:val="multilevel"/>
    <w:tmpl w:val="3C681A12"/>
    <w:lvl w:ilvl="0" w:tentative="0">
      <w:start w:val="1"/>
      <w:numFmt w:val="decimal"/>
      <w:lvlText w:val="（%1）"/>
      <w:lvlJc w:val="left"/>
      <w:pPr>
        <w:ind w:left="1080"/>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20">
    <w:nsid w:val="3FA73C58"/>
    <w:multiLevelType w:val="multilevel"/>
    <w:tmpl w:val="3FA73C58"/>
    <w:lvl w:ilvl="0" w:tentative="0">
      <w:start w:val="1"/>
      <w:numFmt w:val="decimal"/>
      <w:lvlText w:val="（%1）"/>
      <w:lvlJc w:val="left"/>
      <w:pPr>
        <w:ind w:left="1080"/>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21">
    <w:nsid w:val="43A316CF"/>
    <w:multiLevelType w:val="multilevel"/>
    <w:tmpl w:val="43A316CF"/>
    <w:lvl w:ilvl="0" w:tentative="0">
      <w:start w:val="1"/>
      <w:numFmt w:val="decimal"/>
      <w:pStyle w:val="311"/>
      <w:lvlText w:val="%1"/>
      <w:lvlJc w:val="left"/>
      <w:pPr>
        <w:tabs>
          <w:tab w:val="left" w:pos="432"/>
        </w:tabs>
        <w:ind w:left="432" w:hanging="432"/>
      </w:pPr>
      <w:rPr>
        <w:rFonts w:hint="eastAsia"/>
        <w:color w:val="auto"/>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color w:val="auto"/>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2">
    <w:nsid w:val="444A0FD4"/>
    <w:multiLevelType w:val="multilevel"/>
    <w:tmpl w:val="444A0FD4"/>
    <w:lvl w:ilvl="0" w:tentative="0">
      <w:start w:val="1"/>
      <w:numFmt w:val="decimal"/>
      <w:lvlText w:val="（%1）"/>
      <w:lvlJc w:val="left"/>
      <w:pPr>
        <w:ind w:left="361"/>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23">
    <w:nsid w:val="51351DC8"/>
    <w:multiLevelType w:val="multilevel"/>
    <w:tmpl w:val="51351DC8"/>
    <w:lvl w:ilvl="0" w:tentative="0">
      <w:start w:val="1"/>
      <w:numFmt w:val="decimal"/>
      <w:lvlText w:val="（%1）"/>
      <w:lvlJc w:val="left"/>
      <w:pPr>
        <w:ind w:left="0"/>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24">
    <w:nsid w:val="57ABBD25"/>
    <w:multiLevelType w:val="singleLevel"/>
    <w:tmpl w:val="57ABBD25"/>
    <w:lvl w:ilvl="0" w:tentative="0">
      <w:start w:val="1"/>
      <w:numFmt w:val="decimal"/>
      <w:suff w:val="nothing"/>
      <w:lvlText w:val="%1）"/>
      <w:lvlJc w:val="left"/>
    </w:lvl>
  </w:abstractNum>
  <w:abstractNum w:abstractNumId="25">
    <w:nsid w:val="611772CD"/>
    <w:multiLevelType w:val="multilevel"/>
    <w:tmpl w:val="611772CD"/>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suff w:val="nothing"/>
      <w:lvlText w:val="（%4）"/>
      <w:lvlJc w:val="left"/>
      <w:pPr>
        <w:ind w:left="850" w:hanging="850"/>
      </w:pPr>
      <w:rPr>
        <w:rFonts w:hint="default" w:ascii="Times New Roman" w:hAnsi="Times New Roman" w:cs="Times New Roman"/>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6">
    <w:nsid w:val="660D5268"/>
    <w:multiLevelType w:val="multilevel"/>
    <w:tmpl w:val="660D5268"/>
    <w:lvl w:ilvl="0" w:tentative="0">
      <w:start w:val="1"/>
      <w:numFmt w:val="decimal"/>
      <w:lvlText w:val="（%1）"/>
      <w:lvlJc w:val="left"/>
      <w:pPr>
        <w:ind w:left="1080"/>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27">
    <w:nsid w:val="686830D6"/>
    <w:multiLevelType w:val="multilevel"/>
    <w:tmpl w:val="686830D6"/>
    <w:lvl w:ilvl="0" w:tentative="0">
      <w:start w:val="1"/>
      <w:numFmt w:val="bullet"/>
      <w:pStyle w:val="789"/>
      <w:lvlText w:val=""/>
      <w:lvlJc w:val="left"/>
      <w:pPr>
        <w:tabs>
          <w:tab w:val="left" w:pos="900"/>
        </w:tabs>
        <w:ind w:left="900" w:hanging="420"/>
      </w:pPr>
      <w:rPr>
        <w:rFonts w:hint="default" w:ascii="Wingdings" w:hAnsi="Wingdings"/>
      </w:rPr>
    </w:lvl>
    <w:lvl w:ilvl="1" w:tentative="0">
      <w:start w:val="1"/>
      <w:numFmt w:val="bullet"/>
      <w:pStyle w:val="781"/>
      <w:lvlText w:val=""/>
      <w:lvlJc w:val="left"/>
      <w:pPr>
        <w:tabs>
          <w:tab w:val="left" w:pos="1320"/>
        </w:tabs>
        <w:ind w:left="1320" w:hanging="420"/>
      </w:pPr>
      <w:rPr>
        <w:rFonts w:hint="default" w:ascii="Wingdings" w:hAnsi="Wingdings"/>
      </w:rPr>
    </w:lvl>
    <w:lvl w:ilvl="2" w:tentative="0">
      <w:start w:val="1"/>
      <w:numFmt w:val="bullet"/>
      <w:pStyle w:val="780"/>
      <w:lvlText w:val=""/>
      <w:lvlJc w:val="left"/>
      <w:pPr>
        <w:tabs>
          <w:tab w:val="left" w:pos="1740"/>
        </w:tabs>
        <w:ind w:left="1740" w:hanging="420"/>
      </w:pPr>
      <w:rPr>
        <w:rFonts w:hint="default" w:ascii="Wingdings" w:hAnsi="Wingdings"/>
      </w:rPr>
    </w:lvl>
    <w:lvl w:ilvl="3" w:tentative="0">
      <w:start w:val="1"/>
      <w:numFmt w:val="bullet"/>
      <w:pStyle w:val="786"/>
      <w:lvlText w:val=""/>
      <w:lvlJc w:val="left"/>
      <w:pPr>
        <w:tabs>
          <w:tab w:val="left" w:pos="2160"/>
        </w:tabs>
        <w:ind w:left="2160" w:hanging="420"/>
      </w:pPr>
      <w:rPr>
        <w:rFonts w:hint="default" w:ascii="Wingdings" w:hAnsi="Wingdings"/>
      </w:rPr>
    </w:lvl>
    <w:lvl w:ilvl="4" w:tentative="0">
      <w:start w:val="1"/>
      <w:numFmt w:val="bullet"/>
      <w:pStyle w:val="785"/>
      <w:lvlText w:val=""/>
      <w:lvlJc w:val="left"/>
      <w:pPr>
        <w:tabs>
          <w:tab w:val="left" w:pos="2580"/>
        </w:tabs>
        <w:ind w:left="2580" w:hanging="420"/>
      </w:pPr>
      <w:rPr>
        <w:rFonts w:hint="default" w:ascii="Wingdings" w:hAnsi="Wingdings"/>
      </w:rPr>
    </w:lvl>
    <w:lvl w:ilvl="5" w:tentative="0">
      <w:start w:val="1"/>
      <w:numFmt w:val="bullet"/>
      <w:pStyle w:val="784"/>
      <w:lvlText w:val=""/>
      <w:lvlJc w:val="left"/>
      <w:pPr>
        <w:tabs>
          <w:tab w:val="left" w:pos="3000"/>
        </w:tabs>
        <w:ind w:left="3000" w:hanging="420"/>
      </w:pPr>
      <w:rPr>
        <w:rFonts w:hint="default" w:ascii="Wingdings" w:hAnsi="Wingdings"/>
      </w:rPr>
    </w:lvl>
    <w:lvl w:ilvl="6" w:tentative="0">
      <w:start w:val="1"/>
      <w:numFmt w:val="bullet"/>
      <w:pStyle w:val="791"/>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8">
    <w:nsid w:val="6B0A344D"/>
    <w:multiLevelType w:val="multilevel"/>
    <w:tmpl w:val="6B0A344D"/>
    <w:lvl w:ilvl="0" w:tentative="0">
      <w:start w:val="1"/>
      <w:numFmt w:val="decimal"/>
      <w:pStyle w:val="1209"/>
      <w:lvlText w:val="%1"/>
      <w:lvlJc w:val="left"/>
      <w:pPr>
        <w:tabs>
          <w:tab w:val="left" w:pos="992"/>
        </w:tabs>
        <w:ind w:left="992" w:hanging="425"/>
      </w:pPr>
      <w:rPr>
        <w:rFonts w:hint="eastAsia"/>
      </w:rPr>
    </w:lvl>
    <w:lvl w:ilvl="1" w:tentative="0">
      <w:start w:val="1"/>
      <w:numFmt w:val="decimal"/>
      <w:lvlText w:val="%1.%2"/>
      <w:lvlJc w:val="left"/>
      <w:pPr>
        <w:tabs>
          <w:tab w:val="left" w:pos="2072"/>
        </w:tabs>
        <w:ind w:left="1559" w:hanging="567"/>
      </w:pPr>
      <w:rPr>
        <w:rFonts w:hint="eastAsia"/>
      </w:rPr>
    </w:lvl>
    <w:lvl w:ilvl="2" w:tentative="0">
      <w:start w:val="1"/>
      <w:numFmt w:val="decimal"/>
      <w:lvlText w:val="%1.%2.%3"/>
      <w:lvlJc w:val="left"/>
      <w:pPr>
        <w:tabs>
          <w:tab w:val="left" w:pos="2858"/>
        </w:tabs>
        <w:ind w:left="1985" w:hanging="567"/>
      </w:pPr>
      <w:rPr>
        <w:rFonts w:hint="eastAsia"/>
      </w:rPr>
    </w:lvl>
    <w:lvl w:ilvl="3" w:tentative="0">
      <w:start w:val="1"/>
      <w:numFmt w:val="decimal"/>
      <w:lvlText w:val="%1.%2.%3.%4"/>
      <w:lvlJc w:val="left"/>
      <w:pPr>
        <w:tabs>
          <w:tab w:val="left" w:pos="4003"/>
        </w:tabs>
        <w:ind w:left="2551" w:hanging="708"/>
      </w:pPr>
      <w:rPr>
        <w:rFonts w:hint="eastAsia"/>
      </w:rPr>
    </w:lvl>
    <w:lvl w:ilvl="4" w:tentative="0">
      <w:start w:val="1"/>
      <w:numFmt w:val="decimal"/>
      <w:lvlText w:val="%1.%2.%3.%4.%5"/>
      <w:lvlJc w:val="left"/>
      <w:pPr>
        <w:tabs>
          <w:tab w:val="left" w:pos="4788"/>
        </w:tabs>
        <w:ind w:left="3118" w:hanging="850"/>
      </w:pPr>
      <w:rPr>
        <w:rFonts w:hint="eastAsia"/>
      </w:rPr>
    </w:lvl>
    <w:lvl w:ilvl="5" w:tentative="0">
      <w:start w:val="1"/>
      <w:numFmt w:val="decimal"/>
      <w:lvlText w:val="%1.%2.%3.%4.%5.%6"/>
      <w:lvlJc w:val="left"/>
      <w:pPr>
        <w:tabs>
          <w:tab w:val="left" w:pos="5933"/>
        </w:tabs>
        <w:ind w:left="3827" w:hanging="1134"/>
      </w:pPr>
      <w:rPr>
        <w:rFonts w:hint="eastAsia"/>
      </w:rPr>
    </w:lvl>
    <w:lvl w:ilvl="6" w:tentative="0">
      <w:start w:val="1"/>
      <w:numFmt w:val="decimal"/>
      <w:lvlText w:val="%1.%2.%3.%4.%5.%6.%7"/>
      <w:lvlJc w:val="left"/>
      <w:pPr>
        <w:tabs>
          <w:tab w:val="left" w:pos="6718"/>
        </w:tabs>
        <w:ind w:left="4394" w:hanging="1276"/>
      </w:pPr>
      <w:rPr>
        <w:rFonts w:hint="eastAsia"/>
      </w:rPr>
    </w:lvl>
    <w:lvl w:ilvl="7" w:tentative="0">
      <w:start w:val="1"/>
      <w:numFmt w:val="decimal"/>
      <w:lvlText w:val="%1.%2.%3.%4.%5.%6.%7.%8"/>
      <w:lvlJc w:val="left"/>
      <w:pPr>
        <w:tabs>
          <w:tab w:val="left" w:pos="7503"/>
        </w:tabs>
        <w:ind w:left="4961" w:hanging="1418"/>
      </w:pPr>
      <w:rPr>
        <w:rFonts w:hint="eastAsia"/>
      </w:rPr>
    </w:lvl>
    <w:lvl w:ilvl="8" w:tentative="0">
      <w:start w:val="1"/>
      <w:numFmt w:val="decimal"/>
      <w:lvlText w:val="%1.%2.%3.%4.%5.%6.%7.%8.%9"/>
      <w:lvlJc w:val="left"/>
      <w:pPr>
        <w:tabs>
          <w:tab w:val="left" w:pos="8649"/>
        </w:tabs>
        <w:ind w:left="5669" w:hanging="1700"/>
      </w:pPr>
      <w:rPr>
        <w:rFonts w:hint="eastAsia"/>
      </w:rPr>
    </w:lvl>
  </w:abstractNum>
  <w:abstractNum w:abstractNumId="29">
    <w:nsid w:val="72945E4C"/>
    <w:multiLevelType w:val="multilevel"/>
    <w:tmpl w:val="72945E4C"/>
    <w:lvl w:ilvl="0" w:tentative="0">
      <w:start w:val="1"/>
      <w:numFmt w:val="decimal"/>
      <w:lvlText w:val="（%1）"/>
      <w:lvlJc w:val="left"/>
      <w:pPr>
        <w:ind w:left="0"/>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宋体" w:hAnsi="宋体" w:eastAsia="宋体" w:cs="宋体"/>
        <w:b w:val="0"/>
        <w:i w:val="0"/>
        <w:strike w:val="0"/>
        <w:dstrike w:val="0"/>
        <w:color w:val="000000"/>
        <w:sz w:val="24"/>
        <w:szCs w:val="24"/>
        <w:u w:val="none" w:color="000000"/>
        <w:shd w:val="clear" w:color="auto" w:fill="auto"/>
        <w:vertAlign w:val="baseline"/>
      </w:rPr>
    </w:lvl>
  </w:abstractNum>
  <w:abstractNum w:abstractNumId="30">
    <w:nsid w:val="75021C99"/>
    <w:multiLevelType w:val="multilevel"/>
    <w:tmpl w:val="75021C99"/>
    <w:lvl w:ilvl="0" w:tentative="0">
      <w:start w:val="1"/>
      <w:numFmt w:val="bullet"/>
      <w:pStyle w:val="1552"/>
      <w:lvlText w:val=""/>
      <w:lvlJc w:val="left"/>
      <w:pPr>
        <w:tabs>
          <w:tab w:val="left" w:pos="420"/>
        </w:tabs>
        <w:ind w:left="420" w:hanging="420"/>
      </w:pPr>
      <w:rPr>
        <w:rFonts w:hint="default" w:ascii="Arial" w:hAnsi="Arial"/>
      </w:rPr>
    </w:lvl>
    <w:lvl w:ilvl="1" w:tentative="0">
      <w:start w:val="1"/>
      <w:numFmt w:val="bullet"/>
      <w:lvlText w:val=""/>
      <w:lvlJc w:val="left"/>
      <w:pPr>
        <w:tabs>
          <w:tab w:val="left" w:pos="1260"/>
        </w:tabs>
        <w:ind w:left="1260" w:hanging="420"/>
      </w:pPr>
      <w:rPr>
        <w:rFonts w:hint="default" w:ascii="Arial" w:hAnsi="Arial"/>
      </w:rPr>
    </w:lvl>
    <w:lvl w:ilvl="2" w:tentative="0">
      <w:start w:val="1"/>
      <w:numFmt w:val="bullet"/>
      <w:lvlText w:val=""/>
      <w:lvlJc w:val="left"/>
      <w:pPr>
        <w:tabs>
          <w:tab w:val="left" w:pos="1680"/>
        </w:tabs>
        <w:ind w:left="1680" w:hanging="420"/>
      </w:pPr>
      <w:rPr>
        <w:rFonts w:hint="default" w:ascii="Arial" w:hAnsi="Arial"/>
      </w:rPr>
    </w:lvl>
    <w:lvl w:ilvl="3" w:tentative="0">
      <w:start w:val="1"/>
      <w:numFmt w:val="bullet"/>
      <w:lvlText w:val=""/>
      <w:lvlJc w:val="left"/>
      <w:pPr>
        <w:tabs>
          <w:tab w:val="left" w:pos="2100"/>
        </w:tabs>
        <w:ind w:left="2100" w:hanging="420"/>
      </w:pPr>
      <w:rPr>
        <w:rFonts w:hint="default" w:ascii="Arial" w:hAnsi="Arial"/>
      </w:rPr>
    </w:lvl>
    <w:lvl w:ilvl="4" w:tentative="0">
      <w:start w:val="1"/>
      <w:numFmt w:val="bullet"/>
      <w:lvlText w:val=""/>
      <w:lvlJc w:val="left"/>
      <w:pPr>
        <w:tabs>
          <w:tab w:val="left" w:pos="2520"/>
        </w:tabs>
        <w:ind w:left="2520" w:hanging="420"/>
      </w:pPr>
      <w:rPr>
        <w:rFonts w:hint="default" w:ascii="Arial" w:hAnsi="Arial"/>
      </w:rPr>
    </w:lvl>
    <w:lvl w:ilvl="5" w:tentative="0">
      <w:start w:val="1"/>
      <w:numFmt w:val="bullet"/>
      <w:lvlText w:val=""/>
      <w:lvlJc w:val="left"/>
      <w:pPr>
        <w:tabs>
          <w:tab w:val="left" w:pos="2940"/>
        </w:tabs>
        <w:ind w:left="2940" w:hanging="420"/>
      </w:pPr>
      <w:rPr>
        <w:rFonts w:hint="default" w:ascii="Arial" w:hAnsi="Arial"/>
      </w:rPr>
    </w:lvl>
    <w:lvl w:ilvl="6" w:tentative="0">
      <w:start w:val="1"/>
      <w:numFmt w:val="bullet"/>
      <w:lvlText w:val=""/>
      <w:lvlJc w:val="left"/>
      <w:pPr>
        <w:tabs>
          <w:tab w:val="left" w:pos="3360"/>
        </w:tabs>
        <w:ind w:left="3360" w:hanging="420"/>
      </w:pPr>
      <w:rPr>
        <w:rFonts w:hint="default" w:ascii="Arial" w:hAnsi="Arial"/>
      </w:rPr>
    </w:lvl>
    <w:lvl w:ilvl="7" w:tentative="0">
      <w:start w:val="1"/>
      <w:numFmt w:val="bullet"/>
      <w:lvlText w:val=""/>
      <w:lvlJc w:val="left"/>
      <w:pPr>
        <w:tabs>
          <w:tab w:val="left" w:pos="3780"/>
        </w:tabs>
        <w:ind w:left="3780" w:hanging="420"/>
      </w:pPr>
      <w:rPr>
        <w:rFonts w:hint="default" w:ascii="Arial" w:hAnsi="Arial"/>
      </w:rPr>
    </w:lvl>
    <w:lvl w:ilvl="8" w:tentative="0">
      <w:start w:val="1"/>
      <w:numFmt w:val="bullet"/>
      <w:lvlText w:val=""/>
      <w:lvlJc w:val="left"/>
      <w:pPr>
        <w:tabs>
          <w:tab w:val="left" w:pos="4200"/>
        </w:tabs>
        <w:ind w:left="4200" w:hanging="420"/>
      </w:pPr>
      <w:rPr>
        <w:rFonts w:hint="default" w:ascii="Arial" w:hAnsi="Arial"/>
      </w:rPr>
    </w:lvl>
  </w:abstractNum>
  <w:abstractNum w:abstractNumId="31">
    <w:nsid w:val="7D6600AF"/>
    <w:multiLevelType w:val="multilevel"/>
    <w:tmpl w:val="7D6600AF"/>
    <w:lvl w:ilvl="0" w:tentative="0">
      <w:start w:val="1"/>
      <w:numFmt w:val="decimal"/>
      <w:lvlText w:val="（%1）"/>
      <w:lvlJc w:val="left"/>
      <w:pPr>
        <w:ind w:left="0"/>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宋体" w:hAnsi="宋体" w:eastAsia="宋体" w:cs="宋体"/>
        <w:b w:val="0"/>
        <w:i w:val="0"/>
        <w:strike w:val="0"/>
        <w:dstrike w:val="0"/>
        <w:color w:val="000000"/>
        <w:sz w:val="24"/>
        <w:szCs w:val="24"/>
        <w:u w:val="none" w:color="000000"/>
        <w:shd w:val="clear" w:color="auto" w:fill="auto"/>
        <w:vertAlign w:val="baseline"/>
      </w:rPr>
    </w:lvl>
  </w:abstractNum>
  <w:num w:numId="1">
    <w:abstractNumId w:val="15"/>
  </w:num>
  <w:num w:numId="2">
    <w:abstractNumId w:val="11"/>
  </w:num>
  <w:num w:numId="3">
    <w:abstractNumId w:val="21"/>
  </w:num>
  <w:num w:numId="4">
    <w:abstractNumId w:val="6"/>
  </w:num>
  <w:num w:numId="5">
    <w:abstractNumId w:val="27"/>
  </w:num>
  <w:num w:numId="6">
    <w:abstractNumId w:val="5"/>
  </w:num>
  <w:num w:numId="7">
    <w:abstractNumId w:val="28"/>
  </w:num>
  <w:num w:numId="8">
    <w:abstractNumId w:val="13"/>
  </w:num>
  <w:num w:numId="9">
    <w:abstractNumId w:val="30"/>
  </w:num>
  <w:num w:numId="10">
    <w:abstractNumId w:val="0"/>
  </w:num>
  <w:num w:numId="11">
    <w:abstractNumId w:val="3"/>
  </w:num>
  <w:num w:numId="12">
    <w:abstractNumId w:val="1"/>
  </w:num>
  <w:num w:numId="13">
    <w:abstractNumId w:val="4"/>
  </w:num>
  <w:num w:numId="14">
    <w:abstractNumId w:val="7"/>
  </w:num>
  <w:num w:numId="15">
    <w:abstractNumId w:val="25"/>
  </w:num>
  <w:num w:numId="16">
    <w:abstractNumId w:val="12"/>
  </w:num>
  <w:num w:numId="17">
    <w:abstractNumId w:val="10"/>
  </w:num>
  <w:num w:numId="18">
    <w:abstractNumId w:val="23"/>
  </w:num>
  <w:num w:numId="19">
    <w:abstractNumId w:val="29"/>
  </w:num>
  <w:num w:numId="20">
    <w:abstractNumId w:val="9"/>
  </w:num>
  <w:num w:numId="21">
    <w:abstractNumId w:val="17"/>
  </w:num>
  <w:num w:numId="22">
    <w:abstractNumId w:val="8"/>
  </w:num>
  <w:num w:numId="23">
    <w:abstractNumId w:val="24"/>
  </w:num>
  <w:num w:numId="24">
    <w:abstractNumId w:val="20"/>
  </w:num>
  <w:num w:numId="25">
    <w:abstractNumId w:val="19"/>
  </w:num>
  <w:num w:numId="26">
    <w:abstractNumId w:val="31"/>
  </w:num>
  <w:num w:numId="27">
    <w:abstractNumId w:val="26"/>
  </w:num>
  <w:num w:numId="28">
    <w:abstractNumId w:val="18"/>
  </w:num>
  <w:num w:numId="29">
    <w:abstractNumId w:val="14"/>
  </w:num>
  <w:num w:numId="30">
    <w:abstractNumId w:val="2"/>
  </w:num>
  <w:num w:numId="31">
    <w:abstractNumId w:val="16"/>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documentProtection w:enforcement="0"/>
  <w:defaultTabStop w:val="420"/>
  <w:drawingGridHorizontalSpacing w:val="120"/>
  <w:drawingGridVerticalSpacing w:val="163"/>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2ZDk3YTc5ZGFlMjFhZDQxYTUxYjdkZjlkZWE2MmMifQ=="/>
  </w:docVars>
  <w:rsids>
    <w:rsidRoot w:val="00172A27"/>
    <w:rsid w:val="00000E4C"/>
    <w:rsid w:val="000017F8"/>
    <w:rsid w:val="00001B88"/>
    <w:rsid w:val="00002285"/>
    <w:rsid w:val="0000294D"/>
    <w:rsid w:val="00002D42"/>
    <w:rsid w:val="00002E30"/>
    <w:rsid w:val="00003A1C"/>
    <w:rsid w:val="00004270"/>
    <w:rsid w:val="000055FB"/>
    <w:rsid w:val="00006010"/>
    <w:rsid w:val="00006C54"/>
    <w:rsid w:val="00006F36"/>
    <w:rsid w:val="00007B7C"/>
    <w:rsid w:val="00010039"/>
    <w:rsid w:val="00012B44"/>
    <w:rsid w:val="00013892"/>
    <w:rsid w:val="00013E60"/>
    <w:rsid w:val="00014184"/>
    <w:rsid w:val="0001419C"/>
    <w:rsid w:val="000141A8"/>
    <w:rsid w:val="00014CB8"/>
    <w:rsid w:val="0001541A"/>
    <w:rsid w:val="00015EE9"/>
    <w:rsid w:val="00017079"/>
    <w:rsid w:val="00017141"/>
    <w:rsid w:val="00017CE1"/>
    <w:rsid w:val="00017F47"/>
    <w:rsid w:val="00020A28"/>
    <w:rsid w:val="0002111E"/>
    <w:rsid w:val="00021E96"/>
    <w:rsid w:val="00022005"/>
    <w:rsid w:val="0002241A"/>
    <w:rsid w:val="000228BB"/>
    <w:rsid w:val="000229A8"/>
    <w:rsid w:val="00023C65"/>
    <w:rsid w:val="00025D95"/>
    <w:rsid w:val="00026CCD"/>
    <w:rsid w:val="000271FC"/>
    <w:rsid w:val="00030BD9"/>
    <w:rsid w:val="000316AD"/>
    <w:rsid w:val="00032E26"/>
    <w:rsid w:val="00034E73"/>
    <w:rsid w:val="000353FE"/>
    <w:rsid w:val="00035420"/>
    <w:rsid w:val="00035AA3"/>
    <w:rsid w:val="000361AA"/>
    <w:rsid w:val="00036FC8"/>
    <w:rsid w:val="00037200"/>
    <w:rsid w:val="00037C79"/>
    <w:rsid w:val="00037E3A"/>
    <w:rsid w:val="000405B5"/>
    <w:rsid w:val="000417A8"/>
    <w:rsid w:val="000419C4"/>
    <w:rsid w:val="000441FC"/>
    <w:rsid w:val="00044C62"/>
    <w:rsid w:val="00044D3F"/>
    <w:rsid w:val="00045950"/>
    <w:rsid w:val="0005030C"/>
    <w:rsid w:val="00050FA0"/>
    <w:rsid w:val="000515D7"/>
    <w:rsid w:val="00051ED4"/>
    <w:rsid w:val="000523D1"/>
    <w:rsid w:val="00053993"/>
    <w:rsid w:val="00053B36"/>
    <w:rsid w:val="00054333"/>
    <w:rsid w:val="00054DE0"/>
    <w:rsid w:val="00055BC5"/>
    <w:rsid w:val="00055E5D"/>
    <w:rsid w:val="000577D5"/>
    <w:rsid w:val="000578A9"/>
    <w:rsid w:val="00061AB1"/>
    <w:rsid w:val="00062B36"/>
    <w:rsid w:val="00062FA8"/>
    <w:rsid w:val="000630C0"/>
    <w:rsid w:val="00063938"/>
    <w:rsid w:val="00064791"/>
    <w:rsid w:val="000654B1"/>
    <w:rsid w:val="00065C11"/>
    <w:rsid w:val="000665BD"/>
    <w:rsid w:val="00066B0B"/>
    <w:rsid w:val="00067D55"/>
    <w:rsid w:val="00070D10"/>
    <w:rsid w:val="00070E98"/>
    <w:rsid w:val="000711F8"/>
    <w:rsid w:val="00072630"/>
    <w:rsid w:val="0007289D"/>
    <w:rsid w:val="00072F93"/>
    <w:rsid w:val="0007398F"/>
    <w:rsid w:val="00073AB5"/>
    <w:rsid w:val="00073F76"/>
    <w:rsid w:val="00074215"/>
    <w:rsid w:val="00074530"/>
    <w:rsid w:val="00075552"/>
    <w:rsid w:val="00076872"/>
    <w:rsid w:val="00077EFB"/>
    <w:rsid w:val="000812C4"/>
    <w:rsid w:val="00083BFA"/>
    <w:rsid w:val="00085C06"/>
    <w:rsid w:val="000864FD"/>
    <w:rsid w:val="00086749"/>
    <w:rsid w:val="0008686E"/>
    <w:rsid w:val="000868C9"/>
    <w:rsid w:val="00086EAE"/>
    <w:rsid w:val="000874AC"/>
    <w:rsid w:val="00087B26"/>
    <w:rsid w:val="00087FAB"/>
    <w:rsid w:val="00090806"/>
    <w:rsid w:val="000914FA"/>
    <w:rsid w:val="00093A6A"/>
    <w:rsid w:val="000951E7"/>
    <w:rsid w:val="0009546C"/>
    <w:rsid w:val="00097FE9"/>
    <w:rsid w:val="000A044C"/>
    <w:rsid w:val="000A0FA2"/>
    <w:rsid w:val="000A1635"/>
    <w:rsid w:val="000A17A3"/>
    <w:rsid w:val="000A2716"/>
    <w:rsid w:val="000A276E"/>
    <w:rsid w:val="000A2B3C"/>
    <w:rsid w:val="000A2D7A"/>
    <w:rsid w:val="000A319F"/>
    <w:rsid w:val="000A3897"/>
    <w:rsid w:val="000A4435"/>
    <w:rsid w:val="000A4D7B"/>
    <w:rsid w:val="000A5657"/>
    <w:rsid w:val="000A5A95"/>
    <w:rsid w:val="000A5CD5"/>
    <w:rsid w:val="000A773A"/>
    <w:rsid w:val="000B033E"/>
    <w:rsid w:val="000B05B2"/>
    <w:rsid w:val="000B1364"/>
    <w:rsid w:val="000B1EA6"/>
    <w:rsid w:val="000B1ED8"/>
    <w:rsid w:val="000B2329"/>
    <w:rsid w:val="000B237B"/>
    <w:rsid w:val="000B2795"/>
    <w:rsid w:val="000B2933"/>
    <w:rsid w:val="000B3836"/>
    <w:rsid w:val="000B4372"/>
    <w:rsid w:val="000B6A53"/>
    <w:rsid w:val="000B6E75"/>
    <w:rsid w:val="000C157E"/>
    <w:rsid w:val="000C20A0"/>
    <w:rsid w:val="000C3377"/>
    <w:rsid w:val="000C5638"/>
    <w:rsid w:val="000C5ED9"/>
    <w:rsid w:val="000C6858"/>
    <w:rsid w:val="000C7D4D"/>
    <w:rsid w:val="000D227F"/>
    <w:rsid w:val="000D2552"/>
    <w:rsid w:val="000D33E9"/>
    <w:rsid w:val="000D3593"/>
    <w:rsid w:val="000D3E88"/>
    <w:rsid w:val="000D4D5F"/>
    <w:rsid w:val="000D693E"/>
    <w:rsid w:val="000D766A"/>
    <w:rsid w:val="000D77A7"/>
    <w:rsid w:val="000E01AE"/>
    <w:rsid w:val="000E131F"/>
    <w:rsid w:val="000E25D3"/>
    <w:rsid w:val="000E2E25"/>
    <w:rsid w:val="000E2F7B"/>
    <w:rsid w:val="000E4850"/>
    <w:rsid w:val="000E4FD8"/>
    <w:rsid w:val="000E59E1"/>
    <w:rsid w:val="000E5A15"/>
    <w:rsid w:val="000E5B13"/>
    <w:rsid w:val="000E680D"/>
    <w:rsid w:val="000E6C1F"/>
    <w:rsid w:val="000E6E53"/>
    <w:rsid w:val="000E7611"/>
    <w:rsid w:val="000F01E2"/>
    <w:rsid w:val="000F0BFA"/>
    <w:rsid w:val="000F0C87"/>
    <w:rsid w:val="000F1BCA"/>
    <w:rsid w:val="000F2C7F"/>
    <w:rsid w:val="000F3893"/>
    <w:rsid w:val="000F416C"/>
    <w:rsid w:val="000F41B2"/>
    <w:rsid w:val="000F43BE"/>
    <w:rsid w:val="000F449E"/>
    <w:rsid w:val="000F4DC4"/>
    <w:rsid w:val="000F4DFA"/>
    <w:rsid w:val="000F526B"/>
    <w:rsid w:val="000F57EE"/>
    <w:rsid w:val="000F61D3"/>
    <w:rsid w:val="000F6300"/>
    <w:rsid w:val="000F73BF"/>
    <w:rsid w:val="000F7B9A"/>
    <w:rsid w:val="001008C3"/>
    <w:rsid w:val="001014F4"/>
    <w:rsid w:val="00101942"/>
    <w:rsid w:val="00101E1D"/>
    <w:rsid w:val="00101E7D"/>
    <w:rsid w:val="00101F3A"/>
    <w:rsid w:val="00102718"/>
    <w:rsid w:val="00104F4F"/>
    <w:rsid w:val="0010568A"/>
    <w:rsid w:val="0010593F"/>
    <w:rsid w:val="00105C9F"/>
    <w:rsid w:val="00105FFC"/>
    <w:rsid w:val="00106FCA"/>
    <w:rsid w:val="001070BE"/>
    <w:rsid w:val="00107274"/>
    <w:rsid w:val="0010787A"/>
    <w:rsid w:val="001078F7"/>
    <w:rsid w:val="001104C4"/>
    <w:rsid w:val="00110AEE"/>
    <w:rsid w:val="00111EC3"/>
    <w:rsid w:val="0011249D"/>
    <w:rsid w:val="00113DE3"/>
    <w:rsid w:val="00115C33"/>
    <w:rsid w:val="00115CF3"/>
    <w:rsid w:val="00116016"/>
    <w:rsid w:val="00116578"/>
    <w:rsid w:val="001168A5"/>
    <w:rsid w:val="00117080"/>
    <w:rsid w:val="001178C6"/>
    <w:rsid w:val="00120046"/>
    <w:rsid w:val="00120377"/>
    <w:rsid w:val="00120457"/>
    <w:rsid w:val="0012083B"/>
    <w:rsid w:val="00120E87"/>
    <w:rsid w:val="001214FA"/>
    <w:rsid w:val="0012243F"/>
    <w:rsid w:val="0012333A"/>
    <w:rsid w:val="00123581"/>
    <w:rsid w:val="00123782"/>
    <w:rsid w:val="001237FC"/>
    <w:rsid w:val="00123C9D"/>
    <w:rsid w:val="0012556F"/>
    <w:rsid w:val="00125B56"/>
    <w:rsid w:val="00125DA3"/>
    <w:rsid w:val="00127745"/>
    <w:rsid w:val="00127AED"/>
    <w:rsid w:val="0013076F"/>
    <w:rsid w:val="001309FA"/>
    <w:rsid w:val="00131C6C"/>
    <w:rsid w:val="00131EF1"/>
    <w:rsid w:val="00131F7C"/>
    <w:rsid w:val="001333D2"/>
    <w:rsid w:val="001334DB"/>
    <w:rsid w:val="00133BA6"/>
    <w:rsid w:val="00134C2F"/>
    <w:rsid w:val="00135F05"/>
    <w:rsid w:val="00136310"/>
    <w:rsid w:val="0013686D"/>
    <w:rsid w:val="00137665"/>
    <w:rsid w:val="00137F5B"/>
    <w:rsid w:val="00140079"/>
    <w:rsid w:val="001404CC"/>
    <w:rsid w:val="001410AE"/>
    <w:rsid w:val="0014140D"/>
    <w:rsid w:val="00141C26"/>
    <w:rsid w:val="001430C8"/>
    <w:rsid w:val="001436D5"/>
    <w:rsid w:val="00143CE5"/>
    <w:rsid w:val="00143FBA"/>
    <w:rsid w:val="0015193E"/>
    <w:rsid w:val="00151A81"/>
    <w:rsid w:val="00151CBD"/>
    <w:rsid w:val="00152400"/>
    <w:rsid w:val="00153A8E"/>
    <w:rsid w:val="00153B9F"/>
    <w:rsid w:val="00154B67"/>
    <w:rsid w:val="00154E65"/>
    <w:rsid w:val="0015665B"/>
    <w:rsid w:val="001566DC"/>
    <w:rsid w:val="00160AB5"/>
    <w:rsid w:val="001613FB"/>
    <w:rsid w:val="00161CA1"/>
    <w:rsid w:val="00161D0F"/>
    <w:rsid w:val="00161D48"/>
    <w:rsid w:val="00162F95"/>
    <w:rsid w:val="00164561"/>
    <w:rsid w:val="00164F5F"/>
    <w:rsid w:val="00165314"/>
    <w:rsid w:val="00165A26"/>
    <w:rsid w:val="00167233"/>
    <w:rsid w:val="00167D04"/>
    <w:rsid w:val="00167F04"/>
    <w:rsid w:val="00170187"/>
    <w:rsid w:val="001724D4"/>
    <w:rsid w:val="00172A27"/>
    <w:rsid w:val="00173134"/>
    <w:rsid w:val="001731A5"/>
    <w:rsid w:val="00173AD3"/>
    <w:rsid w:val="00174BEE"/>
    <w:rsid w:val="00174CAB"/>
    <w:rsid w:val="00175324"/>
    <w:rsid w:val="00177AF6"/>
    <w:rsid w:val="0018093A"/>
    <w:rsid w:val="0018165E"/>
    <w:rsid w:val="00182BAF"/>
    <w:rsid w:val="00184125"/>
    <w:rsid w:val="00184EAF"/>
    <w:rsid w:val="00186594"/>
    <w:rsid w:val="0018786A"/>
    <w:rsid w:val="0019099B"/>
    <w:rsid w:val="00191FB7"/>
    <w:rsid w:val="001925F4"/>
    <w:rsid w:val="0019351D"/>
    <w:rsid w:val="00193E17"/>
    <w:rsid w:val="00194579"/>
    <w:rsid w:val="0019773E"/>
    <w:rsid w:val="00197FA2"/>
    <w:rsid w:val="001A0568"/>
    <w:rsid w:val="001A08CB"/>
    <w:rsid w:val="001A25CB"/>
    <w:rsid w:val="001A295F"/>
    <w:rsid w:val="001A42F7"/>
    <w:rsid w:val="001A76D7"/>
    <w:rsid w:val="001B3E5D"/>
    <w:rsid w:val="001B6C0B"/>
    <w:rsid w:val="001B70E0"/>
    <w:rsid w:val="001B7990"/>
    <w:rsid w:val="001C0567"/>
    <w:rsid w:val="001C0AC1"/>
    <w:rsid w:val="001C0C45"/>
    <w:rsid w:val="001C1369"/>
    <w:rsid w:val="001C183F"/>
    <w:rsid w:val="001C19FE"/>
    <w:rsid w:val="001C297F"/>
    <w:rsid w:val="001C2A93"/>
    <w:rsid w:val="001C2DCE"/>
    <w:rsid w:val="001C2F83"/>
    <w:rsid w:val="001C31D4"/>
    <w:rsid w:val="001C3476"/>
    <w:rsid w:val="001C50A8"/>
    <w:rsid w:val="001C53FF"/>
    <w:rsid w:val="001C5413"/>
    <w:rsid w:val="001D0AA1"/>
    <w:rsid w:val="001D142B"/>
    <w:rsid w:val="001D186B"/>
    <w:rsid w:val="001D2570"/>
    <w:rsid w:val="001D28C5"/>
    <w:rsid w:val="001D3141"/>
    <w:rsid w:val="001D314D"/>
    <w:rsid w:val="001D4843"/>
    <w:rsid w:val="001D4C33"/>
    <w:rsid w:val="001D75AE"/>
    <w:rsid w:val="001D786D"/>
    <w:rsid w:val="001E1CC9"/>
    <w:rsid w:val="001E2ECF"/>
    <w:rsid w:val="001E3703"/>
    <w:rsid w:val="001E37BB"/>
    <w:rsid w:val="001E4CE1"/>
    <w:rsid w:val="001E4D09"/>
    <w:rsid w:val="001F0129"/>
    <w:rsid w:val="001F108A"/>
    <w:rsid w:val="001F1A58"/>
    <w:rsid w:val="001F3E72"/>
    <w:rsid w:val="001F41C4"/>
    <w:rsid w:val="001F478B"/>
    <w:rsid w:val="001F545A"/>
    <w:rsid w:val="001F5756"/>
    <w:rsid w:val="001F60BC"/>
    <w:rsid w:val="001F6108"/>
    <w:rsid w:val="001F7464"/>
    <w:rsid w:val="001F79EF"/>
    <w:rsid w:val="001F7FEE"/>
    <w:rsid w:val="00200994"/>
    <w:rsid w:val="00201DED"/>
    <w:rsid w:val="00201EF0"/>
    <w:rsid w:val="00202BC7"/>
    <w:rsid w:val="00204141"/>
    <w:rsid w:val="00204542"/>
    <w:rsid w:val="0020506A"/>
    <w:rsid w:val="002059DA"/>
    <w:rsid w:val="00205B5F"/>
    <w:rsid w:val="002103BE"/>
    <w:rsid w:val="002109C6"/>
    <w:rsid w:val="00210F68"/>
    <w:rsid w:val="00211062"/>
    <w:rsid w:val="00211736"/>
    <w:rsid w:val="00212547"/>
    <w:rsid w:val="002125F6"/>
    <w:rsid w:val="00212F9E"/>
    <w:rsid w:val="00213D7A"/>
    <w:rsid w:val="00213E30"/>
    <w:rsid w:val="002142A8"/>
    <w:rsid w:val="00215125"/>
    <w:rsid w:val="002161F8"/>
    <w:rsid w:val="00216444"/>
    <w:rsid w:val="002164B0"/>
    <w:rsid w:val="002168F4"/>
    <w:rsid w:val="00216B4E"/>
    <w:rsid w:val="00216C1E"/>
    <w:rsid w:val="00216FFC"/>
    <w:rsid w:val="00217DDA"/>
    <w:rsid w:val="00220230"/>
    <w:rsid w:val="00220CF8"/>
    <w:rsid w:val="002212B3"/>
    <w:rsid w:val="00221514"/>
    <w:rsid w:val="00221E0A"/>
    <w:rsid w:val="00222C61"/>
    <w:rsid w:val="00223737"/>
    <w:rsid w:val="00223786"/>
    <w:rsid w:val="002237E6"/>
    <w:rsid w:val="00223B43"/>
    <w:rsid w:val="002243D4"/>
    <w:rsid w:val="00225819"/>
    <w:rsid w:val="00225D85"/>
    <w:rsid w:val="002260B6"/>
    <w:rsid w:val="00226714"/>
    <w:rsid w:val="00227B90"/>
    <w:rsid w:val="002319F3"/>
    <w:rsid w:val="00231C63"/>
    <w:rsid w:val="002345CC"/>
    <w:rsid w:val="0023497C"/>
    <w:rsid w:val="00235A19"/>
    <w:rsid w:val="00235DED"/>
    <w:rsid w:val="002369B4"/>
    <w:rsid w:val="00236A61"/>
    <w:rsid w:val="00237436"/>
    <w:rsid w:val="002374AA"/>
    <w:rsid w:val="00237501"/>
    <w:rsid w:val="002375A9"/>
    <w:rsid w:val="00240C7B"/>
    <w:rsid w:val="00240DC6"/>
    <w:rsid w:val="002414A7"/>
    <w:rsid w:val="002414F4"/>
    <w:rsid w:val="002422F3"/>
    <w:rsid w:val="0024273D"/>
    <w:rsid w:val="002435BE"/>
    <w:rsid w:val="00243C4D"/>
    <w:rsid w:val="00243E8F"/>
    <w:rsid w:val="002443EB"/>
    <w:rsid w:val="00245DB6"/>
    <w:rsid w:val="00247225"/>
    <w:rsid w:val="00247C05"/>
    <w:rsid w:val="00247EFD"/>
    <w:rsid w:val="0025115C"/>
    <w:rsid w:val="00252690"/>
    <w:rsid w:val="002534A8"/>
    <w:rsid w:val="002556E8"/>
    <w:rsid w:val="00255706"/>
    <w:rsid w:val="00255E48"/>
    <w:rsid w:val="00256846"/>
    <w:rsid w:val="00256EAC"/>
    <w:rsid w:val="0026136C"/>
    <w:rsid w:val="0026188C"/>
    <w:rsid w:val="00261DA3"/>
    <w:rsid w:val="002621FE"/>
    <w:rsid w:val="00262633"/>
    <w:rsid w:val="0026298B"/>
    <w:rsid w:val="00262AF6"/>
    <w:rsid w:val="00262BEF"/>
    <w:rsid w:val="00263926"/>
    <w:rsid w:val="00263F27"/>
    <w:rsid w:val="00263F8F"/>
    <w:rsid w:val="00263FBB"/>
    <w:rsid w:val="00264603"/>
    <w:rsid w:val="002646D1"/>
    <w:rsid w:val="00264746"/>
    <w:rsid w:val="002648D8"/>
    <w:rsid w:val="00264B71"/>
    <w:rsid w:val="00265F36"/>
    <w:rsid w:val="00270EC2"/>
    <w:rsid w:val="00271514"/>
    <w:rsid w:val="00272175"/>
    <w:rsid w:val="0027386F"/>
    <w:rsid w:val="00274009"/>
    <w:rsid w:val="002744A8"/>
    <w:rsid w:val="0027534B"/>
    <w:rsid w:val="00276A61"/>
    <w:rsid w:val="0027763E"/>
    <w:rsid w:val="00277C8F"/>
    <w:rsid w:val="00280279"/>
    <w:rsid w:val="00280B99"/>
    <w:rsid w:val="00281708"/>
    <w:rsid w:val="00281823"/>
    <w:rsid w:val="00282B57"/>
    <w:rsid w:val="002855A0"/>
    <w:rsid w:val="002861B1"/>
    <w:rsid w:val="0028646E"/>
    <w:rsid w:val="00287E49"/>
    <w:rsid w:val="00290687"/>
    <w:rsid w:val="0029110D"/>
    <w:rsid w:val="002919E7"/>
    <w:rsid w:val="002922F1"/>
    <w:rsid w:val="002929C3"/>
    <w:rsid w:val="00292E68"/>
    <w:rsid w:val="00293B13"/>
    <w:rsid w:val="002940BF"/>
    <w:rsid w:val="00294210"/>
    <w:rsid w:val="00294E31"/>
    <w:rsid w:val="00294E9D"/>
    <w:rsid w:val="002950D8"/>
    <w:rsid w:val="00295D3A"/>
    <w:rsid w:val="00296139"/>
    <w:rsid w:val="002A0EC5"/>
    <w:rsid w:val="002A4090"/>
    <w:rsid w:val="002A5BE3"/>
    <w:rsid w:val="002A5E3B"/>
    <w:rsid w:val="002A627B"/>
    <w:rsid w:val="002A6AC1"/>
    <w:rsid w:val="002A6FAE"/>
    <w:rsid w:val="002A72CD"/>
    <w:rsid w:val="002A7AA4"/>
    <w:rsid w:val="002B1121"/>
    <w:rsid w:val="002B1281"/>
    <w:rsid w:val="002B1697"/>
    <w:rsid w:val="002B3126"/>
    <w:rsid w:val="002B3E08"/>
    <w:rsid w:val="002B4F24"/>
    <w:rsid w:val="002B53F6"/>
    <w:rsid w:val="002B6383"/>
    <w:rsid w:val="002B6928"/>
    <w:rsid w:val="002B6E7A"/>
    <w:rsid w:val="002B7FBE"/>
    <w:rsid w:val="002C016E"/>
    <w:rsid w:val="002C03CC"/>
    <w:rsid w:val="002C05F5"/>
    <w:rsid w:val="002C0F11"/>
    <w:rsid w:val="002C1618"/>
    <w:rsid w:val="002C1F0F"/>
    <w:rsid w:val="002C2676"/>
    <w:rsid w:val="002C2AD4"/>
    <w:rsid w:val="002C2E2C"/>
    <w:rsid w:val="002C36B3"/>
    <w:rsid w:val="002C4886"/>
    <w:rsid w:val="002C4F42"/>
    <w:rsid w:val="002C5A6D"/>
    <w:rsid w:val="002C663C"/>
    <w:rsid w:val="002C7C15"/>
    <w:rsid w:val="002C7D9A"/>
    <w:rsid w:val="002D0035"/>
    <w:rsid w:val="002D1983"/>
    <w:rsid w:val="002D24A9"/>
    <w:rsid w:val="002D4FF4"/>
    <w:rsid w:val="002D598C"/>
    <w:rsid w:val="002D5CA9"/>
    <w:rsid w:val="002D6C61"/>
    <w:rsid w:val="002D77FC"/>
    <w:rsid w:val="002D7E08"/>
    <w:rsid w:val="002E0537"/>
    <w:rsid w:val="002E175A"/>
    <w:rsid w:val="002E1787"/>
    <w:rsid w:val="002E1C75"/>
    <w:rsid w:val="002E22B1"/>
    <w:rsid w:val="002E32C3"/>
    <w:rsid w:val="002E5B72"/>
    <w:rsid w:val="002E5CAA"/>
    <w:rsid w:val="002E60E8"/>
    <w:rsid w:val="002E67CB"/>
    <w:rsid w:val="002E6AEC"/>
    <w:rsid w:val="002E6B72"/>
    <w:rsid w:val="002F022E"/>
    <w:rsid w:val="002F05B2"/>
    <w:rsid w:val="002F14D3"/>
    <w:rsid w:val="002F1607"/>
    <w:rsid w:val="002F265E"/>
    <w:rsid w:val="002F28AB"/>
    <w:rsid w:val="002F2933"/>
    <w:rsid w:val="002F4008"/>
    <w:rsid w:val="002F46F8"/>
    <w:rsid w:val="002F5104"/>
    <w:rsid w:val="002F5364"/>
    <w:rsid w:val="002F58A6"/>
    <w:rsid w:val="002F6512"/>
    <w:rsid w:val="002F69F6"/>
    <w:rsid w:val="002F7E89"/>
    <w:rsid w:val="003000C1"/>
    <w:rsid w:val="00300FE1"/>
    <w:rsid w:val="00301303"/>
    <w:rsid w:val="0030132E"/>
    <w:rsid w:val="00301962"/>
    <w:rsid w:val="00301E25"/>
    <w:rsid w:val="0030450B"/>
    <w:rsid w:val="00304BBC"/>
    <w:rsid w:val="003055FB"/>
    <w:rsid w:val="003058CC"/>
    <w:rsid w:val="003068E1"/>
    <w:rsid w:val="003079B2"/>
    <w:rsid w:val="00307D82"/>
    <w:rsid w:val="003106A6"/>
    <w:rsid w:val="00310EE9"/>
    <w:rsid w:val="003112D0"/>
    <w:rsid w:val="00312777"/>
    <w:rsid w:val="00312F72"/>
    <w:rsid w:val="00314F85"/>
    <w:rsid w:val="00316A58"/>
    <w:rsid w:val="00316B12"/>
    <w:rsid w:val="00317490"/>
    <w:rsid w:val="003176AA"/>
    <w:rsid w:val="00320650"/>
    <w:rsid w:val="0032157A"/>
    <w:rsid w:val="003226ED"/>
    <w:rsid w:val="0032365E"/>
    <w:rsid w:val="00324A01"/>
    <w:rsid w:val="00325DE7"/>
    <w:rsid w:val="00326732"/>
    <w:rsid w:val="00326FD1"/>
    <w:rsid w:val="00327403"/>
    <w:rsid w:val="003302E8"/>
    <w:rsid w:val="003314F4"/>
    <w:rsid w:val="00331A1C"/>
    <w:rsid w:val="003321F6"/>
    <w:rsid w:val="00332C39"/>
    <w:rsid w:val="0033385C"/>
    <w:rsid w:val="0033392E"/>
    <w:rsid w:val="00333A85"/>
    <w:rsid w:val="00334CA8"/>
    <w:rsid w:val="00334FE4"/>
    <w:rsid w:val="00335935"/>
    <w:rsid w:val="00335DA1"/>
    <w:rsid w:val="00336328"/>
    <w:rsid w:val="00337647"/>
    <w:rsid w:val="00337C30"/>
    <w:rsid w:val="0034064F"/>
    <w:rsid w:val="00341741"/>
    <w:rsid w:val="00342529"/>
    <w:rsid w:val="00344F38"/>
    <w:rsid w:val="0034538F"/>
    <w:rsid w:val="003454CA"/>
    <w:rsid w:val="00345522"/>
    <w:rsid w:val="00345637"/>
    <w:rsid w:val="00345BED"/>
    <w:rsid w:val="00346B08"/>
    <w:rsid w:val="00346CEA"/>
    <w:rsid w:val="00346FB5"/>
    <w:rsid w:val="0034777C"/>
    <w:rsid w:val="00351F8D"/>
    <w:rsid w:val="00352B18"/>
    <w:rsid w:val="00352FF3"/>
    <w:rsid w:val="0035458F"/>
    <w:rsid w:val="00355053"/>
    <w:rsid w:val="0035522D"/>
    <w:rsid w:val="0035562D"/>
    <w:rsid w:val="0035624F"/>
    <w:rsid w:val="00356791"/>
    <w:rsid w:val="0035727B"/>
    <w:rsid w:val="003576D0"/>
    <w:rsid w:val="00357FC7"/>
    <w:rsid w:val="00360EE6"/>
    <w:rsid w:val="0036235F"/>
    <w:rsid w:val="00363799"/>
    <w:rsid w:val="00363D51"/>
    <w:rsid w:val="00363FA5"/>
    <w:rsid w:val="00364CFC"/>
    <w:rsid w:val="00365C36"/>
    <w:rsid w:val="00366B67"/>
    <w:rsid w:val="00366FC8"/>
    <w:rsid w:val="0036721F"/>
    <w:rsid w:val="00367CC7"/>
    <w:rsid w:val="00367D61"/>
    <w:rsid w:val="00370CD9"/>
    <w:rsid w:val="00372298"/>
    <w:rsid w:val="00373C6F"/>
    <w:rsid w:val="0037429D"/>
    <w:rsid w:val="003750A6"/>
    <w:rsid w:val="00376066"/>
    <w:rsid w:val="00376663"/>
    <w:rsid w:val="0037670E"/>
    <w:rsid w:val="00376777"/>
    <w:rsid w:val="00376D7C"/>
    <w:rsid w:val="00377E10"/>
    <w:rsid w:val="003802F8"/>
    <w:rsid w:val="0038067E"/>
    <w:rsid w:val="0038138E"/>
    <w:rsid w:val="00381A1E"/>
    <w:rsid w:val="00381A43"/>
    <w:rsid w:val="00381BDC"/>
    <w:rsid w:val="00383216"/>
    <w:rsid w:val="003853B6"/>
    <w:rsid w:val="003853DD"/>
    <w:rsid w:val="00385CB2"/>
    <w:rsid w:val="00386905"/>
    <w:rsid w:val="00386B95"/>
    <w:rsid w:val="00386B99"/>
    <w:rsid w:val="00390242"/>
    <w:rsid w:val="0039046D"/>
    <w:rsid w:val="003916FD"/>
    <w:rsid w:val="0039194A"/>
    <w:rsid w:val="0039428C"/>
    <w:rsid w:val="0039429F"/>
    <w:rsid w:val="00395327"/>
    <w:rsid w:val="00395E11"/>
    <w:rsid w:val="0039687E"/>
    <w:rsid w:val="00397988"/>
    <w:rsid w:val="00397D89"/>
    <w:rsid w:val="003A0786"/>
    <w:rsid w:val="003A11AB"/>
    <w:rsid w:val="003A11F7"/>
    <w:rsid w:val="003A1D78"/>
    <w:rsid w:val="003A2A1A"/>
    <w:rsid w:val="003A2B9C"/>
    <w:rsid w:val="003A2EFD"/>
    <w:rsid w:val="003A3DD4"/>
    <w:rsid w:val="003A5EEC"/>
    <w:rsid w:val="003A6736"/>
    <w:rsid w:val="003B006D"/>
    <w:rsid w:val="003B03DB"/>
    <w:rsid w:val="003B0CB7"/>
    <w:rsid w:val="003B1AD2"/>
    <w:rsid w:val="003B2087"/>
    <w:rsid w:val="003B27DC"/>
    <w:rsid w:val="003B4320"/>
    <w:rsid w:val="003B5819"/>
    <w:rsid w:val="003B61D5"/>
    <w:rsid w:val="003B6DD7"/>
    <w:rsid w:val="003B7529"/>
    <w:rsid w:val="003C161D"/>
    <w:rsid w:val="003C1A79"/>
    <w:rsid w:val="003C1C33"/>
    <w:rsid w:val="003C1C39"/>
    <w:rsid w:val="003C271C"/>
    <w:rsid w:val="003C2C1B"/>
    <w:rsid w:val="003C2C46"/>
    <w:rsid w:val="003C5349"/>
    <w:rsid w:val="003C5A31"/>
    <w:rsid w:val="003C6246"/>
    <w:rsid w:val="003C6954"/>
    <w:rsid w:val="003C74B9"/>
    <w:rsid w:val="003C7A95"/>
    <w:rsid w:val="003D08BD"/>
    <w:rsid w:val="003D109A"/>
    <w:rsid w:val="003D12F9"/>
    <w:rsid w:val="003D1973"/>
    <w:rsid w:val="003D1F72"/>
    <w:rsid w:val="003D2852"/>
    <w:rsid w:val="003D2C63"/>
    <w:rsid w:val="003D48F5"/>
    <w:rsid w:val="003D4B56"/>
    <w:rsid w:val="003D4DE0"/>
    <w:rsid w:val="003D4FFF"/>
    <w:rsid w:val="003E1A24"/>
    <w:rsid w:val="003E1B30"/>
    <w:rsid w:val="003E1B71"/>
    <w:rsid w:val="003E3916"/>
    <w:rsid w:val="003E45CF"/>
    <w:rsid w:val="003E4D38"/>
    <w:rsid w:val="003E53C5"/>
    <w:rsid w:val="003E5DBA"/>
    <w:rsid w:val="003E73A2"/>
    <w:rsid w:val="003E7521"/>
    <w:rsid w:val="003E7BE3"/>
    <w:rsid w:val="003F073F"/>
    <w:rsid w:val="003F090F"/>
    <w:rsid w:val="003F0D16"/>
    <w:rsid w:val="003F10B8"/>
    <w:rsid w:val="003F1E53"/>
    <w:rsid w:val="003F2B5C"/>
    <w:rsid w:val="003F2D61"/>
    <w:rsid w:val="003F3CD0"/>
    <w:rsid w:val="003F4422"/>
    <w:rsid w:val="003F5C2F"/>
    <w:rsid w:val="003F5FE5"/>
    <w:rsid w:val="003F79A1"/>
    <w:rsid w:val="003F7CDB"/>
    <w:rsid w:val="0040077F"/>
    <w:rsid w:val="00401451"/>
    <w:rsid w:val="00402161"/>
    <w:rsid w:val="00403545"/>
    <w:rsid w:val="00403796"/>
    <w:rsid w:val="00403CBB"/>
    <w:rsid w:val="00403EBD"/>
    <w:rsid w:val="00404964"/>
    <w:rsid w:val="00405402"/>
    <w:rsid w:val="0040584D"/>
    <w:rsid w:val="00405F87"/>
    <w:rsid w:val="0040623E"/>
    <w:rsid w:val="00406434"/>
    <w:rsid w:val="0040651F"/>
    <w:rsid w:val="0040699C"/>
    <w:rsid w:val="00407112"/>
    <w:rsid w:val="00407E81"/>
    <w:rsid w:val="00410941"/>
    <w:rsid w:val="00411100"/>
    <w:rsid w:val="00411345"/>
    <w:rsid w:val="00411F43"/>
    <w:rsid w:val="004125E6"/>
    <w:rsid w:val="00414EE2"/>
    <w:rsid w:val="00416788"/>
    <w:rsid w:val="00416840"/>
    <w:rsid w:val="004168A5"/>
    <w:rsid w:val="00417379"/>
    <w:rsid w:val="004175D7"/>
    <w:rsid w:val="00417C59"/>
    <w:rsid w:val="00422A74"/>
    <w:rsid w:val="00422AFF"/>
    <w:rsid w:val="00422E7D"/>
    <w:rsid w:val="00423327"/>
    <w:rsid w:val="00423C37"/>
    <w:rsid w:val="00424E36"/>
    <w:rsid w:val="00424F33"/>
    <w:rsid w:val="004259B8"/>
    <w:rsid w:val="00426996"/>
    <w:rsid w:val="00427E67"/>
    <w:rsid w:val="004315B4"/>
    <w:rsid w:val="00432DBB"/>
    <w:rsid w:val="004332AB"/>
    <w:rsid w:val="00433A1E"/>
    <w:rsid w:val="00433AEF"/>
    <w:rsid w:val="004341D8"/>
    <w:rsid w:val="004343DA"/>
    <w:rsid w:val="004352E1"/>
    <w:rsid w:val="004353B2"/>
    <w:rsid w:val="00436143"/>
    <w:rsid w:val="004366B9"/>
    <w:rsid w:val="00437CA4"/>
    <w:rsid w:val="00440011"/>
    <w:rsid w:val="00440C31"/>
    <w:rsid w:val="00440D78"/>
    <w:rsid w:val="004414DE"/>
    <w:rsid w:val="0044368F"/>
    <w:rsid w:val="00443DF6"/>
    <w:rsid w:val="00444304"/>
    <w:rsid w:val="00446675"/>
    <w:rsid w:val="00446DC4"/>
    <w:rsid w:val="00447335"/>
    <w:rsid w:val="00447A50"/>
    <w:rsid w:val="00450089"/>
    <w:rsid w:val="00451513"/>
    <w:rsid w:val="00451B3E"/>
    <w:rsid w:val="00451C0F"/>
    <w:rsid w:val="00451DB0"/>
    <w:rsid w:val="004522EF"/>
    <w:rsid w:val="00453A9F"/>
    <w:rsid w:val="0045444E"/>
    <w:rsid w:val="00455A71"/>
    <w:rsid w:val="0045710C"/>
    <w:rsid w:val="00457215"/>
    <w:rsid w:val="00457CA7"/>
    <w:rsid w:val="004611AF"/>
    <w:rsid w:val="00461DF0"/>
    <w:rsid w:val="004625CF"/>
    <w:rsid w:val="00462CC9"/>
    <w:rsid w:val="00463517"/>
    <w:rsid w:val="00463B60"/>
    <w:rsid w:val="00463BC5"/>
    <w:rsid w:val="0046436E"/>
    <w:rsid w:val="0046550F"/>
    <w:rsid w:val="004658F5"/>
    <w:rsid w:val="00466C8E"/>
    <w:rsid w:val="004672C9"/>
    <w:rsid w:val="00467711"/>
    <w:rsid w:val="00467C22"/>
    <w:rsid w:val="004704E4"/>
    <w:rsid w:val="00470AD7"/>
    <w:rsid w:val="00471500"/>
    <w:rsid w:val="00472659"/>
    <w:rsid w:val="00474F9D"/>
    <w:rsid w:val="00475064"/>
    <w:rsid w:val="00480110"/>
    <w:rsid w:val="004813ED"/>
    <w:rsid w:val="00481E8B"/>
    <w:rsid w:val="004832A3"/>
    <w:rsid w:val="00484A58"/>
    <w:rsid w:val="00484B38"/>
    <w:rsid w:val="00484F4B"/>
    <w:rsid w:val="004858B4"/>
    <w:rsid w:val="00485B3D"/>
    <w:rsid w:val="00486014"/>
    <w:rsid w:val="0048759A"/>
    <w:rsid w:val="00487A2D"/>
    <w:rsid w:val="00487D13"/>
    <w:rsid w:val="00490739"/>
    <w:rsid w:val="004917EF"/>
    <w:rsid w:val="00491C21"/>
    <w:rsid w:val="0049297C"/>
    <w:rsid w:val="00493449"/>
    <w:rsid w:val="00493811"/>
    <w:rsid w:val="00493C3F"/>
    <w:rsid w:val="00494056"/>
    <w:rsid w:val="0049434C"/>
    <w:rsid w:val="0049447C"/>
    <w:rsid w:val="00495073"/>
    <w:rsid w:val="0049548D"/>
    <w:rsid w:val="0049566B"/>
    <w:rsid w:val="00496879"/>
    <w:rsid w:val="00496A3C"/>
    <w:rsid w:val="0049714E"/>
    <w:rsid w:val="004A0EB8"/>
    <w:rsid w:val="004A26B9"/>
    <w:rsid w:val="004A2731"/>
    <w:rsid w:val="004A2D34"/>
    <w:rsid w:val="004A3BA3"/>
    <w:rsid w:val="004A3C1F"/>
    <w:rsid w:val="004A45EA"/>
    <w:rsid w:val="004A49F4"/>
    <w:rsid w:val="004A4B59"/>
    <w:rsid w:val="004A7116"/>
    <w:rsid w:val="004B05B8"/>
    <w:rsid w:val="004B07C8"/>
    <w:rsid w:val="004B101F"/>
    <w:rsid w:val="004B22B0"/>
    <w:rsid w:val="004B2551"/>
    <w:rsid w:val="004B2ECC"/>
    <w:rsid w:val="004B2FF8"/>
    <w:rsid w:val="004B63E6"/>
    <w:rsid w:val="004B6633"/>
    <w:rsid w:val="004B791B"/>
    <w:rsid w:val="004C052B"/>
    <w:rsid w:val="004C0998"/>
    <w:rsid w:val="004C0E26"/>
    <w:rsid w:val="004C1E04"/>
    <w:rsid w:val="004C1FF6"/>
    <w:rsid w:val="004C2A7E"/>
    <w:rsid w:val="004C3697"/>
    <w:rsid w:val="004C41CA"/>
    <w:rsid w:val="004C453E"/>
    <w:rsid w:val="004C6880"/>
    <w:rsid w:val="004C71D3"/>
    <w:rsid w:val="004C726C"/>
    <w:rsid w:val="004C7277"/>
    <w:rsid w:val="004C74B7"/>
    <w:rsid w:val="004C77DC"/>
    <w:rsid w:val="004C7D9B"/>
    <w:rsid w:val="004D0152"/>
    <w:rsid w:val="004D02CD"/>
    <w:rsid w:val="004D10B5"/>
    <w:rsid w:val="004D1344"/>
    <w:rsid w:val="004D1AE8"/>
    <w:rsid w:val="004D2612"/>
    <w:rsid w:val="004D3BA0"/>
    <w:rsid w:val="004D3CCE"/>
    <w:rsid w:val="004D3E50"/>
    <w:rsid w:val="004D46B2"/>
    <w:rsid w:val="004D568A"/>
    <w:rsid w:val="004D57CF"/>
    <w:rsid w:val="004D6887"/>
    <w:rsid w:val="004D6FBA"/>
    <w:rsid w:val="004D73F1"/>
    <w:rsid w:val="004D7A0C"/>
    <w:rsid w:val="004D7B88"/>
    <w:rsid w:val="004D7F24"/>
    <w:rsid w:val="004E1A4C"/>
    <w:rsid w:val="004E1ADD"/>
    <w:rsid w:val="004E1D55"/>
    <w:rsid w:val="004E2147"/>
    <w:rsid w:val="004E2353"/>
    <w:rsid w:val="004E298A"/>
    <w:rsid w:val="004E3775"/>
    <w:rsid w:val="004E43DC"/>
    <w:rsid w:val="004E4818"/>
    <w:rsid w:val="004E4EC9"/>
    <w:rsid w:val="004E52F7"/>
    <w:rsid w:val="004E5DD1"/>
    <w:rsid w:val="004E683F"/>
    <w:rsid w:val="004E7D49"/>
    <w:rsid w:val="004F2031"/>
    <w:rsid w:val="004F228F"/>
    <w:rsid w:val="004F254D"/>
    <w:rsid w:val="004F2C7A"/>
    <w:rsid w:val="004F2F71"/>
    <w:rsid w:val="004F3735"/>
    <w:rsid w:val="004F3A68"/>
    <w:rsid w:val="004F3E61"/>
    <w:rsid w:val="004F481D"/>
    <w:rsid w:val="004F48DD"/>
    <w:rsid w:val="004F4985"/>
    <w:rsid w:val="004F5750"/>
    <w:rsid w:val="004F6CC9"/>
    <w:rsid w:val="004F7521"/>
    <w:rsid w:val="00500C9A"/>
    <w:rsid w:val="00501346"/>
    <w:rsid w:val="00502B25"/>
    <w:rsid w:val="00503229"/>
    <w:rsid w:val="005035D8"/>
    <w:rsid w:val="00503860"/>
    <w:rsid w:val="0050566B"/>
    <w:rsid w:val="00505C9F"/>
    <w:rsid w:val="00506E04"/>
    <w:rsid w:val="00506EDF"/>
    <w:rsid w:val="00507357"/>
    <w:rsid w:val="005106E2"/>
    <w:rsid w:val="00510AA5"/>
    <w:rsid w:val="0051113B"/>
    <w:rsid w:val="005117B7"/>
    <w:rsid w:val="00511D70"/>
    <w:rsid w:val="00511DB0"/>
    <w:rsid w:val="00511F94"/>
    <w:rsid w:val="00513010"/>
    <w:rsid w:val="00514A00"/>
    <w:rsid w:val="00514D8D"/>
    <w:rsid w:val="00516C0D"/>
    <w:rsid w:val="00517ACF"/>
    <w:rsid w:val="005202BA"/>
    <w:rsid w:val="00520403"/>
    <w:rsid w:val="00520CD0"/>
    <w:rsid w:val="005221DC"/>
    <w:rsid w:val="005226BC"/>
    <w:rsid w:val="00522BDA"/>
    <w:rsid w:val="005232A7"/>
    <w:rsid w:val="00523CBE"/>
    <w:rsid w:val="005240AE"/>
    <w:rsid w:val="00524F65"/>
    <w:rsid w:val="00524FCF"/>
    <w:rsid w:val="005250F6"/>
    <w:rsid w:val="00525186"/>
    <w:rsid w:val="00526CC6"/>
    <w:rsid w:val="005273CA"/>
    <w:rsid w:val="00527443"/>
    <w:rsid w:val="00527C8E"/>
    <w:rsid w:val="005327CF"/>
    <w:rsid w:val="00532986"/>
    <w:rsid w:val="00533CB2"/>
    <w:rsid w:val="00535C8D"/>
    <w:rsid w:val="00535F96"/>
    <w:rsid w:val="0053780F"/>
    <w:rsid w:val="005401A1"/>
    <w:rsid w:val="00541A23"/>
    <w:rsid w:val="00542FB5"/>
    <w:rsid w:val="0054379E"/>
    <w:rsid w:val="005445B7"/>
    <w:rsid w:val="00544786"/>
    <w:rsid w:val="00545985"/>
    <w:rsid w:val="005459CA"/>
    <w:rsid w:val="0054663D"/>
    <w:rsid w:val="00546735"/>
    <w:rsid w:val="00546C7F"/>
    <w:rsid w:val="00546DD4"/>
    <w:rsid w:val="00550EED"/>
    <w:rsid w:val="00553395"/>
    <w:rsid w:val="0055349C"/>
    <w:rsid w:val="0055507C"/>
    <w:rsid w:val="00557769"/>
    <w:rsid w:val="00560D30"/>
    <w:rsid w:val="00563E4C"/>
    <w:rsid w:val="00564410"/>
    <w:rsid w:val="00564870"/>
    <w:rsid w:val="005655EE"/>
    <w:rsid w:val="00565E2D"/>
    <w:rsid w:val="00565E37"/>
    <w:rsid w:val="005675E3"/>
    <w:rsid w:val="00570B52"/>
    <w:rsid w:val="00573108"/>
    <w:rsid w:val="00573322"/>
    <w:rsid w:val="00573689"/>
    <w:rsid w:val="005741DA"/>
    <w:rsid w:val="00574BAA"/>
    <w:rsid w:val="005756F9"/>
    <w:rsid w:val="00577A32"/>
    <w:rsid w:val="00577B08"/>
    <w:rsid w:val="00580DB2"/>
    <w:rsid w:val="00584849"/>
    <w:rsid w:val="00585903"/>
    <w:rsid w:val="00585CEA"/>
    <w:rsid w:val="00585EC6"/>
    <w:rsid w:val="005862BE"/>
    <w:rsid w:val="00586BF6"/>
    <w:rsid w:val="00586E33"/>
    <w:rsid w:val="00587B05"/>
    <w:rsid w:val="00587B41"/>
    <w:rsid w:val="00590328"/>
    <w:rsid w:val="005903B4"/>
    <w:rsid w:val="0059058F"/>
    <w:rsid w:val="00592290"/>
    <w:rsid w:val="00592615"/>
    <w:rsid w:val="005926E5"/>
    <w:rsid w:val="00594BF6"/>
    <w:rsid w:val="005952CC"/>
    <w:rsid w:val="00595E2C"/>
    <w:rsid w:val="00595E6F"/>
    <w:rsid w:val="005A1F0E"/>
    <w:rsid w:val="005A2E8D"/>
    <w:rsid w:val="005A3264"/>
    <w:rsid w:val="005A35BD"/>
    <w:rsid w:val="005A586E"/>
    <w:rsid w:val="005A7153"/>
    <w:rsid w:val="005A7F02"/>
    <w:rsid w:val="005B2563"/>
    <w:rsid w:val="005B28A0"/>
    <w:rsid w:val="005B2901"/>
    <w:rsid w:val="005B3D32"/>
    <w:rsid w:val="005B462E"/>
    <w:rsid w:val="005B4A4D"/>
    <w:rsid w:val="005B4C79"/>
    <w:rsid w:val="005B53D6"/>
    <w:rsid w:val="005B53FB"/>
    <w:rsid w:val="005B55F1"/>
    <w:rsid w:val="005B562F"/>
    <w:rsid w:val="005B669C"/>
    <w:rsid w:val="005B6F44"/>
    <w:rsid w:val="005C0DDC"/>
    <w:rsid w:val="005C1F12"/>
    <w:rsid w:val="005C2021"/>
    <w:rsid w:val="005C2585"/>
    <w:rsid w:val="005C2AC4"/>
    <w:rsid w:val="005C31D0"/>
    <w:rsid w:val="005C3AB2"/>
    <w:rsid w:val="005C49AD"/>
    <w:rsid w:val="005C651C"/>
    <w:rsid w:val="005C6C96"/>
    <w:rsid w:val="005C6F0D"/>
    <w:rsid w:val="005C7161"/>
    <w:rsid w:val="005C73CE"/>
    <w:rsid w:val="005C75AC"/>
    <w:rsid w:val="005D03F9"/>
    <w:rsid w:val="005D0861"/>
    <w:rsid w:val="005D123C"/>
    <w:rsid w:val="005D13A7"/>
    <w:rsid w:val="005D26E5"/>
    <w:rsid w:val="005D31F5"/>
    <w:rsid w:val="005D4145"/>
    <w:rsid w:val="005D42F9"/>
    <w:rsid w:val="005D44F4"/>
    <w:rsid w:val="005D49FE"/>
    <w:rsid w:val="005D4C6B"/>
    <w:rsid w:val="005D4F18"/>
    <w:rsid w:val="005D6005"/>
    <w:rsid w:val="005D6AA7"/>
    <w:rsid w:val="005D6F0D"/>
    <w:rsid w:val="005E133B"/>
    <w:rsid w:val="005E153D"/>
    <w:rsid w:val="005E27F3"/>
    <w:rsid w:val="005E35F2"/>
    <w:rsid w:val="005E4B02"/>
    <w:rsid w:val="005E6D70"/>
    <w:rsid w:val="005E742C"/>
    <w:rsid w:val="005E79CC"/>
    <w:rsid w:val="005F0BC6"/>
    <w:rsid w:val="005F2145"/>
    <w:rsid w:val="005F2343"/>
    <w:rsid w:val="005F4DF1"/>
    <w:rsid w:val="005F5A60"/>
    <w:rsid w:val="005F6269"/>
    <w:rsid w:val="005F720E"/>
    <w:rsid w:val="00600292"/>
    <w:rsid w:val="00601C31"/>
    <w:rsid w:val="0060213F"/>
    <w:rsid w:val="006036BA"/>
    <w:rsid w:val="0060385D"/>
    <w:rsid w:val="00604282"/>
    <w:rsid w:val="00604857"/>
    <w:rsid w:val="00604E4D"/>
    <w:rsid w:val="0060502D"/>
    <w:rsid w:val="00605182"/>
    <w:rsid w:val="006071B1"/>
    <w:rsid w:val="00607DE9"/>
    <w:rsid w:val="00610BF9"/>
    <w:rsid w:val="0061265A"/>
    <w:rsid w:val="0061312A"/>
    <w:rsid w:val="00613C3B"/>
    <w:rsid w:val="00613C99"/>
    <w:rsid w:val="00614626"/>
    <w:rsid w:val="00614D87"/>
    <w:rsid w:val="006154F9"/>
    <w:rsid w:val="00615E5C"/>
    <w:rsid w:val="0061604A"/>
    <w:rsid w:val="00616536"/>
    <w:rsid w:val="0061720C"/>
    <w:rsid w:val="0061749A"/>
    <w:rsid w:val="006208A6"/>
    <w:rsid w:val="00621A97"/>
    <w:rsid w:val="00623133"/>
    <w:rsid w:val="00623195"/>
    <w:rsid w:val="00624D25"/>
    <w:rsid w:val="00627C8C"/>
    <w:rsid w:val="00631337"/>
    <w:rsid w:val="00632438"/>
    <w:rsid w:val="00632602"/>
    <w:rsid w:val="00633588"/>
    <w:rsid w:val="00634560"/>
    <w:rsid w:val="0063456E"/>
    <w:rsid w:val="00635EC6"/>
    <w:rsid w:val="00636190"/>
    <w:rsid w:val="0063692B"/>
    <w:rsid w:val="0063786C"/>
    <w:rsid w:val="006379A2"/>
    <w:rsid w:val="00637AEE"/>
    <w:rsid w:val="00640DE0"/>
    <w:rsid w:val="00641FCC"/>
    <w:rsid w:val="00642C8A"/>
    <w:rsid w:val="00642D46"/>
    <w:rsid w:val="00642E6D"/>
    <w:rsid w:val="00642EC5"/>
    <w:rsid w:val="00644506"/>
    <w:rsid w:val="006446CA"/>
    <w:rsid w:val="006458B1"/>
    <w:rsid w:val="00646AD1"/>
    <w:rsid w:val="006473F9"/>
    <w:rsid w:val="00647DD4"/>
    <w:rsid w:val="006508D2"/>
    <w:rsid w:val="00650DDA"/>
    <w:rsid w:val="0065136D"/>
    <w:rsid w:val="00651F9A"/>
    <w:rsid w:val="006525D4"/>
    <w:rsid w:val="00653220"/>
    <w:rsid w:val="006534CA"/>
    <w:rsid w:val="006538AE"/>
    <w:rsid w:val="006549CA"/>
    <w:rsid w:val="00654CD6"/>
    <w:rsid w:val="006568AD"/>
    <w:rsid w:val="006573BC"/>
    <w:rsid w:val="006577FC"/>
    <w:rsid w:val="00661106"/>
    <w:rsid w:val="006613AF"/>
    <w:rsid w:val="00661F3D"/>
    <w:rsid w:val="006626FB"/>
    <w:rsid w:val="00662DE5"/>
    <w:rsid w:val="00662EE3"/>
    <w:rsid w:val="00663866"/>
    <w:rsid w:val="00663C17"/>
    <w:rsid w:val="00664E45"/>
    <w:rsid w:val="00666AB3"/>
    <w:rsid w:val="00666CE9"/>
    <w:rsid w:val="00670501"/>
    <w:rsid w:val="00670B8B"/>
    <w:rsid w:val="006711F1"/>
    <w:rsid w:val="00671253"/>
    <w:rsid w:val="00672D93"/>
    <w:rsid w:val="00672EC8"/>
    <w:rsid w:val="006736F9"/>
    <w:rsid w:val="00673EFF"/>
    <w:rsid w:val="0067453D"/>
    <w:rsid w:val="0067464E"/>
    <w:rsid w:val="006749F5"/>
    <w:rsid w:val="0067517C"/>
    <w:rsid w:val="00675481"/>
    <w:rsid w:val="00675757"/>
    <w:rsid w:val="006766D6"/>
    <w:rsid w:val="00676C2B"/>
    <w:rsid w:val="00677885"/>
    <w:rsid w:val="00677894"/>
    <w:rsid w:val="00677EB5"/>
    <w:rsid w:val="00677F50"/>
    <w:rsid w:val="006813B1"/>
    <w:rsid w:val="00682015"/>
    <w:rsid w:val="00685165"/>
    <w:rsid w:val="00685418"/>
    <w:rsid w:val="00686A12"/>
    <w:rsid w:val="00686DAC"/>
    <w:rsid w:val="00687CDC"/>
    <w:rsid w:val="00691BE1"/>
    <w:rsid w:val="00691E09"/>
    <w:rsid w:val="00692DE9"/>
    <w:rsid w:val="00693078"/>
    <w:rsid w:val="00693591"/>
    <w:rsid w:val="00693D6F"/>
    <w:rsid w:val="00693FE6"/>
    <w:rsid w:val="006943E2"/>
    <w:rsid w:val="00696BA5"/>
    <w:rsid w:val="00697CA8"/>
    <w:rsid w:val="006A0636"/>
    <w:rsid w:val="006A0890"/>
    <w:rsid w:val="006A098D"/>
    <w:rsid w:val="006A14AA"/>
    <w:rsid w:val="006A2BB7"/>
    <w:rsid w:val="006A387E"/>
    <w:rsid w:val="006A456F"/>
    <w:rsid w:val="006A4B7E"/>
    <w:rsid w:val="006A4E65"/>
    <w:rsid w:val="006A4F8A"/>
    <w:rsid w:val="006A563D"/>
    <w:rsid w:val="006A6C1F"/>
    <w:rsid w:val="006A701F"/>
    <w:rsid w:val="006B05C7"/>
    <w:rsid w:val="006B0647"/>
    <w:rsid w:val="006B1881"/>
    <w:rsid w:val="006B2CDB"/>
    <w:rsid w:val="006B2ECB"/>
    <w:rsid w:val="006B352B"/>
    <w:rsid w:val="006B3647"/>
    <w:rsid w:val="006B3D13"/>
    <w:rsid w:val="006B54E3"/>
    <w:rsid w:val="006B70AA"/>
    <w:rsid w:val="006B70FA"/>
    <w:rsid w:val="006B73A5"/>
    <w:rsid w:val="006B76A2"/>
    <w:rsid w:val="006B78C0"/>
    <w:rsid w:val="006B7BF7"/>
    <w:rsid w:val="006C022A"/>
    <w:rsid w:val="006C06D9"/>
    <w:rsid w:val="006C0F2B"/>
    <w:rsid w:val="006C149C"/>
    <w:rsid w:val="006C2287"/>
    <w:rsid w:val="006C2A29"/>
    <w:rsid w:val="006C31F7"/>
    <w:rsid w:val="006C369D"/>
    <w:rsid w:val="006C3E34"/>
    <w:rsid w:val="006C43CF"/>
    <w:rsid w:val="006C4940"/>
    <w:rsid w:val="006C4F70"/>
    <w:rsid w:val="006C5872"/>
    <w:rsid w:val="006C5D75"/>
    <w:rsid w:val="006C6A4E"/>
    <w:rsid w:val="006C799E"/>
    <w:rsid w:val="006C7AB5"/>
    <w:rsid w:val="006C7C41"/>
    <w:rsid w:val="006D03C0"/>
    <w:rsid w:val="006D0F80"/>
    <w:rsid w:val="006D35B2"/>
    <w:rsid w:val="006D3805"/>
    <w:rsid w:val="006D3840"/>
    <w:rsid w:val="006D4505"/>
    <w:rsid w:val="006D6370"/>
    <w:rsid w:val="006E05CF"/>
    <w:rsid w:val="006E130B"/>
    <w:rsid w:val="006E1AE6"/>
    <w:rsid w:val="006E381D"/>
    <w:rsid w:val="006E5F3C"/>
    <w:rsid w:val="006E60ED"/>
    <w:rsid w:val="006E6C90"/>
    <w:rsid w:val="006E71EB"/>
    <w:rsid w:val="006E798C"/>
    <w:rsid w:val="006F0EF1"/>
    <w:rsid w:val="006F110C"/>
    <w:rsid w:val="006F15AC"/>
    <w:rsid w:val="006F2042"/>
    <w:rsid w:val="006F345C"/>
    <w:rsid w:val="006F346B"/>
    <w:rsid w:val="006F3474"/>
    <w:rsid w:val="006F3774"/>
    <w:rsid w:val="006F379E"/>
    <w:rsid w:val="006F3B4A"/>
    <w:rsid w:val="006F4368"/>
    <w:rsid w:val="006F5439"/>
    <w:rsid w:val="006F5B7B"/>
    <w:rsid w:val="006F6144"/>
    <w:rsid w:val="006F7047"/>
    <w:rsid w:val="006F797D"/>
    <w:rsid w:val="00701AD1"/>
    <w:rsid w:val="00703EB6"/>
    <w:rsid w:val="00704348"/>
    <w:rsid w:val="0070449A"/>
    <w:rsid w:val="00704CF0"/>
    <w:rsid w:val="0070527F"/>
    <w:rsid w:val="00705844"/>
    <w:rsid w:val="00705F8E"/>
    <w:rsid w:val="00707856"/>
    <w:rsid w:val="007108C6"/>
    <w:rsid w:val="00710B21"/>
    <w:rsid w:val="007127D0"/>
    <w:rsid w:val="00712DE3"/>
    <w:rsid w:val="00713C74"/>
    <w:rsid w:val="007145B9"/>
    <w:rsid w:val="00715483"/>
    <w:rsid w:val="00720925"/>
    <w:rsid w:val="00721605"/>
    <w:rsid w:val="00722287"/>
    <w:rsid w:val="007226BF"/>
    <w:rsid w:val="007229F4"/>
    <w:rsid w:val="00724A9D"/>
    <w:rsid w:val="00726182"/>
    <w:rsid w:val="00726186"/>
    <w:rsid w:val="00726F25"/>
    <w:rsid w:val="007313F0"/>
    <w:rsid w:val="007325FE"/>
    <w:rsid w:val="00732951"/>
    <w:rsid w:val="00732B59"/>
    <w:rsid w:val="00732E13"/>
    <w:rsid w:val="007332C2"/>
    <w:rsid w:val="00733366"/>
    <w:rsid w:val="00733684"/>
    <w:rsid w:val="00734620"/>
    <w:rsid w:val="00734818"/>
    <w:rsid w:val="00735B31"/>
    <w:rsid w:val="00736759"/>
    <w:rsid w:val="00736AF7"/>
    <w:rsid w:val="007372AD"/>
    <w:rsid w:val="00737BC0"/>
    <w:rsid w:val="00737EFD"/>
    <w:rsid w:val="007400A2"/>
    <w:rsid w:val="0074018E"/>
    <w:rsid w:val="00740260"/>
    <w:rsid w:val="0074078F"/>
    <w:rsid w:val="00740A57"/>
    <w:rsid w:val="007410F1"/>
    <w:rsid w:val="007447EE"/>
    <w:rsid w:val="00744E7D"/>
    <w:rsid w:val="00745BDC"/>
    <w:rsid w:val="00745CEB"/>
    <w:rsid w:val="00747A3D"/>
    <w:rsid w:val="00747E76"/>
    <w:rsid w:val="0075048B"/>
    <w:rsid w:val="0075077D"/>
    <w:rsid w:val="00751269"/>
    <w:rsid w:val="00751EE5"/>
    <w:rsid w:val="00753471"/>
    <w:rsid w:val="00756427"/>
    <w:rsid w:val="00757184"/>
    <w:rsid w:val="00757C6A"/>
    <w:rsid w:val="0076434A"/>
    <w:rsid w:val="00764AAC"/>
    <w:rsid w:val="0076534E"/>
    <w:rsid w:val="00765CF6"/>
    <w:rsid w:val="00765D1C"/>
    <w:rsid w:val="007660A5"/>
    <w:rsid w:val="0076625B"/>
    <w:rsid w:val="00766B8F"/>
    <w:rsid w:val="00766C19"/>
    <w:rsid w:val="00766C27"/>
    <w:rsid w:val="00766EFB"/>
    <w:rsid w:val="00770AAD"/>
    <w:rsid w:val="007724DF"/>
    <w:rsid w:val="007728FB"/>
    <w:rsid w:val="00772FC2"/>
    <w:rsid w:val="007734C9"/>
    <w:rsid w:val="007746AC"/>
    <w:rsid w:val="00774784"/>
    <w:rsid w:val="00775BD8"/>
    <w:rsid w:val="00776A45"/>
    <w:rsid w:val="007773CE"/>
    <w:rsid w:val="00777BD2"/>
    <w:rsid w:val="00780035"/>
    <w:rsid w:val="00781595"/>
    <w:rsid w:val="007824E6"/>
    <w:rsid w:val="00782832"/>
    <w:rsid w:val="00782F8E"/>
    <w:rsid w:val="007830F9"/>
    <w:rsid w:val="00783ADC"/>
    <w:rsid w:val="0078405B"/>
    <w:rsid w:val="007863DB"/>
    <w:rsid w:val="00790322"/>
    <w:rsid w:val="00790A91"/>
    <w:rsid w:val="00791988"/>
    <w:rsid w:val="00792292"/>
    <w:rsid w:val="00792389"/>
    <w:rsid w:val="00792DD4"/>
    <w:rsid w:val="00792E4F"/>
    <w:rsid w:val="007932E7"/>
    <w:rsid w:val="00793CEC"/>
    <w:rsid w:val="00794669"/>
    <w:rsid w:val="00794D57"/>
    <w:rsid w:val="00794EBD"/>
    <w:rsid w:val="007956DE"/>
    <w:rsid w:val="0079590D"/>
    <w:rsid w:val="00795BC9"/>
    <w:rsid w:val="007965F1"/>
    <w:rsid w:val="00796C44"/>
    <w:rsid w:val="007A0CAC"/>
    <w:rsid w:val="007A1C00"/>
    <w:rsid w:val="007A1EE3"/>
    <w:rsid w:val="007A2A76"/>
    <w:rsid w:val="007A3941"/>
    <w:rsid w:val="007A3EF9"/>
    <w:rsid w:val="007A4ABB"/>
    <w:rsid w:val="007A524D"/>
    <w:rsid w:val="007A53DC"/>
    <w:rsid w:val="007A6281"/>
    <w:rsid w:val="007A6E5A"/>
    <w:rsid w:val="007A714C"/>
    <w:rsid w:val="007A732A"/>
    <w:rsid w:val="007A7F68"/>
    <w:rsid w:val="007B0010"/>
    <w:rsid w:val="007B00F2"/>
    <w:rsid w:val="007B115A"/>
    <w:rsid w:val="007B219A"/>
    <w:rsid w:val="007B239A"/>
    <w:rsid w:val="007B348C"/>
    <w:rsid w:val="007B436E"/>
    <w:rsid w:val="007B4A57"/>
    <w:rsid w:val="007B4C75"/>
    <w:rsid w:val="007B4FCD"/>
    <w:rsid w:val="007B59E2"/>
    <w:rsid w:val="007C0643"/>
    <w:rsid w:val="007C1176"/>
    <w:rsid w:val="007C1A5D"/>
    <w:rsid w:val="007C212C"/>
    <w:rsid w:val="007C254A"/>
    <w:rsid w:val="007C3750"/>
    <w:rsid w:val="007C3F7B"/>
    <w:rsid w:val="007C41F3"/>
    <w:rsid w:val="007C45D4"/>
    <w:rsid w:val="007C47C3"/>
    <w:rsid w:val="007C675E"/>
    <w:rsid w:val="007C68CD"/>
    <w:rsid w:val="007C7A74"/>
    <w:rsid w:val="007D0892"/>
    <w:rsid w:val="007D166F"/>
    <w:rsid w:val="007D1E1F"/>
    <w:rsid w:val="007D28A3"/>
    <w:rsid w:val="007D32A4"/>
    <w:rsid w:val="007D36B7"/>
    <w:rsid w:val="007D3E8D"/>
    <w:rsid w:val="007D554D"/>
    <w:rsid w:val="007D55AC"/>
    <w:rsid w:val="007D6ED9"/>
    <w:rsid w:val="007D77B5"/>
    <w:rsid w:val="007D7BF6"/>
    <w:rsid w:val="007D7ED6"/>
    <w:rsid w:val="007E0488"/>
    <w:rsid w:val="007E068E"/>
    <w:rsid w:val="007E0AC8"/>
    <w:rsid w:val="007E1471"/>
    <w:rsid w:val="007E18CF"/>
    <w:rsid w:val="007E3AA0"/>
    <w:rsid w:val="007E4709"/>
    <w:rsid w:val="007E5671"/>
    <w:rsid w:val="007E63DB"/>
    <w:rsid w:val="007E6403"/>
    <w:rsid w:val="007E6AA3"/>
    <w:rsid w:val="007E6DDC"/>
    <w:rsid w:val="007F2308"/>
    <w:rsid w:val="007F293C"/>
    <w:rsid w:val="007F3341"/>
    <w:rsid w:val="007F372E"/>
    <w:rsid w:val="007F39C4"/>
    <w:rsid w:val="007F6516"/>
    <w:rsid w:val="007F65E9"/>
    <w:rsid w:val="007F7739"/>
    <w:rsid w:val="007F7E17"/>
    <w:rsid w:val="00801BA0"/>
    <w:rsid w:val="00802558"/>
    <w:rsid w:val="00803124"/>
    <w:rsid w:val="008032A7"/>
    <w:rsid w:val="008034BA"/>
    <w:rsid w:val="00804C4C"/>
    <w:rsid w:val="008070E3"/>
    <w:rsid w:val="00807ECC"/>
    <w:rsid w:val="008101F1"/>
    <w:rsid w:val="00810870"/>
    <w:rsid w:val="0081102D"/>
    <w:rsid w:val="0081177D"/>
    <w:rsid w:val="00811BE7"/>
    <w:rsid w:val="0081324E"/>
    <w:rsid w:val="00813580"/>
    <w:rsid w:val="00814E8D"/>
    <w:rsid w:val="00815337"/>
    <w:rsid w:val="008176C2"/>
    <w:rsid w:val="008178EF"/>
    <w:rsid w:val="0082110E"/>
    <w:rsid w:val="008222F8"/>
    <w:rsid w:val="0082361F"/>
    <w:rsid w:val="00824347"/>
    <w:rsid w:val="00824648"/>
    <w:rsid w:val="00824D57"/>
    <w:rsid w:val="0082607F"/>
    <w:rsid w:val="0082623C"/>
    <w:rsid w:val="00827E6D"/>
    <w:rsid w:val="00827F54"/>
    <w:rsid w:val="00830310"/>
    <w:rsid w:val="00830DC4"/>
    <w:rsid w:val="0083102D"/>
    <w:rsid w:val="00831C23"/>
    <w:rsid w:val="00831CF6"/>
    <w:rsid w:val="0083217D"/>
    <w:rsid w:val="00832395"/>
    <w:rsid w:val="00832560"/>
    <w:rsid w:val="00832891"/>
    <w:rsid w:val="00833757"/>
    <w:rsid w:val="008353D8"/>
    <w:rsid w:val="00837F38"/>
    <w:rsid w:val="008412E4"/>
    <w:rsid w:val="00841E79"/>
    <w:rsid w:val="00842E11"/>
    <w:rsid w:val="008435B1"/>
    <w:rsid w:val="00843C49"/>
    <w:rsid w:val="00844EA0"/>
    <w:rsid w:val="0084576E"/>
    <w:rsid w:val="00845855"/>
    <w:rsid w:val="0084658E"/>
    <w:rsid w:val="00847B33"/>
    <w:rsid w:val="008517F6"/>
    <w:rsid w:val="00852238"/>
    <w:rsid w:val="00852CB9"/>
    <w:rsid w:val="008530E2"/>
    <w:rsid w:val="0085378C"/>
    <w:rsid w:val="00853E73"/>
    <w:rsid w:val="00853FEF"/>
    <w:rsid w:val="00854003"/>
    <w:rsid w:val="00855D2D"/>
    <w:rsid w:val="008575BC"/>
    <w:rsid w:val="00860020"/>
    <w:rsid w:val="008620A3"/>
    <w:rsid w:val="00862843"/>
    <w:rsid w:val="00862ECD"/>
    <w:rsid w:val="008651E1"/>
    <w:rsid w:val="00866DD5"/>
    <w:rsid w:val="00867B33"/>
    <w:rsid w:val="00867C46"/>
    <w:rsid w:val="00870A22"/>
    <w:rsid w:val="00870F3C"/>
    <w:rsid w:val="00871EAF"/>
    <w:rsid w:val="00871F71"/>
    <w:rsid w:val="0087287C"/>
    <w:rsid w:val="00872D91"/>
    <w:rsid w:val="00873EB6"/>
    <w:rsid w:val="00874B64"/>
    <w:rsid w:val="00875F31"/>
    <w:rsid w:val="008771A8"/>
    <w:rsid w:val="00880CAF"/>
    <w:rsid w:val="00881626"/>
    <w:rsid w:val="00883D94"/>
    <w:rsid w:val="00883F5E"/>
    <w:rsid w:val="008844E1"/>
    <w:rsid w:val="0088450A"/>
    <w:rsid w:val="00884B5D"/>
    <w:rsid w:val="00886AD2"/>
    <w:rsid w:val="008874AC"/>
    <w:rsid w:val="00887875"/>
    <w:rsid w:val="00892534"/>
    <w:rsid w:val="0089270E"/>
    <w:rsid w:val="008927DE"/>
    <w:rsid w:val="00892C8E"/>
    <w:rsid w:val="00893512"/>
    <w:rsid w:val="00893608"/>
    <w:rsid w:val="00893B58"/>
    <w:rsid w:val="00896B49"/>
    <w:rsid w:val="00897B1E"/>
    <w:rsid w:val="008A0634"/>
    <w:rsid w:val="008A063D"/>
    <w:rsid w:val="008A0BBF"/>
    <w:rsid w:val="008A279C"/>
    <w:rsid w:val="008A2C83"/>
    <w:rsid w:val="008A314D"/>
    <w:rsid w:val="008A3505"/>
    <w:rsid w:val="008A37D5"/>
    <w:rsid w:val="008A3E6F"/>
    <w:rsid w:val="008A40A9"/>
    <w:rsid w:val="008A44BF"/>
    <w:rsid w:val="008A5072"/>
    <w:rsid w:val="008A61D7"/>
    <w:rsid w:val="008B012D"/>
    <w:rsid w:val="008B0E26"/>
    <w:rsid w:val="008B2A4A"/>
    <w:rsid w:val="008B3A01"/>
    <w:rsid w:val="008B3AC4"/>
    <w:rsid w:val="008B5921"/>
    <w:rsid w:val="008B5F65"/>
    <w:rsid w:val="008B6F58"/>
    <w:rsid w:val="008B748D"/>
    <w:rsid w:val="008B765E"/>
    <w:rsid w:val="008C101D"/>
    <w:rsid w:val="008C1D7F"/>
    <w:rsid w:val="008C1E98"/>
    <w:rsid w:val="008C20FC"/>
    <w:rsid w:val="008C2505"/>
    <w:rsid w:val="008C2EAE"/>
    <w:rsid w:val="008C3231"/>
    <w:rsid w:val="008C3C0F"/>
    <w:rsid w:val="008C423C"/>
    <w:rsid w:val="008C4F11"/>
    <w:rsid w:val="008C5640"/>
    <w:rsid w:val="008C5B8D"/>
    <w:rsid w:val="008C5E17"/>
    <w:rsid w:val="008C5F31"/>
    <w:rsid w:val="008C6633"/>
    <w:rsid w:val="008C6727"/>
    <w:rsid w:val="008C731B"/>
    <w:rsid w:val="008C7A87"/>
    <w:rsid w:val="008C7E89"/>
    <w:rsid w:val="008D0A10"/>
    <w:rsid w:val="008D1CDE"/>
    <w:rsid w:val="008D4ED8"/>
    <w:rsid w:val="008D509E"/>
    <w:rsid w:val="008D5B8A"/>
    <w:rsid w:val="008E1F52"/>
    <w:rsid w:val="008E20DE"/>
    <w:rsid w:val="008E294E"/>
    <w:rsid w:val="008E3367"/>
    <w:rsid w:val="008E4328"/>
    <w:rsid w:val="008E4469"/>
    <w:rsid w:val="008E44FC"/>
    <w:rsid w:val="008E4D47"/>
    <w:rsid w:val="008E5533"/>
    <w:rsid w:val="008E7149"/>
    <w:rsid w:val="008F1479"/>
    <w:rsid w:val="008F18F4"/>
    <w:rsid w:val="008F3056"/>
    <w:rsid w:val="008F3115"/>
    <w:rsid w:val="008F332A"/>
    <w:rsid w:val="008F4458"/>
    <w:rsid w:val="008F4580"/>
    <w:rsid w:val="008F4C9F"/>
    <w:rsid w:val="008F63FE"/>
    <w:rsid w:val="008F642C"/>
    <w:rsid w:val="008F6667"/>
    <w:rsid w:val="008F74CE"/>
    <w:rsid w:val="008F79A1"/>
    <w:rsid w:val="00900709"/>
    <w:rsid w:val="009025F5"/>
    <w:rsid w:val="00903537"/>
    <w:rsid w:val="00903C8F"/>
    <w:rsid w:val="00906B3A"/>
    <w:rsid w:val="00910572"/>
    <w:rsid w:val="009113E2"/>
    <w:rsid w:val="00911BE2"/>
    <w:rsid w:val="00911FA9"/>
    <w:rsid w:val="00912026"/>
    <w:rsid w:val="0091289C"/>
    <w:rsid w:val="00912F96"/>
    <w:rsid w:val="009134AC"/>
    <w:rsid w:val="009134E5"/>
    <w:rsid w:val="00916FF2"/>
    <w:rsid w:val="009206DA"/>
    <w:rsid w:val="009207CF"/>
    <w:rsid w:val="00921182"/>
    <w:rsid w:val="0092168B"/>
    <w:rsid w:val="009218CA"/>
    <w:rsid w:val="00921DEC"/>
    <w:rsid w:val="0092287F"/>
    <w:rsid w:val="009241F3"/>
    <w:rsid w:val="009254F3"/>
    <w:rsid w:val="00925825"/>
    <w:rsid w:val="009258D6"/>
    <w:rsid w:val="009266EB"/>
    <w:rsid w:val="00926735"/>
    <w:rsid w:val="00926930"/>
    <w:rsid w:val="00927081"/>
    <w:rsid w:val="0092717F"/>
    <w:rsid w:val="0092728D"/>
    <w:rsid w:val="00927A70"/>
    <w:rsid w:val="00930656"/>
    <w:rsid w:val="00930FEC"/>
    <w:rsid w:val="0093188C"/>
    <w:rsid w:val="00931B0B"/>
    <w:rsid w:val="009328B8"/>
    <w:rsid w:val="00932B74"/>
    <w:rsid w:val="00933807"/>
    <w:rsid w:val="00933AE8"/>
    <w:rsid w:val="00934540"/>
    <w:rsid w:val="00934605"/>
    <w:rsid w:val="00934C32"/>
    <w:rsid w:val="00934D3F"/>
    <w:rsid w:val="009357CA"/>
    <w:rsid w:val="00935EE3"/>
    <w:rsid w:val="00936B0C"/>
    <w:rsid w:val="00936C62"/>
    <w:rsid w:val="009403BD"/>
    <w:rsid w:val="0094077B"/>
    <w:rsid w:val="0094122C"/>
    <w:rsid w:val="00941349"/>
    <w:rsid w:val="009415A8"/>
    <w:rsid w:val="009421EB"/>
    <w:rsid w:val="00942A3D"/>
    <w:rsid w:val="00943D09"/>
    <w:rsid w:val="00943DED"/>
    <w:rsid w:val="00945778"/>
    <w:rsid w:val="00946C18"/>
    <w:rsid w:val="00946C56"/>
    <w:rsid w:val="00946E4D"/>
    <w:rsid w:val="009478BA"/>
    <w:rsid w:val="009518CC"/>
    <w:rsid w:val="00951959"/>
    <w:rsid w:val="009528C7"/>
    <w:rsid w:val="009529A4"/>
    <w:rsid w:val="009534C1"/>
    <w:rsid w:val="0095456E"/>
    <w:rsid w:val="009546CD"/>
    <w:rsid w:val="00954A6E"/>
    <w:rsid w:val="00956230"/>
    <w:rsid w:val="009562C1"/>
    <w:rsid w:val="009564A5"/>
    <w:rsid w:val="00956B2F"/>
    <w:rsid w:val="00956F6F"/>
    <w:rsid w:val="0095717F"/>
    <w:rsid w:val="009605C7"/>
    <w:rsid w:val="00960B61"/>
    <w:rsid w:val="00961BC5"/>
    <w:rsid w:val="0096226E"/>
    <w:rsid w:val="009637A0"/>
    <w:rsid w:val="00964B42"/>
    <w:rsid w:val="009656C3"/>
    <w:rsid w:val="00965B3A"/>
    <w:rsid w:val="009677CD"/>
    <w:rsid w:val="009701D0"/>
    <w:rsid w:val="00970E4C"/>
    <w:rsid w:val="00971361"/>
    <w:rsid w:val="009717F8"/>
    <w:rsid w:val="00971A79"/>
    <w:rsid w:val="00971C19"/>
    <w:rsid w:val="00971EDB"/>
    <w:rsid w:val="009733F2"/>
    <w:rsid w:val="009738BE"/>
    <w:rsid w:val="00974A75"/>
    <w:rsid w:val="00975CBC"/>
    <w:rsid w:val="00975FB4"/>
    <w:rsid w:val="009760A2"/>
    <w:rsid w:val="00976616"/>
    <w:rsid w:val="00976838"/>
    <w:rsid w:val="00976D15"/>
    <w:rsid w:val="00977893"/>
    <w:rsid w:val="00977FA6"/>
    <w:rsid w:val="00977FF6"/>
    <w:rsid w:val="00981D78"/>
    <w:rsid w:val="00982E89"/>
    <w:rsid w:val="00984440"/>
    <w:rsid w:val="00984900"/>
    <w:rsid w:val="0098500D"/>
    <w:rsid w:val="00985230"/>
    <w:rsid w:val="00985D32"/>
    <w:rsid w:val="009879BE"/>
    <w:rsid w:val="00990216"/>
    <w:rsid w:val="00990376"/>
    <w:rsid w:val="009903D2"/>
    <w:rsid w:val="00990583"/>
    <w:rsid w:val="00990A81"/>
    <w:rsid w:val="00993329"/>
    <w:rsid w:val="009940AA"/>
    <w:rsid w:val="009947D6"/>
    <w:rsid w:val="00994FC3"/>
    <w:rsid w:val="0099655E"/>
    <w:rsid w:val="00996F7A"/>
    <w:rsid w:val="00997390"/>
    <w:rsid w:val="009A18E6"/>
    <w:rsid w:val="009A238F"/>
    <w:rsid w:val="009A23C4"/>
    <w:rsid w:val="009A2F87"/>
    <w:rsid w:val="009A326D"/>
    <w:rsid w:val="009A5D7A"/>
    <w:rsid w:val="009A7816"/>
    <w:rsid w:val="009A7999"/>
    <w:rsid w:val="009A7B22"/>
    <w:rsid w:val="009B0F39"/>
    <w:rsid w:val="009B1242"/>
    <w:rsid w:val="009B1837"/>
    <w:rsid w:val="009B1839"/>
    <w:rsid w:val="009B3700"/>
    <w:rsid w:val="009B46B8"/>
    <w:rsid w:val="009B5121"/>
    <w:rsid w:val="009B547E"/>
    <w:rsid w:val="009B5BF2"/>
    <w:rsid w:val="009B796F"/>
    <w:rsid w:val="009C1766"/>
    <w:rsid w:val="009C3AAF"/>
    <w:rsid w:val="009C3D6C"/>
    <w:rsid w:val="009C410E"/>
    <w:rsid w:val="009C4CF0"/>
    <w:rsid w:val="009C53AC"/>
    <w:rsid w:val="009C5C66"/>
    <w:rsid w:val="009C6A88"/>
    <w:rsid w:val="009D049B"/>
    <w:rsid w:val="009D05B4"/>
    <w:rsid w:val="009D0AFD"/>
    <w:rsid w:val="009D163D"/>
    <w:rsid w:val="009D1A54"/>
    <w:rsid w:val="009D2091"/>
    <w:rsid w:val="009D3354"/>
    <w:rsid w:val="009D37AE"/>
    <w:rsid w:val="009D3B33"/>
    <w:rsid w:val="009D4453"/>
    <w:rsid w:val="009D4F1F"/>
    <w:rsid w:val="009D7057"/>
    <w:rsid w:val="009D77F4"/>
    <w:rsid w:val="009E0ACA"/>
    <w:rsid w:val="009E0B23"/>
    <w:rsid w:val="009E12D5"/>
    <w:rsid w:val="009E14F0"/>
    <w:rsid w:val="009E1F74"/>
    <w:rsid w:val="009E2240"/>
    <w:rsid w:val="009E24A7"/>
    <w:rsid w:val="009E3048"/>
    <w:rsid w:val="009E348A"/>
    <w:rsid w:val="009E4F7E"/>
    <w:rsid w:val="009E6244"/>
    <w:rsid w:val="009E73C2"/>
    <w:rsid w:val="009F0CB0"/>
    <w:rsid w:val="009F0DA0"/>
    <w:rsid w:val="009F2069"/>
    <w:rsid w:val="009F26BD"/>
    <w:rsid w:val="009F3701"/>
    <w:rsid w:val="009F5C74"/>
    <w:rsid w:val="009F7A6C"/>
    <w:rsid w:val="009F7CC6"/>
    <w:rsid w:val="00A00550"/>
    <w:rsid w:val="00A00CD6"/>
    <w:rsid w:val="00A0162E"/>
    <w:rsid w:val="00A02015"/>
    <w:rsid w:val="00A028DA"/>
    <w:rsid w:val="00A02E19"/>
    <w:rsid w:val="00A03E02"/>
    <w:rsid w:val="00A052BD"/>
    <w:rsid w:val="00A06988"/>
    <w:rsid w:val="00A073FB"/>
    <w:rsid w:val="00A105EF"/>
    <w:rsid w:val="00A11441"/>
    <w:rsid w:val="00A121AF"/>
    <w:rsid w:val="00A12593"/>
    <w:rsid w:val="00A12598"/>
    <w:rsid w:val="00A13451"/>
    <w:rsid w:val="00A1463F"/>
    <w:rsid w:val="00A14706"/>
    <w:rsid w:val="00A15849"/>
    <w:rsid w:val="00A15B71"/>
    <w:rsid w:val="00A15BAE"/>
    <w:rsid w:val="00A16170"/>
    <w:rsid w:val="00A1654F"/>
    <w:rsid w:val="00A16E02"/>
    <w:rsid w:val="00A17D78"/>
    <w:rsid w:val="00A200D8"/>
    <w:rsid w:val="00A20C68"/>
    <w:rsid w:val="00A2113C"/>
    <w:rsid w:val="00A21C1B"/>
    <w:rsid w:val="00A22CBA"/>
    <w:rsid w:val="00A2463A"/>
    <w:rsid w:val="00A2511A"/>
    <w:rsid w:val="00A2580B"/>
    <w:rsid w:val="00A25D21"/>
    <w:rsid w:val="00A25E95"/>
    <w:rsid w:val="00A25F5A"/>
    <w:rsid w:val="00A2609D"/>
    <w:rsid w:val="00A27363"/>
    <w:rsid w:val="00A301C3"/>
    <w:rsid w:val="00A305C6"/>
    <w:rsid w:val="00A30B00"/>
    <w:rsid w:val="00A30CE2"/>
    <w:rsid w:val="00A31918"/>
    <w:rsid w:val="00A320C2"/>
    <w:rsid w:val="00A32128"/>
    <w:rsid w:val="00A327A1"/>
    <w:rsid w:val="00A32D14"/>
    <w:rsid w:val="00A33998"/>
    <w:rsid w:val="00A345B2"/>
    <w:rsid w:val="00A34A4B"/>
    <w:rsid w:val="00A3661A"/>
    <w:rsid w:val="00A3759E"/>
    <w:rsid w:val="00A37AEA"/>
    <w:rsid w:val="00A4029B"/>
    <w:rsid w:val="00A40A03"/>
    <w:rsid w:val="00A4134E"/>
    <w:rsid w:val="00A414C0"/>
    <w:rsid w:val="00A4234B"/>
    <w:rsid w:val="00A435DD"/>
    <w:rsid w:val="00A4376C"/>
    <w:rsid w:val="00A43BE4"/>
    <w:rsid w:val="00A4532E"/>
    <w:rsid w:val="00A45AEC"/>
    <w:rsid w:val="00A46F8F"/>
    <w:rsid w:val="00A474F7"/>
    <w:rsid w:val="00A475FC"/>
    <w:rsid w:val="00A502A0"/>
    <w:rsid w:val="00A50E7F"/>
    <w:rsid w:val="00A51691"/>
    <w:rsid w:val="00A51E0E"/>
    <w:rsid w:val="00A5241F"/>
    <w:rsid w:val="00A5257E"/>
    <w:rsid w:val="00A53EF6"/>
    <w:rsid w:val="00A54B73"/>
    <w:rsid w:val="00A55501"/>
    <w:rsid w:val="00A55810"/>
    <w:rsid w:val="00A559BA"/>
    <w:rsid w:val="00A55E33"/>
    <w:rsid w:val="00A55E49"/>
    <w:rsid w:val="00A614F7"/>
    <w:rsid w:val="00A63511"/>
    <w:rsid w:val="00A63D80"/>
    <w:rsid w:val="00A63FFC"/>
    <w:rsid w:val="00A64ACB"/>
    <w:rsid w:val="00A64DC0"/>
    <w:rsid w:val="00A65B06"/>
    <w:rsid w:val="00A66C3E"/>
    <w:rsid w:val="00A70795"/>
    <w:rsid w:val="00A70CAB"/>
    <w:rsid w:val="00A71656"/>
    <w:rsid w:val="00A71B98"/>
    <w:rsid w:val="00A7211C"/>
    <w:rsid w:val="00A72501"/>
    <w:rsid w:val="00A72983"/>
    <w:rsid w:val="00A72D50"/>
    <w:rsid w:val="00A73B5E"/>
    <w:rsid w:val="00A74229"/>
    <w:rsid w:val="00A749B3"/>
    <w:rsid w:val="00A755F4"/>
    <w:rsid w:val="00A77626"/>
    <w:rsid w:val="00A8271F"/>
    <w:rsid w:val="00A82E5D"/>
    <w:rsid w:val="00A83288"/>
    <w:rsid w:val="00A8368E"/>
    <w:rsid w:val="00A839DB"/>
    <w:rsid w:val="00A86210"/>
    <w:rsid w:val="00A863B6"/>
    <w:rsid w:val="00A86422"/>
    <w:rsid w:val="00A8642C"/>
    <w:rsid w:val="00A86974"/>
    <w:rsid w:val="00A86C93"/>
    <w:rsid w:val="00A87182"/>
    <w:rsid w:val="00A87BFF"/>
    <w:rsid w:val="00A903C8"/>
    <w:rsid w:val="00A9072A"/>
    <w:rsid w:val="00A92A3B"/>
    <w:rsid w:val="00A93433"/>
    <w:rsid w:val="00A9346C"/>
    <w:rsid w:val="00A937A1"/>
    <w:rsid w:val="00A94133"/>
    <w:rsid w:val="00A9433F"/>
    <w:rsid w:val="00A94687"/>
    <w:rsid w:val="00A951C1"/>
    <w:rsid w:val="00A953F2"/>
    <w:rsid w:val="00A96230"/>
    <w:rsid w:val="00A96293"/>
    <w:rsid w:val="00A97804"/>
    <w:rsid w:val="00A97E0F"/>
    <w:rsid w:val="00AA1CB1"/>
    <w:rsid w:val="00AA3974"/>
    <w:rsid w:val="00AA4272"/>
    <w:rsid w:val="00AA4DCF"/>
    <w:rsid w:val="00AA66F6"/>
    <w:rsid w:val="00AA752A"/>
    <w:rsid w:val="00AB33AE"/>
    <w:rsid w:val="00AB3B79"/>
    <w:rsid w:val="00AB3DBE"/>
    <w:rsid w:val="00AB4430"/>
    <w:rsid w:val="00AB52EB"/>
    <w:rsid w:val="00AB54B2"/>
    <w:rsid w:val="00AB5BB9"/>
    <w:rsid w:val="00AB5EB1"/>
    <w:rsid w:val="00AB7065"/>
    <w:rsid w:val="00AC04E5"/>
    <w:rsid w:val="00AC06B3"/>
    <w:rsid w:val="00AC182F"/>
    <w:rsid w:val="00AC1A7F"/>
    <w:rsid w:val="00AC24DB"/>
    <w:rsid w:val="00AC2711"/>
    <w:rsid w:val="00AC2A88"/>
    <w:rsid w:val="00AC393B"/>
    <w:rsid w:val="00AC4CDE"/>
    <w:rsid w:val="00AC4FAE"/>
    <w:rsid w:val="00AC4FC9"/>
    <w:rsid w:val="00AC6661"/>
    <w:rsid w:val="00AC7694"/>
    <w:rsid w:val="00AC7E80"/>
    <w:rsid w:val="00AC7FEA"/>
    <w:rsid w:val="00AD17F5"/>
    <w:rsid w:val="00AD301E"/>
    <w:rsid w:val="00AD3656"/>
    <w:rsid w:val="00AD3AD0"/>
    <w:rsid w:val="00AD48D1"/>
    <w:rsid w:val="00AD5724"/>
    <w:rsid w:val="00AD5D5A"/>
    <w:rsid w:val="00AD5FD0"/>
    <w:rsid w:val="00AD6E7F"/>
    <w:rsid w:val="00AD77A0"/>
    <w:rsid w:val="00AD7D0A"/>
    <w:rsid w:val="00AE0D1B"/>
    <w:rsid w:val="00AE149F"/>
    <w:rsid w:val="00AE1529"/>
    <w:rsid w:val="00AE25C6"/>
    <w:rsid w:val="00AE2E26"/>
    <w:rsid w:val="00AE36D4"/>
    <w:rsid w:val="00AE3D17"/>
    <w:rsid w:val="00AE3EE3"/>
    <w:rsid w:val="00AE42A7"/>
    <w:rsid w:val="00AE44F6"/>
    <w:rsid w:val="00AE47AE"/>
    <w:rsid w:val="00AE4F28"/>
    <w:rsid w:val="00AE53A8"/>
    <w:rsid w:val="00AE5A9B"/>
    <w:rsid w:val="00AE63F5"/>
    <w:rsid w:val="00AE7754"/>
    <w:rsid w:val="00AE7E3C"/>
    <w:rsid w:val="00AF030B"/>
    <w:rsid w:val="00AF190A"/>
    <w:rsid w:val="00AF1CE2"/>
    <w:rsid w:val="00AF243E"/>
    <w:rsid w:val="00AF29A2"/>
    <w:rsid w:val="00AF35A5"/>
    <w:rsid w:val="00AF3F77"/>
    <w:rsid w:val="00AF40D5"/>
    <w:rsid w:val="00AF4408"/>
    <w:rsid w:val="00AF4551"/>
    <w:rsid w:val="00AF555D"/>
    <w:rsid w:val="00AF6BC9"/>
    <w:rsid w:val="00AF787F"/>
    <w:rsid w:val="00B0107A"/>
    <w:rsid w:val="00B01C88"/>
    <w:rsid w:val="00B01E38"/>
    <w:rsid w:val="00B028E8"/>
    <w:rsid w:val="00B02EAD"/>
    <w:rsid w:val="00B035F2"/>
    <w:rsid w:val="00B05130"/>
    <w:rsid w:val="00B0574C"/>
    <w:rsid w:val="00B062F3"/>
    <w:rsid w:val="00B06383"/>
    <w:rsid w:val="00B0675F"/>
    <w:rsid w:val="00B07AE9"/>
    <w:rsid w:val="00B07E8A"/>
    <w:rsid w:val="00B10B5A"/>
    <w:rsid w:val="00B10C84"/>
    <w:rsid w:val="00B11977"/>
    <w:rsid w:val="00B12EA9"/>
    <w:rsid w:val="00B13658"/>
    <w:rsid w:val="00B14451"/>
    <w:rsid w:val="00B14F51"/>
    <w:rsid w:val="00B153E0"/>
    <w:rsid w:val="00B15B85"/>
    <w:rsid w:val="00B15FE6"/>
    <w:rsid w:val="00B169E1"/>
    <w:rsid w:val="00B20EC9"/>
    <w:rsid w:val="00B226E8"/>
    <w:rsid w:val="00B24839"/>
    <w:rsid w:val="00B25397"/>
    <w:rsid w:val="00B264D1"/>
    <w:rsid w:val="00B27070"/>
    <w:rsid w:val="00B27355"/>
    <w:rsid w:val="00B27A9C"/>
    <w:rsid w:val="00B27B54"/>
    <w:rsid w:val="00B318A3"/>
    <w:rsid w:val="00B32B16"/>
    <w:rsid w:val="00B3583F"/>
    <w:rsid w:val="00B35E8C"/>
    <w:rsid w:val="00B374BF"/>
    <w:rsid w:val="00B40186"/>
    <w:rsid w:val="00B41C81"/>
    <w:rsid w:val="00B4301F"/>
    <w:rsid w:val="00B43B99"/>
    <w:rsid w:val="00B4519B"/>
    <w:rsid w:val="00B4590E"/>
    <w:rsid w:val="00B45C25"/>
    <w:rsid w:val="00B45EE8"/>
    <w:rsid w:val="00B47200"/>
    <w:rsid w:val="00B47F23"/>
    <w:rsid w:val="00B5044B"/>
    <w:rsid w:val="00B50FD2"/>
    <w:rsid w:val="00B51BF5"/>
    <w:rsid w:val="00B51DEB"/>
    <w:rsid w:val="00B52779"/>
    <w:rsid w:val="00B546B2"/>
    <w:rsid w:val="00B54A8A"/>
    <w:rsid w:val="00B54B91"/>
    <w:rsid w:val="00B5578D"/>
    <w:rsid w:val="00B563D8"/>
    <w:rsid w:val="00B565E2"/>
    <w:rsid w:val="00B575A2"/>
    <w:rsid w:val="00B60E60"/>
    <w:rsid w:val="00B6106E"/>
    <w:rsid w:val="00B614C5"/>
    <w:rsid w:val="00B62369"/>
    <w:rsid w:val="00B62963"/>
    <w:rsid w:val="00B62C56"/>
    <w:rsid w:val="00B63FDD"/>
    <w:rsid w:val="00B64EC5"/>
    <w:rsid w:val="00B6512C"/>
    <w:rsid w:val="00B65DF9"/>
    <w:rsid w:val="00B66090"/>
    <w:rsid w:val="00B660FB"/>
    <w:rsid w:val="00B66286"/>
    <w:rsid w:val="00B67C3A"/>
    <w:rsid w:val="00B70334"/>
    <w:rsid w:val="00B7075D"/>
    <w:rsid w:val="00B70BE3"/>
    <w:rsid w:val="00B71CF5"/>
    <w:rsid w:val="00B724D5"/>
    <w:rsid w:val="00B72805"/>
    <w:rsid w:val="00B72E97"/>
    <w:rsid w:val="00B735BA"/>
    <w:rsid w:val="00B73A19"/>
    <w:rsid w:val="00B760AB"/>
    <w:rsid w:val="00B760FA"/>
    <w:rsid w:val="00B768E2"/>
    <w:rsid w:val="00B770C8"/>
    <w:rsid w:val="00B771EA"/>
    <w:rsid w:val="00B774F9"/>
    <w:rsid w:val="00B777B6"/>
    <w:rsid w:val="00B77902"/>
    <w:rsid w:val="00B80339"/>
    <w:rsid w:val="00B80882"/>
    <w:rsid w:val="00B80F8B"/>
    <w:rsid w:val="00B81623"/>
    <w:rsid w:val="00B81D35"/>
    <w:rsid w:val="00B82BA4"/>
    <w:rsid w:val="00B82BB9"/>
    <w:rsid w:val="00B83A17"/>
    <w:rsid w:val="00B83B81"/>
    <w:rsid w:val="00B83E1C"/>
    <w:rsid w:val="00B85F17"/>
    <w:rsid w:val="00B86422"/>
    <w:rsid w:val="00B86EE7"/>
    <w:rsid w:val="00B87771"/>
    <w:rsid w:val="00B87E9D"/>
    <w:rsid w:val="00B90187"/>
    <w:rsid w:val="00B9031C"/>
    <w:rsid w:val="00B90B56"/>
    <w:rsid w:val="00B915C9"/>
    <w:rsid w:val="00B916EF"/>
    <w:rsid w:val="00B91B2A"/>
    <w:rsid w:val="00B9254A"/>
    <w:rsid w:val="00B92B24"/>
    <w:rsid w:val="00B92ED4"/>
    <w:rsid w:val="00B9364B"/>
    <w:rsid w:val="00B94248"/>
    <w:rsid w:val="00B9497E"/>
    <w:rsid w:val="00B9508F"/>
    <w:rsid w:val="00B952F9"/>
    <w:rsid w:val="00B95311"/>
    <w:rsid w:val="00B953E6"/>
    <w:rsid w:val="00B95712"/>
    <w:rsid w:val="00B97477"/>
    <w:rsid w:val="00B97709"/>
    <w:rsid w:val="00B9794C"/>
    <w:rsid w:val="00B97AFB"/>
    <w:rsid w:val="00BA0002"/>
    <w:rsid w:val="00BA03FD"/>
    <w:rsid w:val="00BA065B"/>
    <w:rsid w:val="00BA0848"/>
    <w:rsid w:val="00BA0D17"/>
    <w:rsid w:val="00BA1042"/>
    <w:rsid w:val="00BA134F"/>
    <w:rsid w:val="00BA1A9B"/>
    <w:rsid w:val="00BA1E65"/>
    <w:rsid w:val="00BA39DE"/>
    <w:rsid w:val="00BA3EC9"/>
    <w:rsid w:val="00BA47E1"/>
    <w:rsid w:val="00BA57CA"/>
    <w:rsid w:val="00BA58BF"/>
    <w:rsid w:val="00BA6AFC"/>
    <w:rsid w:val="00BA771F"/>
    <w:rsid w:val="00BB1739"/>
    <w:rsid w:val="00BB1DD0"/>
    <w:rsid w:val="00BB250E"/>
    <w:rsid w:val="00BB2949"/>
    <w:rsid w:val="00BB3086"/>
    <w:rsid w:val="00BB3701"/>
    <w:rsid w:val="00BB5425"/>
    <w:rsid w:val="00BB632D"/>
    <w:rsid w:val="00BB6592"/>
    <w:rsid w:val="00BB6E5A"/>
    <w:rsid w:val="00BB7469"/>
    <w:rsid w:val="00BB79DA"/>
    <w:rsid w:val="00BC0491"/>
    <w:rsid w:val="00BC2EA2"/>
    <w:rsid w:val="00BC441B"/>
    <w:rsid w:val="00BC4747"/>
    <w:rsid w:val="00BC4993"/>
    <w:rsid w:val="00BC4F07"/>
    <w:rsid w:val="00BC7208"/>
    <w:rsid w:val="00BC7831"/>
    <w:rsid w:val="00BD1402"/>
    <w:rsid w:val="00BD1864"/>
    <w:rsid w:val="00BD1963"/>
    <w:rsid w:val="00BD1BF3"/>
    <w:rsid w:val="00BD20CB"/>
    <w:rsid w:val="00BD359B"/>
    <w:rsid w:val="00BD35A7"/>
    <w:rsid w:val="00BD40B0"/>
    <w:rsid w:val="00BD5A51"/>
    <w:rsid w:val="00BD5D1E"/>
    <w:rsid w:val="00BD600C"/>
    <w:rsid w:val="00BD6A79"/>
    <w:rsid w:val="00BE1DFD"/>
    <w:rsid w:val="00BE1F65"/>
    <w:rsid w:val="00BE4ECD"/>
    <w:rsid w:val="00BE5145"/>
    <w:rsid w:val="00BE531B"/>
    <w:rsid w:val="00BE5405"/>
    <w:rsid w:val="00BE5C42"/>
    <w:rsid w:val="00BE6EBE"/>
    <w:rsid w:val="00BE778C"/>
    <w:rsid w:val="00BE7C8D"/>
    <w:rsid w:val="00BF00CA"/>
    <w:rsid w:val="00BF014C"/>
    <w:rsid w:val="00BF20C6"/>
    <w:rsid w:val="00BF225E"/>
    <w:rsid w:val="00BF299A"/>
    <w:rsid w:val="00BF341F"/>
    <w:rsid w:val="00BF5FC7"/>
    <w:rsid w:val="00BF6126"/>
    <w:rsid w:val="00BF6210"/>
    <w:rsid w:val="00BF65A8"/>
    <w:rsid w:val="00BF6C96"/>
    <w:rsid w:val="00BF6E02"/>
    <w:rsid w:val="00C00084"/>
    <w:rsid w:val="00C0223A"/>
    <w:rsid w:val="00C02EEE"/>
    <w:rsid w:val="00C047EE"/>
    <w:rsid w:val="00C1004B"/>
    <w:rsid w:val="00C1004C"/>
    <w:rsid w:val="00C1019F"/>
    <w:rsid w:val="00C103AE"/>
    <w:rsid w:val="00C1093A"/>
    <w:rsid w:val="00C1125A"/>
    <w:rsid w:val="00C117AD"/>
    <w:rsid w:val="00C11E48"/>
    <w:rsid w:val="00C134A3"/>
    <w:rsid w:val="00C146AA"/>
    <w:rsid w:val="00C14BEF"/>
    <w:rsid w:val="00C153B6"/>
    <w:rsid w:val="00C15EF2"/>
    <w:rsid w:val="00C16248"/>
    <w:rsid w:val="00C1658E"/>
    <w:rsid w:val="00C168E9"/>
    <w:rsid w:val="00C17077"/>
    <w:rsid w:val="00C174A5"/>
    <w:rsid w:val="00C17507"/>
    <w:rsid w:val="00C176CE"/>
    <w:rsid w:val="00C20EA9"/>
    <w:rsid w:val="00C215EF"/>
    <w:rsid w:val="00C2276E"/>
    <w:rsid w:val="00C24310"/>
    <w:rsid w:val="00C245BC"/>
    <w:rsid w:val="00C24DA4"/>
    <w:rsid w:val="00C265C0"/>
    <w:rsid w:val="00C2693E"/>
    <w:rsid w:val="00C26E6C"/>
    <w:rsid w:val="00C27598"/>
    <w:rsid w:val="00C27B54"/>
    <w:rsid w:val="00C3015D"/>
    <w:rsid w:val="00C30EB9"/>
    <w:rsid w:val="00C3137D"/>
    <w:rsid w:val="00C313AF"/>
    <w:rsid w:val="00C31E84"/>
    <w:rsid w:val="00C32352"/>
    <w:rsid w:val="00C33186"/>
    <w:rsid w:val="00C3319A"/>
    <w:rsid w:val="00C3335B"/>
    <w:rsid w:val="00C33F04"/>
    <w:rsid w:val="00C3418A"/>
    <w:rsid w:val="00C34241"/>
    <w:rsid w:val="00C35753"/>
    <w:rsid w:val="00C368FD"/>
    <w:rsid w:val="00C3725C"/>
    <w:rsid w:val="00C375FC"/>
    <w:rsid w:val="00C379DA"/>
    <w:rsid w:val="00C37A92"/>
    <w:rsid w:val="00C4048A"/>
    <w:rsid w:val="00C41E36"/>
    <w:rsid w:val="00C4289A"/>
    <w:rsid w:val="00C42EFE"/>
    <w:rsid w:val="00C44293"/>
    <w:rsid w:val="00C442E3"/>
    <w:rsid w:val="00C44A4F"/>
    <w:rsid w:val="00C44D28"/>
    <w:rsid w:val="00C44D57"/>
    <w:rsid w:val="00C44DB8"/>
    <w:rsid w:val="00C45AD8"/>
    <w:rsid w:val="00C45F5A"/>
    <w:rsid w:val="00C45FE5"/>
    <w:rsid w:val="00C5012A"/>
    <w:rsid w:val="00C501B7"/>
    <w:rsid w:val="00C5085E"/>
    <w:rsid w:val="00C50883"/>
    <w:rsid w:val="00C526B5"/>
    <w:rsid w:val="00C52F1E"/>
    <w:rsid w:val="00C53460"/>
    <w:rsid w:val="00C53ABD"/>
    <w:rsid w:val="00C53C4C"/>
    <w:rsid w:val="00C53F4A"/>
    <w:rsid w:val="00C54DA7"/>
    <w:rsid w:val="00C55A61"/>
    <w:rsid w:val="00C5692B"/>
    <w:rsid w:val="00C5780A"/>
    <w:rsid w:val="00C57EA4"/>
    <w:rsid w:val="00C61738"/>
    <w:rsid w:val="00C62128"/>
    <w:rsid w:val="00C626DA"/>
    <w:rsid w:val="00C628E3"/>
    <w:rsid w:val="00C62906"/>
    <w:rsid w:val="00C631D1"/>
    <w:rsid w:val="00C63933"/>
    <w:rsid w:val="00C64E97"/>
    <w:rsid w:val="00C652BE"/>
    <w:rsid w:val="00C65B5D"/>
    <w:rsid w:val="00C65C24"/>
    <w:rsid w:val="00C67210"/>
    <w:rsid w:val="00C67985"/>
    <w:rsid w:val="00C6799F"/>
    <w:rsid w:val="00C71032"/>
    <w:rsid w:val="00C7150B"/>
    <w:rsid w:val="00C71B28"/>
    <w:rsid w:val="00C71BFF"/>
    <w:rsid w:val="00C72B1A"/>
    <w:rsid w:val="00C72FAE"/>
    <w:rsid w:val="00C732DF"/>
    <w:rsid w:val="00C733D4"/>
    <w:rsid w:val="00C73C6B"/>
    <w:rsid w:val="00C747AE"/>
    <w:rsid w:val="00C756E0"/>
    <w:rsid w:val="00C763E7"/>
    <w:rsid w:val="00C77402"/>
    <w:rsid w:val="00C80114"/>
    <w:rsid w:val="00C80371"/>
    <w:rsid w:val="00C81571"/>
    <w:rsid w:val="00C8280D"/>
    <w:rsid w:val="00C82BAD"/>
    <w:rsid w:val="00C834E1"/>
    <w:rsid w:val="00C83E24"/>
    <w:rsid w:val="00C83EF6"/>
    <w:rsid w:val="00C84383"/>
    <w:rsid w:val="00C85DC6"/>
    <w:rsid w:val="00C863AF"/>
    <w:rsid w:val="00C866DF"/>
    <w:rsid w:val="00C90348"/>
    <w:rsid w:val="00C93639"/>
    <w:rsid w:val="00C93906"/>
    <w:rsid w:val="00C93B92"/>
    <w:rsid w:val="00C93C1A"/>
    <w:rsid w:val="00C93CFE"/>
    <w:rsid w:val="00C94901"/>
    <w:rsid w:val="00C95061"/>
    <w:rsid w:val="00C950C8"/>
    <w:rsid w:val="00C956C7"/>
    <w:rsid w:val="00C95E5C"/>
    <w:rsid w:val="00C97820"/>
    <w:rsid w:val="00CA295B"/>
    <w:rsid w:val="00CA3E7E"/>
    <w:rsid w:val="00CA4886"/>
    <w:rsid w:val="00CA5AA1"/>
    <w:rsid w:val="00CA6A79"/>
    <w:rsid w:val="00CA6D6E"/>
    <w:rsid w:val="00CA761E"/>
    <w:rsid w:val="00CB00FA"/>
    <w:rsid w:val="00CB12AC"/>
    <w:rsid w:val="00CB15D1"/>
    <w:rsid w:val="00CB265F"/>
    <w:rsid w:val="00CB2769"/>
    <w:rsid w:val="00CB29F5"/>
    <w:rsid w:val="00CB30FC"/>
    <w:rsid w:val="00CB3989"/>
    <w:rsid w:val="00CB3A36"/>
    <w:rsid w:val="00CB5C94"/>
    <w:rsid w:val="00CB7D7C"/>
    <w:rsid w:val="00CC0F24"/>
    <w:rsid w:val="00CC1685"/>
    <w:rsid w:val="00CC453E"/>
    <w:rsid w:val="00CC45B3"/>
    <w:rsid w:val="00CC49CA"/>
    <w:rsid w:val="00CC58DD"/>
    <w:rsid w:val="00CC59BB"/>
    <w:rsid w:val="00CC6C76"/>
    <w:rsid w:val="00CC701E"/>
    <w:rsid w:val="00CC7241"/>
    <w:rsid w:val="00CD1840"/>
    <w:rsid w:val="00CD1FCC"/>
    <w:rsid w:val="00CD2995"/>
    <w:rsid w:val="00CD394D"/>
    <w:rsid w:val="00CD39AE"/>
    <w:rsid w:val="00CD44AB"/>
    <w:rsid w:val="00CD479A"/>
    <w:rsid w:val="00CD568F"/>
    <w:rsid w:val="00CD5A5B"/>
    <w:rsid w:val="00CD6F3F"/>
    <w:rsid w:val="00CD6F4D"/>
    <w:rsid w:val="00CD755F"/>
    <w:rsid w:val="00CD79A5"/>
    <w:rsid w:val="00CE001B"/>
    <w:rsid w:val="00CE0945"/>
    <w:rsid w:val="00CE095D"/>
    <w:rsid w:val="00CE0B3A"/>
    <w:rsid w:val="00CE1375"/>
    <w:rsid w:val="00CE17D8"/>
    <w:rsid w:val="00CE416A"/>
    <w:rsid w:val="00CE42C0"/>
    <w:rsid w:val="00CE47A7"/>
    <w:rsid w:val="00CE4AEF"/>
    <w:rsid w:val="00CE4C40"/>
    <w:rsid w:val="00CE5CDF"/>
    <w:rsid w:val="00CE5EE0"/>
    <w:rsid w:val="00CE65EF"/>
    <w:rsid w:val="00CE698C"/>
    <w:rsid w:val="00CE6FE5"/>
    <w:rsid w:val="00CE799A"/>
    <w:rsid w:val="00CE79B0"/>
    <w:rsid w:val="00CF1290"/>
    <w:rsid w:val="00CF1F22"/>
    <w:rsid w:val="00CF220A"/>
    <w:rsid w:val="00CF2BD4"/>
    <w:rsid w:val="00CF2DD5"/>
    <w:rsid w:val="00CF3B9E"/>
    <w:rsid w:val="00CF424A"/>
    <w:rsid w:val="00CF44DA"/>
    <w:rsid w:val="00CF4C60"/>
    <w:rsid w:val="00CF535F"/>
    <w:rsid w:val="00CF5409"/>
    <w:rsid w:val="00CF6411"/>
    <w:rsid w:val="00CF645D"/>
    <w:rsid w:val="00CF655F"/>
    <w:rsid w:val="00CF6C05"/>
    <w:rsid w:val="00CF75F7"/>
    <w:rsid w:val="00CF778C"/>
    <w:rsid w:val="00CF79F4"/>
    <w:rsid w:val="00D01CFA"/>
    <w:rsid w:val="00D026D8"/>
    <w:rsid w:val="00D0489B"/>
    <w:rsid w:val="00D06163"/>
    <w:rsid w:val="00D06A43"/>
    <w:rsid w:val="00D07C84"/>
    <w:rsid w:val="00D1090B"/>
    <w:rsid w:val="00D11599"/>
    <w:rsid w:val="00D120DE"/>
    <w:rsid w:val="00D121AA"/>
    <w:rsid w:val="00D12201"/>
    <w:rsid w:val="00D12934"/>
    <w:rsid w:val="00D12CE2"/>
    <w:rsid w:val="00D14E87"/>
    <w:rsid w:val="00D153E7"/>
    <w:rsid w:val="00D15A21"/>
    <w:rsid w:val="00D1693C"/>
    <w:rsid w:val="00D169A1"/>
    <w:rsid w:val="00D174CC"/>
    <w:rsid w:val="00D2129B"/>
    <w:rsid w:val="00D21DB7"/>
    <w:rsid w:val="00D223E0"/>
    <w:rsid w:val="00D22716"/>
    <w:rsid w:val="00D229F4"/>
    <w:rsid w:val="00D23341"/>
    <w:rsid w:val="00D23491"/>
    <w:rsid w:val="00D23502"/>
    <w:rsid w:val="00D24851"/>
    <w:rsid w:val="00D24EF8"/>
    <w:rsid w:val="00D25714"/>
    <w:rsid w:val="00D26172"/>
    <w:rsid w:val="00D261C7"/>
    <w:rsid w:val="00D26296"/>
    <w:rsid w:val="00D26B5D"/>
    <w:rsid w:val="00D271A9"/>
    <w:rsid w:val="00D2721C"/>
    <w:rsid w:val="00D2764E"/>
    <w:rsid w:val="00D27F1E"/>
    <w:rsid w:val="00D3002C"/>
    <w:rsid w:val="00D31D00"/>
    <w:rsid w:val="00D323F3"/>
    <w:rsid w:val="00D331C2"/>
    <w:rsid w:val="00D33FD3"/>
    <w:rsid w:val="00D3638B"/>
    <w:rsid w:val="00D3687E"/>
    <w:rsid w:val="00D37183"/>
    <w:rsid w:val="00D376EC"/>
    <w:rsid w:val="00D40215"/>
    <w:rsid w:val="00D406BF"/>
    <w:rsid w:val="00D412F9"/>
    <w:rsid w:val="00D42111"/>
    <w:rsid w:val="00D4227C"/>
    <w:rsid w:val="00D422A3"/>
    <w:rsid w:val="00D42889"/>
    <w:rsid w:val="00D428AA"/>
    <w:rsid w:val="00D4369B"/>
    <w:rsid w:val="00D445A3"/>
    <w:rsid w:val="00D44A4E"/>
    <w:rsid w:val="00D4533F"/>
    <w:rsid w:val="00D45585"/>
    <w:rsid w:val="00D45C2A"/>
    <w:rsid w:val="00D46A00"/>
    <w:rsid w:val="00D46CF3"/>
    <w:rsid w:val="00D50FAA"/>
    <w:rsid w:val="00D5233D"/>
    <w:rsid w:val="00D55187"/>
    <w:rsid w:val="00D55434"/>
    <w:rsid w:val="00D56314"/>
    <w:rsid w:val="00D56400"/>
    <w:rsid w:val="00D5682D"/>
    <w:rsid w:val="00D56D48"/>
    <w:rsid w:val="00D577F5"/>
    <w:rsid w:val="00D57C48"/>
    <w:rsid w:val="00D6069C"/>
    <w:rsid w:val="00D60915"/>
    <w:rsid w:val="00D60DB1"/>
    <w:rsid w:val="00D617C3"/>
    <w:rsid w:val="00D61901"/>
    <w:rsid w:val="00D61C77"/>
    <w:rsid w:val="00D625B6"/>
    <w:rsid w:val="00D62FAA"/>
    <w:rsid w:val="00D63BCB"/>
    <w:rsid w:val="00D63D2F"/>
    <w:rsid w:val="00D63D3D"/>
    <w:rsid w:val="00D64320"/>
    <w:rsid w:val="00D6542C"/>
    <w:rsid w:val="00D6750F"/>
    <w:rsid w:val="00D6767A"/>
    <w:rsid w:val="00D70243"/>
    <w:rsid w:val="00D702D0"/>
    <w:rsid w:val="00D70FC3"/>
    <w:rsid w:val="00D71081"/>
    <w:rsid w:val="00D71869"/>
    <w:rsid w:val="00D71F83"/>
    <w:rsid w:val="00D72911"/>
    <w:rsid w:val="00D7367D"/>
    <w:rsid w:val="00D7490E"/>
    <w:rsid w:val="00D74F64"/>
    <w:rsid w:val="00D75562"/>
    <w:rsid w:val="00D76059"/>
    <w:rsid w:val="00D768BF"/>
    <w:rsid w:val="00D76B61"/>
    <w:rsid w:val="00D77956"/>
    <w:rsid w:val="00D80932"/>
    <w:rsid w:val="00D816E1"/>
    <w:rsid w:val="00D81E18"/>
    <w:rsid w:val="00D81E98"/>
    <w:rsid w:val="00D81EDB"/>
    <w:rsid w:val="00D81F6F"/>
    <w:rsid w:val="00D82D52"/>
    <w:rsid w:val="00D83994"/>
    <w:rsid w:val="00D83A32"/>
    <w:rsid w:val="00D8414E"/>
    <w:rsid w:val="00D84830"/>
    <w:rsid w:val="00D85FF4"/>
    <w:rsid w:val="00D90588"/>
    <w:rsid w:val="00D90B2C"/>
    <w:rsid w:val="00D92BFA"/>
    <w:rsid w:val="00D930B8"/>
    <w:rsid w:val="00D94D2F"/>
    <w:rsid w:val="00D94E89"/>
    <w:rsid w:val="00D951E4"/>
    <w:rsid w:val="00D95866"/>
    <w:rsid w:val="00D95C7B"/>
    <w:rsid w:val="00D96610"/>
    <w:rsid w:val="00DA08C0"/>
    <w:rsid w:val="00DA1BFF"/>
    <w:rsid w:val="00DA1D4C"/>
    <w:rsid w:val="00DA2EE5"/>
    <w:rsid w:val="00DA3883"/>
    <w:rsid w:val="00DA3C9A"/>
    <w:rsid w:val="00DA40BE"/>
    <w:rsid w:val="00DA5A19"/>
    <w:rsid w:val="00DA6557"/>
    <w:rsid w:val="00DA700D"/>
    <w:rsid w:val="00DA71E1"/>
    <w:rsid w:val="00DA74AE"/>
    <w:rsid w:val="00DB0593"/>
    <w:rsid w:val="00DB087C"/>
    <w:rsid w:val="00DB0B56"/>
    <w:rsid w:val="00DB36F8"/>
    <w:rsid w:val="00DB3BFB"/>
    <w:rsid w:val="00DB4615"/>
    <w:rsid w:val="00DB5726"/>
    <w:rsid w:val="00DB61BA"/>
    <w:rsid w:val="00DB7519"/>
    <w:rsid w:val="00DB77C8"/>
    <w:rsid w:val="00DC1FE0"/>
    <w:rsid w:val="00DC2DE6"/>
    <w:rsid w:val="00DC466E"/>
    <w:rsid w:val="00DC613E"/>
    <w:rsid w:val="00DC6880"/>
    <w:rsid w:val="00DC6D10"/>
    <w:rsid w:val="00DD0519"/>
    <w:rsid w:val="00DD15DE"/>
    <w:rsid w:val="00DD1BCF"/>
    <w:rsid w:val="00DD3AC4"/>
    <w:rsid w:val="00DD3B27"/>
    <w:rsid w:val="00DD414D"/>
    <w:rsid w:val="00DD6092"/>
    <w:rsid w:val="00DD6655"/>
    <w:rsid w:val="00DD7689"/>
    <w:rsid w:val="00DE0143"/>
    <w:rsid w:val="00DE0602"/>
    <w:rsid w:val="00DE0A0E"/>
    <w:rsid w:val="00DE0B9A"/>
    <w:rsid w:val="00DE1544"/>
    <w:rsid w:val="00DE34CD"/>
    <w:rsid w:val="00DE35C3"/>
    <w:rsid w:val="00DE3679"/>
    <w:rsid w:val="00DE39C7"/>
    <w:rsid w:val="00DE5542"/>
    <w:rsid w:val="00DE57E7"/>
    <w:rsid w:val="00DE63AF"/>
    <w:rsid w:val="00DE7B1C"/>
    <w:rsid w:val="00DF08A3"/>
    <w:rsid w:val="00DF0900"/>
    <w:rsid w:val="00DF0A51"/>
    <w:rsid w:val="00DF149B"/>
    <w:rsid w:val="00DF2338"/>
    <w:rsid w:val="00DF2520"/>
    <w:rsid w:val="00DF46FD"/>
    <w:rsid w:val="00DF5612"/>
    <w:rsid w:val="00DF6A7C"/>
    <w:rsid w:val="00DF7DFA"/>
    <w:rsid w:val="00E00036"/>
    <w:rsid w:val="00E00EAF"/>
    <w:rsid w:val="00E02093"/>
    <w:rsid w:val="00E024CA"/>
    <w:rsid w:val="00E02ED9"/>
    <w:rsid w:val="00E03E23"/>
    <w:rsid w:val="00E03E77"/>
    <w:rsid w:val="00E04941"/>
    <w:rsid w:val="00E07185"/>
    <w:rsid w:val="00E10059"/>
    <w:rsid w:val="00E10A1B"/>
    <w:rsid w:val="00E11374"/>
    <w:rsid w:val="00E12A24"/>
    <w:rsid w:val="00E13A52"/>
    <w:rsid w:val="00E143AC"/>
    <w:rsid w:val="00E14DB6"/>
    <w:rsid w:val="00E158E4"/>
    <w:rsid w:val="00E16080"/>
    <w:rsid w:val="00E177E1"/>
    <w:rsid w:val="00E17D79"/>
    <w:rsid w:val="00E201AC"/>
    <w:rsid w:val="00E203EB"/>
    <w:rsid w:val="00E209BF"/>
    <w:rsid w:val="00E20E0A"/>
    <w:rsid w:val="00E20F21"/>
    <w:rsid w:val="00E21F30"/>
    <w:rsid w:val="00E22207"/>
    <w:rsid w:val="00E22998"/>
    <w:rsid w:val="00E22E5B"/>
    <w:rsid w:val="00E23002"/>
    <w:rsid w:val="00E23C95"/>
    <w:rsid w:val="00E2439A"/>
    <w:rsid w:val="00E244DE"/>
    <w:rsid w:val="00E25272"/>
    <w:rsid w:val="00E257FF"/>
    <w:rsid w:val="00E25AFA"/>
    <w:rsid w:val="00E26D71"/>
    <w:rsid w:val="00E26E75"/>
    <w:rsid w:val="00E270C6"/>
    <w:rsid w:val="00E27511"/>
    <w:rsid w:val="00E2799F"/>
    <w:rsid w:val="00E307A5"/>
    <w:rsid w:val="00E30C83"/>
    <w:rsid w:val="00E30FAC"/>
    <w:rsid w:val="00E3119C"/>
    <w:rsid w:val="00E312B6"/>
    <w:rsid w:val="00E3134F"/>
    <w:rsid w:val="00E31A79"/>
    <w:rsid w:val="00E34953"/>
    <w:rsid w:val="00E35339"/>
    <w:rsid w:val="00E35C5B"/>
    <w:rsid w:val="00E36FBC"/>
    <w:rsid w:val="00E378DF"/>
    <w:rsid w:val="00E40237"/>
    <w:rsid w:val="00E40B59"/>
    <w:rsid w:val="00E40F07"/>
    <w:rsid w:val="00E41051"/>
    <w:rsid w:val="00E410DA"/>
    <w:rsid w:val="00E412EC"/>
    <w:rsid w:val="00E41485"/>
    <w:rsid w:val="00E42FA7"/>
    <w:rsid w:val="00E43746"/>
    <w:rsid w:val="00E4446A"/>
    <w:rsid w:val="00E44899"/>
    <w:rsid w:val="00E44ACF"/>
    <w:rsid w:val="00E45466"/>
    <w:rsid w:val="00E45CAB"/>
    <w:rsid w:val="00E4665E"/>
    <w:rsid w:val="00E47B70"/>
    <w:rsid w:val="00E502DE"/>
    <w:rsid w:val="00E50D5E"/>
    <w:rsid w:val="00E52247"/>
    <w:rsid w:val="00E524FD"/>
    <w:rsid w:val="00E52CA5"/>
    <w:rsid w:val="00E53976"/>
    <w:rsid w:val="00E558D5"/>
    <w:rsid w:val="00E561C3"/>
    <w:rsid w:val="00E56A08"/>
    <w:rsid w:val="00E56DB9"/>
    <w:rsid w:val="00E56F1D"/>
    <w:rsid w:val="00E57139"/>
    <w:rsid w:val="00E57C83"/>
    <w:rsid w:val="00E60285"/>
    <w:rsid w:val="00E6075F"/>
    <w:rsid w:val="00E61AE8"/>
    <w:rsid w:val="00E61E53"/>
    <w:rsid w:val="00E63C66"/>
    <w:rsid w:val="00E64079"/>
    <w:rsid w:val="00E653D5"/>
    <w:rsid w:val="00E6760E"/>
    <w:rsid w:val="00E678AB"/>
    <w:rsid w:val="00E67E22"/>
    <w:rsid w:val="00E67EE3"/>
    <w:rsid w:val="00E67FF5"/>
    <w:rsid w:val="00E70A90"/>
    <w:rsid w:val="00E722D7"/>
    <w:rsid w:val="00E737EF"/>
    <w:rsid w:val="00E759B5"/>
    <w:rsid w:val="00E768C2"/>
    <w:rsid w:val="00E771D9"/>
    <w:rsid w:val="00E77239"/>
    <w:rsid w:val="00E815E4"/>
    <w:rsid w:val="00E81B50"/>
    <w:rsid w:val="00E81F98"/>
    <w:rsid w:val="00E84427"/>
    <w:rsid w:val="00E84AAD"/>
    <w:rsid w:val="00E859D8"/>
    <w:rsid w:val="00E86CEA"/>
    <w:rsid w:val="00E907D0"/>
    <w:rsid w:val="00E912BC"/>
    <w:rsid w:val="00E9131C"/>
    <w:rsid w:val="00E9138F"/>
    <w:rsid w:val="00E91E90"/>
    <w:rsid w:val="00E92334"/>
    <w:rsid w:val="00E9252F"/>
    <w:rsid w:val="00E94CBD"/>
    <w:rsid w:val="00E94DDE"/>
    <w:rsid w:val="00E95E6F"/>
    <w:rsid w:val="00E96388"/>
    <w:rsid w:val="00E964E3"/>
    <w:rsid w:val="00E96B31"/>
    <w:rsid w:val="00E97503"/>
    <w:rsid w:val="00E97CED"/>
    <w:rsid w:val="00EA0556"/>
    <w:rsid w:val="00EA139C"/>
    <w:rsid w:val="00EA2195"/>
    <w:rsid w:val="00EA2313"/>
    <w:rsid w:val="00EA2EFB"/>
    <w:rsid w:val="00EA3104"/>
    <w:rsid w:val="00EA31BD"/>
    <w:rsid w:val="00EA34A2"/>
    <w:rsid w:val="00EA4322"/>
    <w:rsid w:val="00EA608E"/>
    <w:rsid w:val="00EA72F0"/>
    <w:rsid w:val="00EA7822"/>
    <w:rsid w:val="00EB04F2"/>
    <w:rsid w:val="00EB08CD"/>
    <w:rsid w:val="00EB13BD"/>
    <w:rsid w:val="00EB1558"/>
    <w:rsid w:val="00EB222E"/>
    <w:rsid w:val="00EB3017"/>
    <w:rsid w:val="00EB326D"/>
    <w:rsid w:val="00EB3EA8"/>
    <w:rsid w:val="00EB449F"/>
    <w:rsid w:val="00EB6181"/>
    <w:rsid w:val="00EB7B81"/>
    <w:rsid w:val="00EB7CE2"/>
    <w:rsid w:val="00EC004A"/>
    <w:rsid w:val="00EC0716"/>
    <w:rsid w:val="00EC0A81"/>
    <w:rsid w:val="00EC16DB"/>
    <w:rsid w:val="00EC1D7B"/>
    <w:rsid w:val="00EC3450"/>
    <w:rsid w:val="00EC4F0A"/>
    <w:rsid w:val="00EC56FA"/>
    <w:rsid w:val="00EC6C4B"/>
    <w:rsid w:val="00EC7230"/>
    <w:rsid w:val="00ED0B9E"/>
    <w:rsid w:val="00ED0D37"/>
    <w:rsid w:val="00ED1887"/>
    <w:rsid w:val="00ED1A2E"/>
    <w:rsid w:val="00ED2EB2"/>
    <w:rsid w:val="00ED3641"/>
    <w:rsid w:val="00ED41DB"/>
    <w:rsid w:val="00ED473A"/>
    <w:rsid w:val="00ED5828"/>
    <w:rsid w:val="00ED59B4"/>
    <w:rsid w:val="00EE1068"/>
    <w:rsid w:val="00EE17D4"/>
    <w:rsid w:val="00EE284E"/>
    <w:rsid w:val="00EE2D97"/>
    <w:rsid w:val="00EE546B"/>
    <w:rsid w:val="00EE57B6"/>
    <w:rsid w:val="00EE5E23"/>
    <w:rsid w:val="00EE612D"/>
    <w:rsid w:val="00EE6178"/>
    <w:rsid w:val="00EE66E3"/>
    <w:rsid w:val="00EE7584"/>
    <w:rsid w:val="00EE77F5"/>
    <w:rsid w:val="00EF001D"/>
    <w:rsid w:val="00EF0A41"/>
    <w:rsid w:val="00EF1A51"/>
    <w:rsid w:val="00EF1E92"/>
    <w:rsid w:val="00EF2CCF"/>
    <w:rsid w:val="00EF2E0A"/>
    <w:rsid w:val="00EF353A"/>
    <w:rsid w:val="00EF42B9"/>
    <w:rsid w:val="00EF458F"/>
    <w:rsid w:val="00EF4E4B"/>
    <w:rsid w:val="00EF5496"/>
    <w:rsid w:val="00EF6DD2"/>
    <w:rsid w:val="00EF710F"/>
    <w:rsid w:val="00F01199"/>
    <w:rsid w:val="00F015EA"/>
    <w:rsid w:val="00F0260B"/>
    <w:rsid w:val="00F04150"/>
    <w:rsid w:val="00F04694"/>
    <w:rsid w:val="00F04739"/>
    <w:rsid w:val="00F0792A"/>
    <w:rsid w:val="00F1133A"/>
    <w:rsid w:val="00F116C6"/>
    <w:rsid w:val="00F124C8"/>
    <w:rsid w:val="00F12858"/>
    <w:rsid w:val="00F12C29"/>
    <w:rsid w:val="00F12DA0"/>
    <w:rsid w:val="00F14C04"/>
    <w:rsid w:val="00F157BF"/>
    <w:rsid w:val="00F15C7D"/>
    <w:rsid w:val="00F172C7"/>
    <w:rsid w:val="00F200BB"/>
    <w:rsid w:val="00F205DC"/>
    <w:rsid w:val="00F20D59"/>
    <w:rsid w:val="00F210FB"/>
    <w:rsid w:val="00F211AF"/>
    <w:rsid w:val="00F21A83"/>
    <w:rsid w:val="00F224A4"/>
    <w:rsid w:val="00F229DD"/>
    <w:rsid w:val="00F233E5"/>
    <w:rsid w:val="00F23514"/>
    <w:rsid w:val="00F23B52"/>
    <w:rsid w:val="00F23DBE"/>
    <w:rsid w:val="00F24D0D"/>
    <w:rsid w:val="00F255A1"/>
    <w:rsid w:val="00F25BC6"/>
    <w:rsid w:val="00F26716"/>
    <w:rsid w:val="00F26BB4"/>
    <w:rsid w:val="00F2726E"/>
    <w:rsid w:val="00F3074C"/>
    <w:rsid w:val="00F30C8D"/>
    <w:rsid w:val="00F317DE"/>
    <w:rsid w:val="00F319AA"/>
    <w:rsid w:val="00F32270"/>
    <w:rsid w:val="00F32495"/>
    <w:rsid w:val="00F332A9"/>
    <w:rsid w:val="00F337CE"/>
    <w:rsid w:val="00F341A2"/>
    <w:rsid w:val="00F3435F"/>
    <w:rsid w:val="00F344BB"/>
    <w:rsid w:val="00F3518C"/>
    <w:rsid w:val="00F35FB5"/>
    <w:rsid w:val="00F364DF"/>
    <w:rsid w:val="00F400A8"/>
    <w:rsid w:val="00F40F66"/>
    <w:rsid w:val="00F419F2"/>
    <w:rsid w:val="00F41DE1"/>
    <w:rsid w:val="00F42112"/>
    <w:rsid w:val="00F4322C"/>
    <w:rsid w:val="00F43B39"/>
    <w:rsid w:val="00F45A57"/>
    <w:rsid w:val="00F47620"/>
    <w:rsid w:val="00F4765A"/>
    <w:rsid w:val="00F50770"/>
    <w:rsid w:val="00F50BDA"/>
    <w:rsid w:val="00F51062"/>
    <w:rsid w:val="00F5128E"/>
    <w:rsid w:val="00F51567"/>
    <w:rsid w:val="00F51D38"/>
    <w:rsid w:val="00F51EE6"/>
    <w:rsid w:val="00F52B04"/>
    <w:rsid w:val="00F52BCA"/>
    <w:rsid w:val="00F52DC6"/>
    <w:rsid w:val="00F5376C"/>
    <w:rsid w:val="00F540FE"/>
    <w:rsid w:val="00F550EF"/>
    <w:rsid w:val="00F552C7"/>
    <w:rsid w:val="00F55C60"/>
    <w:rsid w:val="00F55FCA"/>
    <w:rsid w:val="00F56422"/>
    <w:rsid w:val="00F5732F"/>
    <w:rsid w:val="00F57758"/>
    <w:rsid w:val="00F6062C"/>
    <w:rsid w:val="00F60C96"/>
    <w:rsid w:val="00F60E51"/>
    <w:rsid w:val="00F62370"/>
    <w:rsid w:val="00F63878"/>
    <w:rsid w:val="00F64789"/>
    <w:rsid w:val="00F6503D"/>
    <w:rsid w:val="00F6660D"/>
    <w:rsid w:val="00F66983"/>
    <w:rsid w:val="00F67A1B"/>
    <w:rsid w:val="00F67C0B"/>
    <w:rsid w:val="00F704BE"/>
    <w:rsid w:val="00F71743"/>
    <w:rsid w:val="00F71CEE"/>
    <w:rsid w:val="00F7298B"/>
    <w:rsid w:val="00F72C95"/>
    <w:rsid w:val="00F72EE0"/>
    <w:rsid w:val="00F74B23"/>
    <w:rsid w:val="00F74C44"/>
    <w:rsid w:val="00F752B5"/>
    <w:rsid w:val="00F75B76"/>
    <w:rsid w:val="00F77A1F"/>
    <w:rsid w:val="00F77DE3"/>
    <w:rsid w:val="00F8036D"/>
    <w:rsid w:val="00F80A47"/>
    <w:rsid w:val="00F816E5"/>
    <w:rsid w:val="00F81FBE"/>
    <w:rsid w:val="00F84BE8"/>
    <w:rsid w:val="00F8701D"/>
    <w:rsid w:val="00F87534"/>
    <w:rsid w:val="00F9096A"/>
    <w:rsid w:val="00F91BEB"/>
    <w:rsid w:val="00F91D10"/>
    <w:rsid w:val="00F9269B"/>
    <w:rsid w:val="00F92982"/>
    <w:rsid w:val="00F943C5"/>
    <w:rsid w:val="00F9474B"/>
    <w:rsid w:val="00F947BD"/>
    <w:rsid w:val="00F95BE7"/>
    <w:rsid w:val="00F97D9B"/>
    <w:rsid w:val="00FA00DC"/>
    <w:rsid w:val="00FA1924"/>
    <w:rsid w:val="00FA1FB3"/>
    <w:rsid w:val="00FA20A1"/>
    <w:rsid w:val="00FA37F2"/>
    <w:rsid w:val="00FA3A83"/>
    <w:rsid w:val="00FA3ECB"/>
    <w:rsid w:val="00FA4683"/>
    <w:rsid w:val="00FA5AFC"/>
    <w:rsid w:val="00FA5C76"/>
    <w:rsid w:val="00FA5DFC"/>
    <w:rsid w:val="00FA761A"/>
    <w:rsid w:val="00FA7E43"/>
    <w:rsid w:val="00FA7E89"/>
    <w:rsid w:val="00FB0482"/>
    <w:rsid w:val="00FB2730"/>
    <w:rsid w:val="00FB2A39"/>
    <w:rsid w:val="00FB2EAE"/>
    <w:rsid w:val="00FB3E4C"/>
    <w:rsid w:val="00FB467A"/>
    <w:rsid w:val="00FB7489"/>
    <w:rsid w:val="00FB75C8"/>
    <w:rsid w:val="00FB7E22"/>
    <w:rsid w:val="00FC0385"/>
    <w:rsid w:val="00FC0552"/>
    <w:rsid w:val="00FC065F"/>
    <w:rsid w:val="00FC141E"/>
    <w:rsid w:val="00FC144E"/>
    <w:rsid w:val="00FC1A76"/>
    <w:rsid w:val="00FC20E1"/>
    <w:rsid w:val="00FC29CC"/>
    <w:rsid w:val="00FC2F3B"/>
    <w:rsid w:val="00FC2FCB"/>
    <w:rsid w:val="00FC3004"/>
    <w:rsid w:val="00FC3F08"/>
    <w:rsid w:val="00FC6696"/>
    <w:rsid w:val="00FC6B2D"/>
    <w:rsid w:val="00FC6E0D"/>
    <w:rsid w:val="00FC7D5B"/>
    <w:rsid w:val="00FD00DB"/>
    <w:rsid w:val="00FD0FE2"/>
    <w:rsid w:val="00FD18E3"/>
    <w:rsid w:val="00FD1D2D"/>
    <w:rsid w:val="00FD24FB"/>
    <w:rsid w:val="00FD28AC"/>
    <w:rsid w:val="00FD3AF0"/>
    <w:rsid w:val="00FD3BF0"/>
    <w:rsid w:val="00FD3DAD"/>
    <w:rsid w:val="00FD41B2"/>
    <w:rsid w:val="00FD47CC"/>
    <w:rsid w:val="00FD4947"/>
    <w:rsid w:val="00FD4CE2"/>
    <w:rsid w:val="00FD5D10"/>
    <w:rsid w:val="00FD600C"/>
    <w:rsid w:val="00FD6488"/>
    <w:rsid w:val="00FE0445"/>
    <w:rsid w:val="00FE04CE"/>
    <w:rsid w:val="00FE0575"/>
    <w:rsid w:val="00FE06BC"/>
    <w:rsid w:val="00FE081C"/>
    <w:rsid w:val="00FE0C66"/>
    <w:rsid w:val="00FE0FC5"/>
    <w:rsid w:val="00FE2113"/>
    <w:rsid w:val="00FE2D18"/>
    <w:rsid w:val="00FE2E9B"/>
    <w:rsid w:val="00FE3405"/>
    <w:rsid w:val="00FE3837"/>
    <w:rsid w:val="00FE453D"/>
    <w:rsid w:val="00FE4EDD"/>
    <w:rsid w:val="00FE54C8"/>
    <w:rsid w:val="00FE5507"/>
    <w:rsid w:val="00FE558B"/>
    <w:rsid w:val="00FE57E1"/>
    <w:rsid w:val="00FE5C90"/>
    <w:rsid w:val="00FE5E71"/>
    <w:rsid w:val="00FE6104"/>
    <w:rsid w:val="00FE65D2"/>
    <w:rsid w:val="00FE6637"/>
    <w:rsid w:val="00FE6D18"/>
    <w:rsid w:val="00FE6E93"/>
    <w:rsid w:val="00FE6FF7"/>
    <w:rsid w:val="00FE750E"/>
    <w:rsid w:val="00FF0B9C"/>
    <w:rsid w:val="00FF0EAF"/>
    <w:rsid w:val="00FF19EF"/>
    <w:rsid w:val="00FF1C0E"/>
    <w:rsid w:val="00FF202B"/>
    <w:rsid w:val="00FF3E72"/>
    <w:rsid w:val="00FF45E7"/>
    <w:rsid w:val="00FF5CDE"/>
    <w:rsid w:val="00FF5EA9"/>
    <w:rsid w:val="00FF6113"/>
    <w:rsid w:val="00FF6389"/>
    <w:rsid w:val="00FF6424"/>
    <w:rsid w:val="00FF6DDB"/>
    <w:rsid w:val="00FF76B4"/>
    <w:rsid w:val="011C626C"/>
    <w:rsid w:val="01233A9E"/>
    <w:rsid w:val="01245B45"/>
    <w:rsid w:val="013419E4"/>
    <w:rsid w:val="01514167"/>
    <w:rsid w:val="01637D30"/>
    <w:rsid w:val="01AA6DBD"/>
    <w:rsid w:val="01B446F6"/>
    <w:rsid w:val="01C40DDD"/>
    <w:rsid w:val="01FF4EA0"/>
    <w:rsid w:val="020708D1"/>
    <w:rsid w:val="02443CCC"/>
    <w:rsid w:val="02627D84"/>
    <w:rsid w:val="02672A14"/>
    <w:rsid w:val="02693733"/>
    <w:rsid w:val="02720A9F"/>
    <w:rsid w:val="02842376"/>
    <w:rsid w:val="029A2696"/>
    <w:rsid w:val="02B81FC4"/>
    <w:rsid w:val="02C71254"/>
    <w:rsid w:val="02E45500"/>
    <w:rsid w:val="02E93D5E"/>
    <w:rsid w:val="02F2048B"/>
    <w:rsid w:val="030263CF"/>
    <w:rsid w:val="03123DCA"/>
    <w:rsid w:val="0341727A"/>
    <w:rsid w:val="034F0670"/>
    <w:rsid w:val="03507F51"/>
    <w:rsid w:val="036C5FDF"/>
    <w:rsid w:val="03830824"/>
    <w:rsid w:val="038B6C04"/>
    <w:rsid w:val="03920A67"/>
    <w:rsid w:val="039563DC"/>
    <w:rsid w:val="03967EFF"/>
    <w:rsid w:val="03A400B7"/>
    <w:rsid w:val="03A53B02"/>
    <w:rsid w:val="03B13B29"/>
    <w:rsid w:val="03B15391"/>
    <w:rsid w:val="03BB45AA"/>
    <w:rsid w:val="03C935E7"/>
    <w:rsid w:val="03DF2349"/>
    <w:rsid w:val="03E312C3"/>
    <w:rsid w:val="03E52B26"/>
    <w:rsid w:val="03E80687"/>
    <w:rsid w:val="03F11C32"/>
    <w:rsid w:val="03F70904"/>
    <w:rsid w:val="04113C31"/>
    <w:rsid w:val="04190023"/>
    <w:rsid w:val="04223098"/>
    <w:rsid w:val="04223B99"/>
    <w:rsid w:val="044F1487"/>
    <w:rsid w:val="045F6050"/>
    <w:rsid w:val="046619FB"/>
    <w:rsid w:val="048742A9"/>
    <w:rsid w:val="048E56D2"/>
    <w:rsid w:val="049F343C"/>
    <w:rsid w:val="04B93CD6"/>
    <w:rsid w:val="04BD6BE3"/>
    <w:rsid w:val="04C82992"/>
    <w:rsid w:val="0506170D"/>
    <w:rsid w:val="053022E6"/>
    <w:rsid w:val="05322624"/>
    <w:rsid w:val="053323CA"/>
    <w:rsid w:val="0563090D"/>
    <w:rsid w:val="0578144E"/>
    <w:rsid w:val="05940AC6"/>
    <w:rsid w:val="05962A91"/>
    <w:rsid w:val="05A01219"/>
    <w:rsid w:val="05B838D5"/>
    <w:rsid w:val="05B83E67"/>
    <w:rsid w:val="05BB6053"/>
    <w:rsid w:val="05D16EAD"/>
    <w:rsid w:val="05D87A1F"/>
    <w:rsid w:val="05E57574"/>
    <w:rsid w:val="05EF21A1"/>
    <w:rsid w:val="05F06F47"/>
    <w:rsid w:val="05F871E5"/>
    <w:rsid w:val="061C0D7E"/>
    <w:rsid w:val="061F4C33"/>
    <w:rsid w:val="0620067D"/>
    <w:rsid w:val="06416B30"/>
    <w:rsid w:val="065D1C71"/>
    <w:rsid w:val="0678444A"/>
    <w:rsid w:val="067B659F"/>
    <w:rsid w:val="06895098"/>
    <w:rsid w:val="068C3CAD"/>
    <w:rsid w:val="068F4333"/>
    <w:rsid w:val="06A358EF"/>
    <w:rsid w:val="06A8622D"/>
    <w:rsid w:val="06B358C1"/>
    <w:rsid w:val="06D227DD"/>
    <w:rsid w:val="06D56841"/>
    <w:rsid w:val="06DA196F"/>
    <w:rsid w:val="06E22EC5"/>
    <w:rsid w:val="06E63AD5"/>
    <w:rsid w:val="07085C7F"/>
    <w:rsid w:val="07195D48"/>
    <w:rsid w:val="071A10D6"/>
    <w:rsid w:val="07247C28"/>
    <w:rsid w:val="072D338A"/>
    <w:rsid w:val="07300CC3"/>
    <w:rsid w:val="0738052F"/>
    <w:rsid w:val="074E7034"/>
    <w:rsid w:val="078C558E"/>
    <w:rsid w:val="07934D62"/>
    <w:rsid w:val="07954A40"/>
    <w:rsid w:val="079C0106"/>
    <w:rsid w:val="07A14ABA"/>
    <w:rsid w:val="07BD3631"/>
    <w:rsid w:val="07EA0E72"/>
    <w:rsid w:val="07FA2486"/>
    <w:rsid w:val="0805235B"/>
    <w:rsid w:val="08154250"/>
    <w:rsid w:val="08192501"/>
    <w:rsid w:val="08270166"/>
    <w:rsid w:val="0829411C"/>
    <w:rsid w:val="08404F36"/>
    <w:rsid w:val="08430AFE"/>
    <w:rsid w:val="08454D39"/>
    <w:rsid w:val="0878022B"/>
    <w:rsid w:val="087F0DF5"/>
    <w:rsid w:val="089512C5"/>
    <w:rsid w:val="08A9360C"/>
    <w:rsid w:val="08C4084E"/>
    <w:rsid w:val="08C6543B"/>
    <w:rsid w:val="08D50F75"/>
    <w:rsid w:val="08D739C0"/>
    <w:rsid w:val="08E54FA3"/>
    <w:rsid w:val="08ED70B2"/>
    <w:rsid w:val="08EF452A"/>
    <w:rsid w:val="092F2B6A"/>
    <w:rsid w:val="093E70A3"/>
    <w:rsid w:val="09532A47"/>
    <w:rsid w:val="09561BBE"/>
    <w:rsid w:val="09693E09"/>
    <w:rsid w:val="097040CC"/>
    <w:rsid w:val="09773B45"/>
    <w:rsid w:val="098A11E6"/>
    <w:rsid w:val="099363F7"/>
    <w:rsid w:val="09B44537"/>
    <w:rsid w:val="09BE4364"/>
    <w:rsid w:val="09CC2DF8"/>
    <w:rsid w:val="09E85EE4"/>
    <w:rsid w:val="0A147D12"/>
    <w:rsid w:val="0A230EA3"/>
    <w:rsid w:val="0A4800A6"/>
    <w:rsid w:val="0A4A3E4A"/>
    <w:rsid w:val="0A4E5B26"/>
    <w:rsid w:val="0A556C89"/>
    <w:rsid w:val="0A692DA2"/>
    <w:rsid w:val="0A7F15D1"/>
    <w:rsid w:val="0A827480"/>
    <w:rsid w:val="0A8729A8"/>
    <w:rsid w:val="0A8C4462"/>
    <w:rsid w:val="0A905E85"/>
    <w:rsid w:val="0AD5720B"/>
    <w:rsid w:val="0AE0655C"/>
    <w:rsid w:val="0AE9159E"/>
    <w:rsid w:val="0B2C354F"/>
    <w:rsid w:val="0B303C06"/>
    <w:rsid w:val="0B41178A"/>
    <w:rsid w:val="0B464F05"/>
    <w:rsid w:val="0B51129B"/>
    <w:rsid w:val="0B5E631B"/>
    <w:rsid w:val="0B636A0C"/>
    <w:rsid w:val="0B65467F"/>
    <w:rsid w:val="0B680A2B"/>
    <w:rsid w:val="0B71702E"/>
    <w:rsid w:val="0B7B00A3"/>
    <w:rsid w:val="0B7D28B2"/>
    <w:rsid w:val="0B8550FE"/>
    <w:rsid w:val="0B8A3013"/>
    <w:rsid w:val="0B9C6927"/>
    <w:rsid w:val="0BAD754A"/>
    <w:rsid w:val="0BB63DBF"/>
    <w:rsid w:val="0BBA06A7"/>
    <w:rsid w:val="0BC915CE"/>
    <w:rsid w:val="0BCA3660"/>
    <w:rsid w:val="0BCC06A4"/>
    <w:rsid w:val="0BCC3BD8"/>
    <w:rsid w:val="0BD42FD4"/>
    <w:rsid w:val="0BD50AB0"/>
    <w:rsid w:val="0BD94FD3"/>
    <w:rsid w:val="0BE123A9"/>
    <w:rsid w:val="0C2F779B"/>
    <w:rsid w:val="0C3C6795"/>
    <w:rsid w:val="0C41302A"/>
    <w:rsid w:val="0C460641"/>
    <w:rsid w:val="0C8302FD"/>
    <w:rsid w:val="0C8A0C56"/>
    <w:rsid w:val="0C8B2707"/>
    <w:rsid w:val="0C9620C4"/>
    <w:rsid w:val="0C9E614B"/>
    <w:rsid w:val="0CAE6912"/>
    <w:rsid w:val="0CBC2245"/>
    <w:rsid w:val="0CD03431"/>
    <w:rsid w:val="0CE63BE1"/>
    <w:rsid w:val="0CF607E4"/>
    <w:rsid w:val="0CFD3DDF"/>
    <w:rsid w:val="0D006A41"/>
    <w:rsid w:val="0D0341DC"/>
    <w:rsid w:val="0D0A56FE"/>
    <w:rsid w:val="0D1A5E1F"/>
    <w:rsid w:val="0D4E05C5"/>
    <w:rsid w:val="0D587772"/>
    <w:rsid w:val="0D5B437B"/>
    <w:rsid w:val="0D6276FC"/>
    <w:rsid w:val="0D67410D"/>
    <w:rsid w:val="0D686E96"/>
    <w:rsid w:val="0D837729"/>
    <w:rsid w:val="0D8A48DB"/>
    <w:rsid w:val="0D906017"/>
    <w:rsid w:val="0D9D484E"/>
    <w:rsid w:val="0DAC6BE6"/>
    <w:rsid w:val="0DBE77EA"/>
    <w:rsid w:val="0DC474CC"/>
    <w:rsid w:val="0DE030E1"/>
    <w:rsid w:val="0DFC10C6"/>
    <w:rsid w:val="0DFE5677"/>
    <w:rsid w:val="0DFF4C47"/>
    <w:rsid w:val="0E086EA2"/>
    <w:rsid w:val="0E165E1D"/>
    <w:rsid w:val="0E2F75DE"/>
    <w:rsid w:val="0E3F3599"/>
    <w:rsid w:val="0EB75826"/>
    <w:rsid w:val="0ECC5F83"/>
    <w:rsid w:val="0ED86542"/>
    <w:rsid w:val="0EE3586D"/>
    <w:rsid w:val="0F100949"/>
    <w:rsid w:val="0F2F1860"/>
    <w:rsid w:val="0F4A75DD"/>
    <w:rsid w:val="0F4B683C"/>
    <w:rsid w:val="0F6060C5"/>
    <w:rsid w:val="0F6839E9"/>
    <w:rsid w:val="0F6951E5"/>
    <w:rsid w:val="0F6E7D4E"/>
    <w:rsid w:val="0F7525EA"/>
    <w:rsid w:val="0FA05385"/>
    <w:rsid w:val="0FA73E69"/>
    <w:rsid w:val="0FC45FEF"/>
    <w:rsid w:val="0FDE284A"/>
    <w:rsid w:val="0FE73EE9"/>
    <w:rsid w:val="0FE8729B"/>
    <w:rsid w:val="0FFA70CB"/>
    <w:rsid w:val="100056FA"/>
    <w:rsid w:val="10030D22"/>
    <w:rsid w:val="10066A65"/>
    <w:rsid w:val="100A33E9"/>
    <w:rsid w:val="102B1944"/>
    <w:rsid w:val="102E1B18"/>
    <w:rsid w:val="102F7D69"/>
    <w:rsid w:val="10351A7D"/>
    <w:rsid w:val="106A4D97"/>
    <w:rsid w:val="10777A9F"/>
    <w:rsid w:val="109418D2"/>
    <w:rsid w:val="10A55FC4"/>
    <w:rsid w:val="10A86E6D"/>
    <w:rsid w:val="10B41F70"/>
    <w:rsid w:val="10C81FE2"/>
    <w:rsid w:val="10C83D1A"/>
    <w:rsid w:val="10DE7669"/>
    <w:rsid w:val="10F83C48"/>
    <w:rsid w:val="10FD2924"/>
    <w:rsid w:val="110411F6"/>
    <w:rsid w:val="110A7910"/>
    <w:rsid w:val="110C00AB"/>
    <w:rsid w:val="113B44EC"/>
    <w:rsid w:val="11621D29"/>
    <w:rsid w:val="11934328"/>
    <w:rsid w:val="119836EC"/>
    <w:rsid w:val="11AA0FA9"/>
    <w:rsid w:val="11B147AE"/>
    <w:rsid w:val="11B7095B"/>
    <w:rsid w:val="11B85B3D"/>
    <w:rsid w:val="11B878C8"/>
    <w:rsid w:val="11C2669B"/>
    <w:rsid w:val="11E20E0C"/>
    <w:rsid w:val="11E507AE"/>
    <w:rsid w:val="11EA4D26"/>
    <w:rsid w:val="12073CFC"/>
    <w:rsid w:val="12187ED5"/>
    <w:rsid w:val="12192921"/>
    <w:rsid w:val="125504EC"/>
    <w:rsid w:val="12887C05"/>
    <w:rsid w:val="129603EA"/>
    <w:rsid w:val="12B47007"/>
    <w:rsid w:val="12D720A5"/>
    <w:rsid w:val="13013E5C"/>
    <w:rsid w:val="130D22B4"/>
    <w:rsid w:val="131B213B"/>
    <w:rsid w:val="1338110A"/>
    <w:rsid w:val="13535209"/>
    <w:rsid w:val="13573133"/>
    <w:rsid w:val="135B5769"/>
    <w:rsid w:val="136057A4"/>
    <w:rsid w:val="13740F91"/>
    <w:rsid w:val="137577D8"/>
    <w:rsid w:val="13842983"/>
    <w:rsid w:val="138C54D3"/>
    <w:rsid w:val="138F28CD"/>
    <w:rsid w:val="13925F67"/>
    <w:rsid w:val="13B01C0F"/>
    <w:rsid w:val="13BB777D"/>
    <w:rsid w:val="13D749A0"/>
    <w:rsid w:val="13DB78D0"/>
    <w:rsid w:val="13DD5D2E"/>
    <w:rsid w:val="14110728"/>
    <w:rsid w:val="1435004B"/>
    <w:rsid w:val="144731FE"/>
    <w:rsid w:val="14514FE4"/>
    <w:rsid w:val="147A532B"/>
    <w:rsid w:val="149303B2"/>
    <w:rsid w:val="14AC156C"/>
    <w:rsid w:val="14B505C0"/>
    <w:rsid w:val="14B836CF"/>
    <w:rsid w:val="14B954E7"/>
    <w:rsid w:val="14C15D92"/>
    <w:rsid w:val="14C9201C"/>
    <w:rsid w:val="14D95ED0"/>
    <w:rsid w:val="14DA3249"/>
    <w:rsid w:val="14F90946"/>
    <w:rsid w:val="150B5E73"/>
    <w:rsid w:val="151D2886"/>
    <w:rsid w:val="15213F68"/>
    <w:rsid w:val="152D6842"/>
    <w:rsid w:val="15415E49"/>
    <w:rsid w:val="15591D31"/>
    <w:rsid w:val="155D4975"/>
    <w:rsid w:val="15631FD1"/>
    <w:rsid w:val="1582661A"/>
    <w:rsid w:val="15894740"/>
    <w:rsid w:val="158C17BA"/>
    <w:rsid w:val="15B00449"/>
    <w:rsid w:val="15BC1874"/>
    <w:rsid w:val="15CD4CF1"/>
    <w:rsid w:val="15DD2016"/>
    <w:rsid w:val="15F555B1"/>
    <w:rsid w:val="15F630D7"/>
    <w:rsid w:val="161672D6"/>
    <w:rsid w:val="16305D0B"/>
    <w:rsid w:val="16345581"/>
    <w:rsid w:val="164F0E8B"/>
    <w:rsid w:val="1666200B"/>
    <w:rsid w:val="166E75EE"/>
    <w:rsid w:val="16770A49"/>
    <w:rsid w:val="16893E20"/>
    <w:rsid w:val="168C7628"/>
    <w:rsid w:val="169256F6"/>
    <w:rsid w:val="16A02B72"/>
    <w:rsid w:val="16A42B33"/>
    <w:rsid w:val="16AE479B"/>
    <w:rsid w:val="16B76C7F"/>
    <w:rsid w:val="16CF65BD"/>
    <w:rsid w:val="16DA1F16"/>
    <w:rsid w:val="16E36CDE"/>
    <w:rsid w:val="16E80C72"/>
    <w:rsid w:val="16F62E35"/>
    <w:rsid w:val="1720040C"/>
    <w:rsid w:val="1720665E"/>
    <w:rsid w:val="1748141C"/>
    <w:rsid w:val="17647B21"/>
    <w:rsid w:val="176F4EEF"/>
    <w:rsid w:val="17984446"/>
    <w:rsid w:val="17AB17CB"/>
    <w:rsid w:val="17AD35B8"/>
    <w:rsid w:val="17B13B40"/>
    <w:rsid w:val="17C512F2"/>
    <w:rsid w:val="17F92A0B"/>
    <w:rsid w:val="180D32C7"/>
    <w:rsid w:val="18113BEE"/>
    <w:rsid w:val="18196C6D"/>
    <w:rsid w:val="181F42DF"/>
    <w:rsid w:val="18290442"/>
    <w:rsid w:val="182D052A"/>
    <w:rsid w:val="183F09D7"/>
    <w:rsid w:val="184479FC"/>
    <w:rsid w:val="184B0B4A"/>
    <w:rsid w:val="1853036D"/>
    <w:rsid w:val="186636E5"/>
    <w:rsid w:val="1867233F"/>
    <w:rsid w:val="186F3AE3"/>
    <w:rsid w:val="18727DFC"/>
    <w:rsid w:val="188624F1"/>
    <w:rsid w:val="188B4B51"/>
    <w:rsid w:val="18A60517"/>
    <w:rsid w:val="18B24038"/>
    <w:rsid w:val="18C66317"/>
    <w:rsid w:val="18FB1A82"/>
    <w:rsid w:val="190D49C0"/>
    <w:rsid w:val="1940562E"/>
    <w:rsid w:val="195B5C50"/>
    <w:rsid w:val="19650358"/>
    <w:rsid w:val="196A0BA6"/>
    <w:rsid w:val="196A23F4"/>
    <w:rsid w:val="198F70F7"/>
    <w:rsid w:val="199630FF"/>
    <w:rsid w:val="19BD3EC4"/>
    <w:rsid w:val="19CA28B1"/>
    <w:rsid w:val="19D62035"/>
    <w:rsid w:val="19D63897"/>
    <w:rsid w:val="19D93F5C"/>
    <w:rsid w:val="19F769E4"/>
    <w:rsid w:val="19F806F1"/>
    <w:rsid w:val="19FC638D"/>
    <w:rsid w:val="1A170B7C"/>
    <w:rsid w:val="1A2B77F4"/>
    <w:rsid w:val="1A304B8C"/>
    <w:rsid w:val="1A564145"/>
    <w:rsid w:val="1A810EF3"/>
    <w:rsid w:val="1A89007E"/>
    <w:rsid w:val="1A96481F"/>
    <w:rsid w:val="1AA22936"/>
    <w:rsid w:val="1AAE2460"/>
    <w:rsid w:val="1AB10891"/>
    <w:rsid w:val="1ABC327F"/>
    <w:rsid w:val="1AE532C2"/>
    <w:rsid w:val="1AF80FB5"/>
    <w:rsid w:val="1B122762"/>
    <w:rsid w:val="1B244243"/>
    <w:rsid w:val="1B3230CB"/>
    <w:rsid w:val="1B3A4561"/>
    <w:rsid w:val="1B553E9B"/>
    <w:rsid w:val="1B662AAD"/>
    <w:rsid w:val="1B762CF0"/>
    <w:rsid w:val="1B8639D2"/>
    <w:rsid w:val="1B881EB1"/>
    <w:rsid w:val="1BAB04F6"/>
    <w:rsid w:val="1BB455C7"/>
    <w:rsid w:val="1BBE0A3E"/>
    <w:rsid w:val="1BF31B67"/>
    <w:rsid w:val="1BF44D83"/>
    <w:rsid w:val="1BF46761"/>
    <w:rsid w:val="1C154ED8"/>
    <w:rsid w:val="1C160B6F"/>
    <w:rsid w:val="1C182E5D"/>
    <w:rsid w:val="1C1A7EB1"/>
    <w:rsid w:val="1C2C41B0"/>
    <w:rsid w:val="1C4041DF"/>
    <w:rsid w:val="1C4E3355"/>
    <w:rsid w:val="1C541E77"/>
    <w:rsid w:val="1C8256C5"/>
    <w:rsid w:val="1C8431EB"/>
    <w:rsid w:val="1C890966"/>
    <w:rsid w:val="1C8B3C61"/>
    <w:rsid w:val="1C997CCC"/>
    <w:rsid w:val="1CA562DE"/>
    <w:rsid w:val="1CB65C58"/>
    <w:rsid w:val="1CBB6902"/>
    <w:rsid w:val="1CCE386C"/>
    <w:rsid w:val="1CD72DDC"/>
    <w:rsid w:val="1CDB049A"/>
    <w:rsid w:val="1CE808F3"/>
    <w:rsid w:val="1CEB48AB"/>
    <w:rsid w:val="1D0F0D23"/>
    <w:rsid w:val="1D33319C"/>
    <w:rsid w:val="1D3C1F4A"/>
    <w:rsid w:val="1D3C79E6"/>
    <w:rsid w:val="1D3F35B6"/>
    <w:rsid w:val="1D557D7F"/>
    <w:rsid w:val="1D615194"/>
    <w:rsid w:val="1DB92FF6"/>
    <w:rsid w:val="1DBC4BBB"/>
    <w:rsid w:val="1DBD6D31"/>
    <w:rsid w:val="1DCA2E80"/>
    <w:rsid w:val="1DDC5AED"/>
    <w:rsid w:val="1E07089B"/>
    <w:rsid w:val="1E162569"/>
    <w:rsid w:val="1E256308"/>
    <w:rsid w:val="1E3231C9"/>
    <w:rsid w:val="1E4C3267"/>
    <w:rsid w:val="1E574F99"/>
    <w:rsid w:val="1E5F5CBE"/>
    <w:rsid w:val="1E6D7CAF"/>
    <w:rsid w:val="1E8E28D5"/>
    <w:rsid w:val="1EA96D89"/>
    <w:rsid w:val="1EB92468"/>
    <w:rsid w:val="1EBA1146"/>
    <w:rsid w:val="1EC26174"/>
    <w:rsid w:val="1EC91503"/>
    <w:rsid w:val="1ED815CC"/>
    <w:rsid w:val="1EE0423B"/>
    <w:rsid w:val="1EE5021A"/>
    <w:rsid w:val="1EEA7E50"/>
    <w:rsid w:val="1EF90380"/>
    <w:rsid w:val="1F130856"/>
    <w:rsid w:val="1F1A7E37"/>
    <w:rsid w:val="1F304AF7"/>
    <w:rsid w:val="1F3B0FF1"/>
    <w:rsid w:val="1F3E4ECF"/>
    <w:rsid w:val="1F414B15"/>
    <w:rsid w:val="1F464788"/>
    <w:rsid w:val="1F4C0D3E"/>
    <w:rsid w:val="1F601654"/>
    <w:rsid w:val="1F847C8B"/>
    <w:rsid w:val="1F8942C8"/>
    <w:rsid w:val="1F8A1887"/>
    <w:rsid w:val="1FA37097"/>
    <w:rsid w:val="1FA92743"/>
    <w:rsid w:val="1FB96C03"/>
    <w:rsid w:val="1FE62FE2"/>
    <w:rsid w:val="1FE80B48"/>
    <w:rsid w:val="1FED4BBF"/>
    <w:rsid w:val="20054643"/>
    <w:rsid w:val="20084133"/>
    <w:rsid w:val="200C781C"/>
    <w:rsid w:val="201039BD"/>
    <w:rsid w:val="20155583"/>
    <w:rsid w:val="20195A57"/>
    <w:rsid w:val="204A02A8"/>
    <w:rsid w:val="20831B1C"/>
    <w:rsid w:val="20AC0ADC"/>
    <w:rsid w:val="20E165FA"/>
    <w:rsid w:val="20F50D5D"/>
    <w:rsid w:val="20F84C60"/>
    <w:rsid w:val="21065D3D"/>
    <w:rsid w:val="21105A43"/>
    <w:rsid w:val="2112433B"/>
    <w:rsid w:val="214F25E0"/>
    <w:rsid w:val="21562C7C"/>
    <w:rsid w:val="215929ED"/>
    <w:rsid w:val="215A39BD"/>
    <w:rsid w:val="215B79C3"/>
    <w:rsid w:val="21646083"/>
    <w:rsid w:val="217D3F47"/>
    <w:rsid w:val="21875B03"/>
    <w:rsid w:val="21A82911"/>
    <w:rsid w:val="21BE719F"/>
    <w:rsid w:val="21C70A80"/>
    <w:rsid w:val="21CA54CA"/>
    <w:rsid w:val="21D757C7"/>
    <w:rsid w:val="21DF2ED8"/>
    <w:rsid w:val="221B03D9"/>
    <w:rsid w:val="223629C7"/>
    <w:rsid w:val="22424E7C"/>
    <w:rsid w:val="226D4E61"/>
    <w:rsid w:val="226E2485"/>
    <w:rsid w:val="228D3068"/>
    <w:rsid w:val="228F3FB9"/>
    <w:rsid w:val="22B50DE8"/>
    <w:rsid w:val="22BA5BB9"/>
    <w:rsid w:val="22C63710"/>
    <w:rsid w:val="22CE3412"/>
    <w:rsid w:val="22E92A7F"/>
    <w:rsid w:val="2309269C"/>
    <w:rsid w:val="230A22CC"/>
    <w:rsid w:val="23184B26"/>
    <w:rsid w:val="232079E6"/>
    <w:rsid w:val="23463840"/>
    <w:rsid w:val="23626B99"/>
    <w:rsid w:val="236D4C96"/>
    <w:rsid w:val="239C1547"/>
    <w:rsid w:val="23A07159"/>
    <w:rsid w:val="23A53951"/>
    <w:rsid w:val="23A62D9C"/>
    <w:rsid w:val="23B3094E"/>
    <w:rsid w:val="23D44D2F"/>
    <w:rsid w:val="23D64B68"/>
    <w:rsid w:val="23D72EBC"/>
    <w:rsid w:val="23E06A27"/>
    <w:rsid w:val="23E91014"/>
    <w:rsid w:val="23EF0CBE"/>
    <w:rsid w:val="23F944BF"/>
    <w:rsid w:val="240A6EFC"/>
    <w:rsid w:val="24130B7B"/>
    <w:rsid w:val="24173588"/>
    <w:rsid w:val="24194B61"/>
    <w:rsid w:val="24297789"/>
    <w:rsid w:val="24471857"/>
    <w:rsid w:val="244A71C8"/>
    <w:rsid w:val="2457591B"/>
    <w:rsid w:val="247509BC"/>
    <w:rsid w:val="24A3267C"/>
    <w:rsid w:val="24B44889"/>
    <w:rsid w:val="24BD6D93"/>
    <w:rsid w:val="24D33249"/>
    <w:rsid w:val="24E47A97"/>
    <w:rsid w:val="2508772B"/>
    <w:rsid w:val="25094A80"/>
    <w:rsid w:val="25263733"/>
    <w:rsid w:val="25356186"/>
    <w:rsid w:val="25467E79"/>
    <w:rsid w:val="254C061E"/>
    <w:rsid w:val="25591875"/>
    <w:rsid w:val="255C17FA"/>
    <w:rsid w:val="25684541"/>
    <w:rsid w:val="256F5B56"/>
    <w:rsid w:val="25783A00"/>
    <w:rsid w:val="25911D97"/>
    <w:rsid w:val="25A426FB"/>
    <w:rsid w:val="25AC733B"/>
    <w:rsid w:val="25BA7C7E"/>
    <w:rsid w:val="25BC2289"/>
    <w:rsid w:val="25D80104"/>
    <w:rsid w:val="25DF1BB0"/>
    <w:rsid w:val="25E02B77"/>
    <w:rsid w:val="260D4251"/>
    <w:rsid w:val="261648FD"/>
    <w:rsid w:val="2640480F"/>
    <w:rsid w:val="26460C04"/>
    <w:rsid w:val="264D0286"/>
    <w:rsid w:val="266A54DF"/>
    <w:rsid w:val="267210A3"/>
    <w:rsid w:val="26724BBB"/>
    <w:rsid w:val="269A7680"/>
    <w:rsid w:val="26AA5945"/>
    <w:rsid w:val="26DE70D2"/>
    <w:rsid w:val="26E03714"/>
    <w:rsid w:val="26E30AA4"/>
    <w:rsid w:val="26F43506"/>
    <w:rsid w:val="26F52318"/>
    <w:rsid w:val="26F7280B"/>
    <w:rsid w:val="27053614"/>
    <w:rsid w:val="27500985"/>
    <w:rsid w:val="27713183"/>
    <w:rsid w:val="27800C66"/>
    <w:rsid w:val="27877B94"/>
    <w:rsid w:val="27914A0E"/>
    <w:rsid w:val="2799106B"/>
    <w:rsid w:val="27D66A0D"/>
    <w:rsid w:val="27E83C40"/>
    <w:rsid w:val="27F62756"/>
    <w:rsid w:val="27F82B28"/>
    <w:rsid w:val="280247CE"/>
    <w:rsid w:val="281A5DA6"/>
    <w:rsid w:val="28550131"/>
    <w:rsid w:val="285D799A"/>
    <w:rsid w:val="285E5857"/>
    <w:rsid w:val="286801D6"/>
    <w:rsid w:val="286D0FD7"/>
    <w:rsid w:val="28715366"/>
    <w:rsid w:val="28D72367"/>
    <w:rsid w:val="28D924A9"/>
    <w:rsid w:val="28E13773"/>
    <w:rsid w:val="28E368B4"/>
    <w:rsid w:val="28EC7681"/>
    <w:rsid w:val="29036821"/>
    <w:rsid w:val="2913260A"/>
    <w:rsid w:val="29182F13"/>
    <w:rsid w:val="29391521"/>
    <w:rsid w:val="2940493E"/>
    <w:rsid w:val="29475CCC"/>
    <w:rsid w:val="295031AD"/>
    <w:rsid w:val="2953641F"/>
    <w:rsid w:val="29617287"/>
    <w:rsid w:val="29673599"/>
    <w:rsid w:val="29AB11A7"/>
    <w:rsid w:val="29AE042A"/>
    <w:rsid w:val="29B87B25"/>
    <w:rsid w:val="29BA01ED"/>
    <w:rsid w:val="29C410CB"/>
    <w:rsid w:val="29DE5888"/>
    <w:rsid w:val="29DF585B"/>
    <w:rsid w:val="29F84D39"/>
    <w:rsid w:val="2A075ABA"/>
    <w:rsid w:val="2A0E7BF0"/>
    <w:rsid w:val="2A25728E"/>
    <w:rsid w:val="2A2D79E1"/>
    <w:rsid w:val="2A46290E"/>
    <w:rsid w:val="2A507C5E"/>
    <w:rsid w:val="2A525B5B"/>
    <w:rsid w:val="2A697EC4"/>
    <w:rsid w:val="2A810D6A"/>
    <w:rsid w:val="2A8C71DD"/>
    <w:rsid w:val="2AA32F82"/>
    <w:rsid w:val="2AC51D60"/>
    <w:rsid w:val="2ADE14E1"/>
    <w:rsid w:val="2B016678"/>
    <w:rsid w:val="2B28032C"/>
    <w:rsid w:val="2B4C5328"/>
    <w:rsid w:val="2B5E72FD"/>
    <w:rsid w:val="2B88437A"/>
    <w:rsid w:val="2B886128"/>
    <w:rsid w:val="2B94326D"/>
    <w:rsid w:val="2B9D5393"/>
    <w:rsid w:val="2BA634F1"/>
    <w:rsid w:val="2BCA3351"/>
    <w:rsid w:val="2BD568C0"/>
    <w:rsid w:val="2BD617BA"/>
    <w:rsid w:val="2C016FD1"/>
    <w:rsid w:val="2C0C1CEE"/>
    <w:rsid w:val="2C11621A"/>
    <w:rsid w:val="2C477E74"/>
    <w:rsid w:val="2C581F9E"/>
    <w:rsid w:val="2C610E53"/>
    <w:rsid w:val="2C6841E6"/>
    <w:rsid w:val="2C7325CD"/>
    <w:rsid w:val="2C7A6890"/>
    <w:rsid w:val="2C8A6AA3"/>
    <w:rsid w:val="2C8B760D"/>
    <w:rsid w:val="2CD70D3E"/>
    <w:rsid w:val="2D300825"/>
    <w:rsid w:val="2D306689"/>
    <w:rsid w:val="2D3617F0"/>
    <w:rsid w:val="2D3D1424"/>
    <w:rsid w:val="2D482013"/>
    <w:rsid w:val="2D712EBB"/>
    <w:rsid w:val="2D856DC3"/>
    <w:rsid w:val="2D9708A4"/>
    <w:rsid w:val="2D984D48"/>
    <w:rsid w:val="2D992479"/>
    <w:rsid w:val="2DA07759"/>
    <w:rsid w:val="2DB7309C"/>
    <w:rsid w:val="2DD32D64"/>
    <w:rsid w:val="2DD9710F"/>
    <w:rsid w:val="2DF34260"/>
    <w:rsid w:val="2E021788"/>
    <w:rsid w:val="2E06451A"/>
    <w:rsid w:val="2E193D8F"/>
    <w:rsid w:val="2E42655C"/>
    <w:rsid w:val="2E430740"/>
    <w:rsid w:val="2E613F48"/>
    <w:rsid w:val="2E6469D8"/>
    <w:rsid w:val="2E6966E5"/>
    <w:rsid w:val="2E7110F5"/>
    <w:rsid w:val="2EA13C35"/>
    <w:rsid w:val="2EBC045D"/>
    <w:rsid w:val="2EC36E41"/>
    <w:rsid w:val="2EF3016B"/>
    <w:rsid w:val="2EF332DC"/>
    <w:rsid w:val="2EFA5A6C"/>
    <w:rsid w:val="2F0477C6"/>
    <w:rsid w:val="2F0F2DE8"/>
    <w:rsid w:val="2F2B1A7F"/>
    <w:rsid w:val="2F2C52CC"/>
    <w:rsid w:val="2F2D7712"/>
    <w:rsid w:val="2F48454C"/>
    <w:rsid w:val="2F893D77"/>
    <w:rsid w:val="2F8C3BFD"/>
    <w:rsid w:val="2FD46283"/>
    <w:rsid w:val="2FDF786B"/>
    <w:rsid w:val="2FFB3839"/>
    <w:rsid w:val="300D2B54"/>
    <w:rsid w:val="300F6E18"/>
    <w:rsid w:val="30137B42"/>
    <w:rsid w:val="301C3F1D"/>
    <w:rsid w:val="30240B15"/>
    <w:rsid w:val="302D224F"/>
    <w:rsid w:val="30312C26"/>
    <w:rsid w:val="304B0976"/>
    <w:rsid w:val="305B205D"/>
    <w:rsid w:val="3071200D"/>
    <w:rsid w:val="307146FE"/>
    <w:rsid w:val="30776223"/>
    <w:rsid w:val="307A24D8"/>
    <w:rsid w:val="30A9101A"/>
    <w:rsid w:val="30B82267"/>
    <w:rsid w:val="30C61BCC"/>
    <w:rsid w:val="30DC531F"/>
    <w:rsid w:val="30DE1C23"/>
    <w:rsid w:val="31003CE3"/>
    <w:rsid w:val="311C6744"/>
    <w:rsid w:val="31254D9C"/>
    <w:rsid w:val="31291D49"/>
    <w:rsid w:val="312A2C11"/>
    <w:rsid w:val="31975317"/>
    <w:rsid w:val="31A33CBC"/>
    <w:rsid w:val="31D415D9"/>
    <w:rsid w:val="31DD7CED"/>
    <w:rsid w:val="320077F1"/>
    <w:rsid w:val="32150A25"/>
    <w:rsid w:val="3227494D"/>
    <w:rsid w:val="3234428A"/>
    <w:rsid w:val="328F492B"/>
    <w:rsid w:val="32B85545"/>
    <w:rsid w:val="32B900B2"/>
    <w:rsid w:val="32D06D32"/>
    <w:rsid w:val="32E91BA2"/>
    <w:rsid w:val="32F50547"/>
    <w:rsid w:val="33110B4A"/>
    <w:rsid w:val="3311637E"/>
    <w:rsid w:val="3325084A"/>
    <w:rsid w:val="332C1ECE"/>
    <w:rsid w:val="33337A76"/>
    <w:rsid w:val="33451162"/>
    <w:rsid w:val="33851977"/>
    <w:rsid w:val="338F539C"/>
    <w:rsid w:val="3390201E"/>
    <w:rsid w:val="339500D3"/>
    <w:rsid w:val="33953C1C"/>
    <w:rsid w:val="33963B84"/>
    <w:rsid w:val="339A4386"/>
    <w:rsid w:val="33B41C7E"/>
    <w:rsid w:val="33D92592"/>
    <w:rsid w:val="33DC34B5"/>
    <w:rsid w:val="33EC039B"/>
    <w:rsid w:val="33FD3BCF"/>
    <w:rsid w:val="34020BF7"/>
    <w:rsid w:val="34195072"/>
    <w:rsid w:val="343F5DA5"/>
    <w:rsid w:val="344F05EC"/>
    <w:rsid w:val="3453346E"/>
    <w:rsid w:val="34545C8B"/>
    <w:rsid w:val="345A2143"/>
    <w:rsid w:val="345C0F76"/>
    <w:rsid w:val="34674247"/>
    <w:rsid w:val="346E0E8C"/>
    <w:rsid w:val="3486310D"/>
    <w:rsid w:val="34A16844"/>
    <w:rsid w:val="34A73F20"/>
    <w:rsid w:val="34A956CB"/>
    <w:rsid w:val="34C76689"/>
    <w:rsid w:val="34DB7E93"/>
    <w:rsid w:val="35012D9F"/>
    <w:rsid w:val="351F7AFD"/>
    <w:rsid w:val="35232594"/>
    <w:rsid w:val="35386755"/>
    <w:rsid w:val="353D45C4"/>
    <w:rsid w:val="35483566"/>
    <w:rsid w:val="354A55D4"/>
    <w:rsid w:val="354F6DB3"/>
    <w:rsid w:val="356F08D2"/>
    <w:rsid w:val="358D2CB9"/>
    <w:rsid w:val="35A324DC"/>
    <w:rsid w:val="35E02D7E"/>
    <w:rsid w:val="35E0728C"/>
    <w:rsid w:val="35E306DB"/>
    <w:rsid w:val="35EF127D"/>
    <w:rsid w:val="35F75C4F"/>
    <w:rsid w:val="362A7F6D"/>
    <w:rsid w:val="36321AB2"/>
    <w:rsid w:val="363F7524"/>
    <w:rsid w:val="3645426A"/>
    <w:rsid w:val="36480F71"/>
    <w:rsid w:val="364D4F48"/>
    <w:rsid w:val="364E3013"/>
    <w:rsid w:val="36603661"/>
    <w:rsid w:val="36644003"/>
    <w:rsid w:val="366C0B20"/>
    <w:rsid w:val="36991E67"/>
    <w:rsid w:val="36C55994"/>
    <w:rsid w:val="36C61835"/>
    <w:rsid w:val="36C719CD"/>
    <w:rsid w:val="36CD33FE"/>
    <w:rsid w:val="36E73918"/>
    <w:rsid w:val="36F445E5"/>
    <w:rsid w:val="36F6272D"/>
    <w:rsid w:val="37063431"/>
    <w:rsid w:val="37165CDA"/>
    <w:rsid w:val="371B42F4"/>
    <w:rsid w:val="371C186B"/>
    <w:rsid w:val="374069DF"/>
    <w:rsid w:val="374108C8"/>
    <w:rsid w:val="37425D25"/>
    <w:rsid w:val="3744384B"/>
    <w:rsid w:val="374F6BC6"/>
    <w:rsid w:val="375B0AEE"/>
    <w:rsid w:val="37667C65"/>
    <w:rsid w:val="37781ACD"/>
    <w:rsid w:val="37887BDC"/>
    <w:rsid w:val="37BC351A"/>
    <w:rsid w:val="37BF3359"/>
    <w:rsid w:val="37C035AE"/>
    <w:rsid w:val="37C404E8"/>
    <w:rsid w:val="37EF1A09"/>
    <w:rsid w:val="37F23747"/>
    <w:rsid w:val="37F71790"/>
    <w:rsid w:val="381274A5"/>
    <w:rsid w:val="38206E11"/>
    <w:rsid w:val="38224A7C"/>
    <w:rsid w:val="3827446D"/>
    <w:rsid w:val="38297F2A"/>
    <w:rsid w:val="3831420F"/>
    <w:rsid w:val="38394FC9"/>
    <w:rsid w:val="3856621D"/>
    <w:rsid w:val="386817BB"/>
    <w:rsid w:val="38772452"/>
    <w:rsid w:val="38774730"/>
    <w:rsid w:val="38785676"/>
    <w:rsid w:val="387D60DC"/>
    <w:rsid w:val="38914D2A"/>
    <w:rsid w:val="389B55F0"/>
    <w:rsid w:val="38A433CB"/>
    <w:rsid w:val="38A5656B"/>
    <w:rsid w:val="38A95BFB"/>
    <w:rsid w:val="38CC1D4A"/>
    <w:rsid w:val="38F91345"/>
    <w:rsid w:val="38FB438A"/>
    <w:rsid w:val="3905403D"/>
    <w:rsid w:val="392F4087"/>
    <w:rsid w:val="393A3157"/>
    <w:rsid w:val="394B74A2"/>
    <w:rsid w:val="394C5454"/>
    <w:rsid w:val="39775E30"/>
    <w:rsid w:val="397F6DBC"/>
    <w:rsid w:val="39932868"/>
    <w:rsid w:val="39994943"/>
    <w:rsid w:val="39A52BFA"/>
    <w:rsid w:val="39AE1450"/>
    <w:rsid w:val="39BB35FD"/>
    <w:rsid w:val="39BE5EB7"/>
    <w:rsid w:val="39BF0EBC"/>
    <w:rsid w:val="39C60C02"/>
    <w:rsid w:val="39D65EEB"/>
    <w:rsid w:val="39EB4452"/>
    <w:rsid w:val="3A045864"/>
    <w:rsid w:val="3A0A0D7C"/>
    <w:rsid w:val="3A0C6877"/>
    <w:rsid w:val="3A150C25"/>
    <w:rsid w:val="3A3C7179"/>
    <w:rsid w:val="3A4E0707"/>
    <w:rsid w:val="3A554972"/>
    <w:rsid w:val="3A6661DA"/>
    <w:rsid w:val="3A6C64FD"/>
    <w:rsid w:val="3A72641B"/>
    <w:rsid w:val="3A742784"/>
    <w:rsid w:val="3A7601BF"/>
    <w:rsid w:val="3A790260"/>
    <w:rsid w:val="3A8A293A"/>
    <w:rsid w:val="3A954AA2"/>
    <w:rsid w:val="3AA20EF1"/>
    <w:rsid w:val="3AD93148"/>
    <w:rsid w:val="3ADB7243"/>
    <w:rsid w:val="3AF61300"/>
    <w:rsid w:val="3B106BE1"/>
    <w:rsid w:val="3B120534"/>
    <w:rsid w:val="3B27431E"/>
    <w:rsid w:val="3B2C4D22"/>
    <w:rsid w:val="3B3B0ABC"/>
    <w:rsid w:val="3B3D5D0C"/>
    <w:rsid w:val="3B4770D9"/>
    <w:rsid w:val="3B585B17"/>
    <w:rsid w:val="3B5A188F"/>
    <w:rsid w:val="3B81506E"/>
    <w:rsid w:val="3B85039C"/>
    <w:rsid w:val="3BB1369A"/>
    <w:rsid w:val="3BBD620A"/>
    <w:rsid w:val="3BC5652D"/>
    <w:rsid w:val="3BCF1312"/>
    <w:rsid w:val="3BD13F79"/>
    <w:rsid w:val="3BF97784"/>
    <w:rsid w:val="3C21059C"/>
    <w:rsid w:val="3C320116"/>
    <w:rsid w:val="3C4516BA"/>
    <w:rsid w:val="3C4F5371"/>
    <w:rsid w:val="3C6B2094"/>
    <w:rsid w:val="3C7646E7"/>
    <w:rsid w:val="3C7949A7"/>
    <w:rsid w:val="3C7D4E7D"/>
    <w:rsid w:val="3C9F32D2"/>
    <w:rsid w:val="3CA32053"/>
    <w:rsid w:val="3CAF0FC1"/>
    <w:rsid w:val="3CB6726B"/>
    <w:rsid w:val="3CB72D11"/>
    <w:rsid w:val="3CBF5DED"/>
    <w:rsid w:val="3CC2562F"/>
    <w:rsid w:val="3CC4783A"/>
    <w:rsid w:val="3CD64A1F"/>
    <w:rsid w:val="3CD841FC"/>
    <w:rsid w:val="3CF40582"/>
    <w:rsid w:val="3CF44C6E"/>
    <w:rsid w:val="3D0A3D17"/>
    <w:rsid w:val="3D1E4BED"/>
    <w:rsid w:val="3D2263DC"/>
    <w:rsid w:val="3D2739F3"/>
    <w:rsid w:val="3D484890"/>
    <w:rsid w:val="3D4F21FC"/>
    <w:rsid w:val="3D6E00B2"/>
    <w:rsid w:val="3D9077EA"/>
    <w:rsid w:val="3DA22437"/>
    <w:rsid w:val="3DA33E28"/>
    <w:rsid w:val="3DA37D71"/>
    <w:rsid w:val="3DAA4C63"/>
    <w:rsid w:val="3DB42099"/>
    <w:rsid w:val="3DCA2B4F"/>
    <w:rsid w:val="3E18333B"/>
    <w:rsid w:val="3E1C7765"/>
    <w:rsid w:val="3E3C4CA2"/>
    <w:rsid w:val="3E46013D"/>
    <w:rsid w:val="3E603D74"/>
    <w:rsid w:val="3E7C6F40"/>
    <w:rsid w:val="3E810EE1"/>
    <w:rsid w:val="3E913515"/>
    <w:rsid w:val="3E9302A0"/>
    <w:rsid w:val="3E9A4692"/>
    <w:rsid w:val="3EBA43F3"/>
    <w:rsid w:val="3F010273"/>
    <w:rsid w:val="3F196FA9"/>
    <w:rsid w:val="3F2060C0"/>
    <w:rsid w:val="3F2666DB"/>
    <w:rsid w:val="3F3423F7"/>
    <w:rsid w:val="3F3B3785"/>
    <w:rsid w:val="3F4A5431"/>
    <w:rsid w:val="3F62032A"/>
    <w:rsid w:val="3F7A3FE3"/>
    <w:rsid w:val="3F9E4807"/>
    <w:rsid w:val="3F9F1F66"/>
    <w:rsid w:val="3FC86421"/>
    <w:rsid w:val="3FDD5C22"/>
    <w:rsid w:val="3FDE1D27"/>
    <w:rsid w:val="3FE83F13"/>
    <w:rsid w:val="3FED711E"/>
    <w:rsid w:val="3FF3732F"/>
    <w:rsid w:val="3FFD0A3B"/>
    <w:rsid w:val="400260B4"/>
    <w:rsid w:val="400D56F9"/>
    <w:rsid w:val="401F78AE"/>
    <w:rsid w:val="40240F49"/>
    <w:rsid w:val="402B2037"/>
    <w:rsid w:val="40507E8F"/>
    <w:rsid w:val="40537C33"/>
    <w:rsid w:val="40612BF7"/>
    <w:rsid w:val="40664832"/>
    <w:rsid w:val="406D4DCA"/>
    <w:rsid w:val="40706E0F"/>
    <w:rsid w:val="4071611F"/>
    <w:rsid w:val="40832350"/>
    <w:rsid w:val="40852141"/>
    <w:rsid w:val="408F0E93"/>
    <w:rsid w:val="409969B6"/>
    <w:rsid w:val="40AD673A"/>
    <w:rsid w:val="40B32809"/>
    <w:rsid w:val="40C66469"/>
    <w:rsid w:val="40F9362A"/>
    <w:rsid w:val="4104731D"/>
    <w:rsid w:val="411F5748"/>
    <w:rsid w:val="41223A49"/>
    <w:rsid w:val="413464E6"/>
    <w:rsid w:val="413A4015"/>
    <w:rsid w:val="413C37E5"/>
    <w:rsid w:val="413C4A27"/>
    <w:rsid w:val="417E5BAB"/>
    <w:rsid w:val="418722F7"/>
    <w:rsid w:val="41882566"/>
    <w:rsid w:val="419874EA"/>
    <w:rsid w:val="419C1A7C"/>
    <w:rsid w:val="41B80C5C"/>
    <w:rsid w:val="41BB0716"/>
    <w:rsid w:val="41BB0BAE"/>
    <w:rsid w:val="41BC4C81"/>
    <w:rsid w:val="41C03CBF"/>
    <w:rsid w:val="41D56DDF"/>
    <w:rsid w:val="4201278B"/>
    <w:rsid w:val="420F4A55"/>
    <w:rsid w:val="422229DB"/>
    <w:rsid w:val="42226754"/>
    <w:rsid w:val="42315CF6"/>
    <w:rsid w:val="423544BC"/>
    <w:rsid w:val="42734FE4"/>
    <w:rsid w:val="42782315"/>
    <w:rsid w:val="427B1489"/>
    <w:rsid w:val="428611BC"/>
    <w:rsid w:val="42972F42"/>
    <w:rsid w:val="42A16D30"/>
    <w:rsid w:val="42A43CAB"/>
    <w:rsid w:val="42A45AE6"/>
    <w:rsid w:val="42AF49AE"/>
    <w:rsid w:val="42B94204"/>
    <w:rsid w:val="42E019AC"/>
    <w:rsid w:val="42F94AE0"/>
    <w:rsid w:val="42FA5B31"/>
    <w:rsid w:val="430538C1"/>
    <w:rsid w:val="43105186"/>
    <w:rsid w:val="431B0276"/>
    <w:rsid w:val="431F6F1A"/>
    <w:rsid w:val="43215FBE"/>
    <w:rsid w:val="43372413"/>
    <w:rsid w:val="43385B07"/>
    <w:rsid w:val="4348021F"/>
    <w:rsid w:val="434D076A"/>
    <w:rsid w:val="434D31F4"/>
    <w:rsid w:val="43616767"/>
    <w:rsid w:val="43727992"/>
    <w:rsid w:val="438F40A0"/>
    <w:rsid w:val="439E2535"/>
    <w:rsid w:val="43A0121A"/>
    <w:rsid w:val="43D464BF"/>
    <w:rsid w:val="43D9356D"/>
    <w:rsid w:val="440806B4"/>
    <w:rsid w:val="44094C42"/>
    <w:rsid w:val="440A2F88"/>
    <w:rsid w:val="440A7C7A"/>
    <w:rsid w:val="440E1469"/>
    <w:rsid w:val="440E7322"/>
    <w:rsid w:val="44215720"/>
    <w:rsid w:val="443B7BB2"/>
    <w:rsid w:val="4453127D"/>
    <w:rsid w:val="445C7B91"/>
    <w:rsid w:val="446217B4"/>
    <w:rsid w:val="446612A5"/>
    <w:rsid w:val="446B0F3E"/>
    <w:rsid w:val="44722E61"/>
    <w:rsid w:val="4476700E"/>
    <w:rsid w:val="44810512"/>
    <w:rsid w:val="448B2AB9"/>
    <w:rsid w:val="449657B8"/>
    <w:rsid w:val="44A1020E"/>
    <w:rsid w:val="44BA15F0"/>
    <w:rsid w:val="44C71160"/>
    <w:rsid w:val="44D16838"/>
    <w:rsid w:val="44D256B2"/>
    <w:rsid w:val="44E15FF1"/>
    <w:rsid w:val="44FD328B"/>
    <w:rsid w:val="451C5E07"/>
    <w:rsid w:val="45401CC5"/>
    <w:rsid w:val="45523187"/>
    <w:rsid w:val="45524604"/>
    <w:rsid w:val="455A248C"/>
    <w:rsid w:val="457301DE"/>
    <w:rsid w:val="4584624C"/>
    <w:rsid w:val="459C7567"/>
    <w:rsid w:val="45AB374E"/>
    <w:rsid w:val="45B8638D"/>
    <w:rsid w:val="45E85CE9"/>
    <w:rsid w:val="45FD18E1"/>
    <w:rsid w:val="46222FA9"/>
    <w:rsid w:val="466A3D31"/>
    <w:rsid w:val="467B6B5D"/>
    <w:rsid w:val="4680247C"/>
    <w:rsid w:val="468974CC"/>
    <w:rsid w:val="469412C2"/>
    <w:rsid w:val="469519CD"/>
    <w:rsid w:val="469A6FE4"/>
    <w:rsid w:val="46AB1274"/>
    <w:rsid w:val="46B8647D"/>
    <w:rsid w:val="46BC33FE"/>
    <w:rsid w:val="46C63468"/>
    <w:rsid w:val="46C6584B"/>
    <w:rsid w:val="46E976BF"/>
    <w:rsid w:val="46FD4373"/>
    <w:rsid w:val="472E3A7B"/>
    <w:rsid w:val="473B20A4"/>
    <w:rsid w:val="47463CD5"/>
    <w:rsid w:val="47560505"/>
    <w:rsid w:val="47C00B3A"/>
    <w:rsid w:val="47CE604A"/>
    <w:rsid w:val="47D93B3C"/>
    <w:rsid w:val="47E26E94"/>
    <w:rsid w:val="480C2163"/>
    <w:rsid w:val="48272AF9"/>
    <w:rsid w:val="48287250"/>
    <w:rsid w:val="48366397"/>
    <w:rsid w:val="483A55A8"/>
    <w:rsid w:val="484D4EF4"/>
    <w:rsid w:val="484D7FA0"/>
    <w:rsid w:val="487D6BBD"/>
    <w:rsid w:val="487F2935"/>
    <w:rsid w:val="489D6FFE"/>
    <w:rsid w:val="48AF1129"/>
    <w:rsid w:val="48B35D58"/>
    <w:rsid w:val="48BA1F67"/>
    <w:rsid w:val="48BA396D"/>
    <w:rsid w:val="48D507A7"/>
    <w:rsid w:val="48EC3F61"/>
    <w:rsid w:val="49075B92"/>
    <w:rsid w:val="49087A7B"/>
    <w:rsid w:val="49325BF9"/>
    <w:rsid w:val="493A2D00"/>
    <w:rsid w:val="494F67AB"/>
    <w:rsid w:val="495B792A"/>
    <w:rsid w:val="495D026B"/>
    <w:rsid w:val="495D5B92"/>
    <w:rsid w:val="496023AD"/>
    <w:rsid w:val="4982281B"/>
    <w:rsid w:val="498966DE"/>
    <w:rsid w:val="499248EA"/>
    <w:rsid w:val="499F48B0"/>
    <w:rsid w:val="49AD5280"/>
    <w:rsid w:val="49B87109"/>
    <w:rsid w:val="49B900C8"/>
    <w:rsid w:val="49BA541C"/>
    <w:rsid w:val="49CA4084"/>
    <w:rsid w:val="49DF161C"/>
    <w:rsid w:val="49E361FD"/>
    <w:rsid w:val="49EF26BE"/>
    <w:rsid w:val="4A0B2BC7"/>
    <w:rsid w:val="4A264F0A"/>
    <w:rsid w:val="4A337E1B"/>
    <w:rsid w:val="4A442B1E"/>
    <w:rsid w:val="4A5E47CC"/>
    <w:rsid w:val="4A635DB7"/>
    <w:rsid w:val="4A783AE0"/>
    <w:rsid w:val="4A864B53"/>
    <w:rsid w:val="4A905FF2"/>
    <w:rsid w:val="4AAD01D1"/>
    <w:rsid w:val="4AAD423C"/>
    <w:rsid w:val="4ABA5EA6"/>
    <w:rsid w:val="4ABD0081"/>
    <w:rsid w:val="4ABD5996"/>
    <w:rsid w:val="4ACB6080"/>
    <w:rsid w:val="4B0B04B0"/>
    <w:rsid w:val="4B1A4B97"/>
    <w:rsid w:val="4B367ECE"/>
    <w:rsid w:val="4B423A85"/>
    <w:rsid w:val="4B481EEC"/>
    <w:rsid w:val="4B5272FC"/>
    <w:rsid w:val="4B616322"/>
    <w:rsid w:val="4B624B17"/>
    <w:rsid w:val="4B633E76"/>
    <w:rsid w:val="4B74249E"/>
    <w:rsid w:val="4B887A26"/>
    <w:rsid w:val="4B996D7B"/>
    <w:rsid w:val="4B9A5369"/>
    <w:rsid w:val="4BB30C1A"/>
    <w:rsid w:val="4BB8425D"/>
    <w:rsid w:val="4BC337E7"/>
    <w:rsid w:val="4BD21BD6"/>
    <w:rsid w:val="4C17004E"/>
    <w:rsid w:val="4C2C3FFB"/>
    <w:rsid w:val="4C39729F"/>
    <w:rsid w:val="4C510490"/>
    <w:rsid w:val="4C6205A3"/>
    <w:rsid w:val="4C846BEC"/>
    <w:rsid w:val="4C8D5BC8"/>
    <w:rsid w:val="4C96649F"/>
    <w:rsid w:val="4CA87650"/>
    <w:rsid w:val="4CAC6040"/>
    <w:rsid w:val="4CB2553B"/>
    <w:rsid w:val="4CB35E45"/>
    <w:rsid w:val="4CCD2F8C"/>
    <w:rsid w:val="4CFC4922"/>
    <w:rsid w:val="4D001B6A"/>
    <w:rsid w:val="4D0253A7"/>
    <w:rsid w:val="4D20055C"/>
    <w:rsid w:val="4D2033D6"/>
    <w:rsid w:val="4D2B1E11"/>
    <w:rsid w:val="4D490FC9"/>
    <w:rsid w:val="4D4B1781"/>
    <w:rsid w:val="4D63717E"/>
    <w:rsid w:val="4D6C0FAE"/>
    <w:rsid w:val="4D6E2F78"/>
    <w:rsid w:val="4D7C67E2"/>
    <w:rsid w:val="4DA7005A"/>
    <w:rsid w:val="4DA72983"/>
    <w:rsid w:val="4DB50491"/>
    <w:rsid w:val="4DC11AFA"/>
    <w:rsid w:val="4DD67B70"/>
    <w:rsid w:val="4DD94895"/>
    <w:rsid w:val="4E063A92"/>
    <w:rsid w:val="4E3B5EAE"/>
    <w:rsid w:val="4E3D26EA"/>
    <w:rsid w:val="4E644C0D"/>
    <w:rsid w:val="4E740172"/>
    <w:rsid w:val="4E97278F"/>
    <w:rsid w:val="4EA84646"/>
    <w:rsid w:val="4EC90B84"/>
    <w:rsid w:val="4F016AE7"/>
    <w:rsid w:val="4F11005F"/>
    <w:rsid w:val="4F2C30EB"/>
    <w:rsid w:val="4F3E6813"/>
    <w:rsid w:val="4F3F2E1E"/>
    <w:rsid w:val="4F754A92"/>
    <w:rsid w:val="4F767ABB"/>
    <w:rsid w:val="4F8B7E11"/>
    <w:rsid w:val="4F8E742F"/>
    <w:rsid w:val="4F93618F"/>
    <w:rsid w:val="4FAB400F"/>
    <w:rsid w:val="4FAE4388"/>
    <w:rsid w:val="4FC73938"/>
    <w:rsid w:val="4FC958E8"/>
    <w:rsid w:val="4FD14B9A"/>
    <w:rsid w:val="4FF268D7"/>
    <w:rsid w:val="50235F90"/>
    <w:rsid w:val="5023629C"/>
    <w:rsid w:val="5030770F"/>
    <w:rsid w:val="504A71A4"/>
    <w:rsid w:val="504D2AC1"/>
    <w:rsid w:val="505D3914"/>
    <w:rsid w:val="505D7058"/>
    <w:rsid w:val="507B0FDE"/>
    <w:rsid w:val="50872E6D"/>
    <w:rsid w:val="50874A7C"/>
    <w:rsid w:val="509D65E9"/>
    <w:rsid w:val="50A611B2"/>
    <w:rsid w:val="50A62A29"/>
    <w:rsid w:val="50AD060A"/>
    <w:rsid w:val="50C436B3"/>
    <w:rsid w:val="50C51101"/>
    <w:rsid w:val="50C837D3"/>
    <w:rsid w:val="50D37A5C"/>
    <w:rsid w:val="50D70E34"/>
    <w:rsid w:val="50FF304D"/>
    <w:rsid w:val="51002139"/>
    <w:rsid w:val="51015995"/>
    <w:rsid w:val="51143E36"/>
    <w:rsid w:val="51324806"/>
    <w:rsid w:val="513B47DC"/>
    <w:rsid w:val="51403F9D"/>
    <w:rsid w:val="51552166"/>
    <w:rsid w:val="515F7488"/>
    <w:rsid w:val="516D0CE3"/>
    <w:rsid w:val="518A52A4"/>
    <w:rsid w:val="519C4558"/>
    <w:rsid w:val="51AC6F15"/>
    <w:rsid w:val="51C056B9"/>
    <w:rsid w:val="51C969CF"/>
    <w:rsid w:val="51CA3CFC"/>
    <w:rsid w:val="51E62FB8"/>
    <w:rsid w:val="51F40401"/>
    <w:rsid w:val="520763DA"/>
    <w:rsid w:val="52094E9C"/>
    <w:rsid w:val="52477842"/>
    <w:rsid w:val="52495D62"/>
    <w:rsid w:val="524D5852"/>
    <w:rsid w:val="525D3BE6"/>
    <w:rsid w:val="52632BDB"/>
    <w:rsid w:val="526B2451"/>
    <w:rsid w:val="5278178F"/>
    <w:rsid w:val="52B1474C"/>
    <w:rsid w:val="52D01FDF"/>
    <w:rsid w:val="52DD4E28"/>
    <w:rsid w:val="52EE1FFB"/>
    <w:rsid w:val="53006DE2"/>
    <w:rsid w:val="530510F0"/>
    <w:rsid w:val="532F2F8B"/>
    <w:rsid w:val="5338744A"/>
    <w:rsid w:val="5351574C"/>
    <w:rsid w:val="53627A71"/>
    <w:rsid w:val="538C7084"/>
    <w:rsid w:val="538F59F6"/>
    <w:rsid w:val="53947F72"/>
    <w:rsid w:val="53990623"/>
    <w:rsid w:val="539A6CE2"/>
    <w:rsid w:val="53BE4267"/>
    <w:rsid w:val="53C225F2"/>
    <w:rsid w:val="53CE7D56"/>
    <w:rsid w:val="53D86572"/>
    <w:rsid w:val="53D93325"/>
    <w:rsid w:val="53E604A6"/>
    <w:rsid w:val="53FB308C"/>
    <w:rsid w:val="5406020C"/>
    <w:rsid w:val="540841A9"/>
    <w:rsid w:val="54161C73"/>
    <w:rsid w:val="54283ED9"/>
    <w:rsid w:val="54355FEB"/>
    <w:rsid w:val="544463AA"/>
    <w:rsid w:val="54843081"/>
    <w:rsid w:val="548804B5"/>
    <w:rsid w:val="549F4C9B"/>
    <w:rsid w:val="54A030FD"/>
    <w:rsid w:val="54A65821"/>
    <w:rsid w:val="54AB4AB2"/>
    <w:rsid w:val="54AE6EF3"/>
    <w:rsid w:val="54BE47E5"/>
    <w:rsid w:val="54C33BA9"/>
    <w:rsid w:val="54DD5CA2"/>
    <w:rsid w:val="54E2318F"/>
    <w:rsid w:val="54F75F49"/>
    <w:rsid w:val="55081F04"/>
    <w:rsid w:val="550C37A2"/>
    <w:rsid w:val="551055C2"/>
    <w:rsid w:val="551B5A38"/>
    <w:rsid w:val="551F6367"/>
    <w:rsid w:val="55253070"/>
    <w:rsid w:val="553B7BE4"/>
    <w:rsid w:val="553D42DE"/>
    <w:rsid w:val="554E1B64"/>
    <w:rsid w:val="555403C7"/>
    <w:rsid w:val="5595116F"/>
    <w:rsid w:val="55AF2380"/>
    <w:rsid w:val="55E11035"/>
    <w:rsid w:val="55FF3307"/>
    <w:rsid w:val="561C5163"/>
    <w:rsid w:val="56335103"/>
    <w:rsid w:val="563E0482"/>
    <w:rsid w:val="56552F27"/>
    <w:rsid w:val="565C42B5"/>
    <w:rsid w:val="56651E1B"/>
    <w:rsid w:val="566D62CB"/>
    <w:rsid w:val="5692584C"/>
    <w:rsid w:val="56A31F60"/>
    <w:rsid w:val="56B65692"/>
    <w:rsid w:val="56C029F4"/>
    <w:rsid w:val="56D426FB"/>
    <w:rsid w:val="56E32E29"/>
    <w:rsid w:val="56ED671E"/>
    <w:rsid w:val="56FE262C"/>
    <w:rsid w:val="570E66D0"/>
    <w:rsid w:val="571A4BC3"/>
    <w:rsid w:val="57361164"/>
    <w:rsid w:val="574E7D3B"/>
    <w:rsid w:val="575642B2"/>
    <w:rsid w:val="575729E9"/>
    <w:rsid w:val="57697C97"/>
    <w:rsid w:val="576D7702"/>
    <w:rsid w:val="578247B5"/>
    <w:rsid w:val="57830D25"/>
    <w:rsid w:val="57A318D3"/>
    <w:rsid w:val="57AD28EF"/>
    <w:rsid w:val="57B85B29"/>
    <w:rsid w:val="57E13661"/>
    <w:rsid w:val="57E427B4"/>
    <w:rsid w:val="57E83927"/>
    <w:rsid w:val="57EA58F1"/>
    <w:rsid w:val="57F67CAA"/>
    <w:rsid w:val="588D58A4"/>
    <w:rsid w:val="58951D01"/>
    <w:rsid w:val="5897524F"/>
    <w:rsid w:val="589C5EC7"/>
    <w:rsid w:val="58A57F81"/>
    <w:rsid w:val="58CC2439"/>
    <w:rsid w:val="58D0408B"/>
    <w:rsid w:val="58F51034"/>
    <w:rsid w:val="58FE22B1"/>
    <w:rsid w:val="590004DB"/>
    <w:rsid w:val="59054E89"/>
    <w:rsid w:val="592A1893"/>
    <w:rsid w:val="593764CC"/>
    <w:rsid w:val="5939649A"/>
    <w:rsid w:val="593A6932"/>
    <w:rsid w:val="594228D4"/>
    <w:rsid w:val="59430CD0"/>
    <w:rsid w:val="59505379"/>
    <w:rsid w:val="59525A2D"/>
    <w:rsid w:val="596A0A97"/>
    <w:rsid w:val="596C0CB3"/>
    <w:rsid w:val="596E20B4"/>
    <w:rsid w:val="59AA429C"/>
    <w:rsid w:val="59AA73A2"/>
    <w:rsid w:val="59C13080"/>
    <w:rsid w:val="59C92F57"/>
    <w:rsid w:val="59E66434"/>
    <w:rsid w:val="59EB3291"/>
    <w:rsid w:val="5A0B3FA9"/>
    <w:rsid w:val="5A1958DC"/>
    <w:rsid w:val="5A390AF1"/>
    <w:rsid w:val="5A6D05DB"/>
    <w:rsid w:val="5A7A10FA"/>
    <w:rsid w:val="5A8463C6"/>
    <w:rsid w:val="5A9304C2"/>
    <w:rsid w:val="5A93401E"/>
    <w:rsid w:val="5AA62327"/>
    <w:rsid w:val="5AAC3935"/>
    <w:rsid w:val="5AD04AE7"/>
    <w:rsid w:val="5AD7454E"/>
    <w:rsid w:val="5ADC59C5"/>
    <w:rsid w:val="5ADF7263"/>
    <w:rsid w:val="5B001A80"/>
    <w:rsid w:val="5B044F1C"/>
    <w:rsid w:val="5B0B4E24"/>
    <w:rsid w:val="5B1A4F81"/>
    <w:rsid w:val="5B475EBA"/>
    <w:rsid w:val="5B5A4B3C"/>
    <w:rsid w:val="5B754DF4"/>
    <w:rsid w:val="5B812760"/>
    <w:rsid w:val="5B870B59"/>
    <w:rsid w:val="5B953DC6"/>
    <w:rsid w:val="5BAF4251"/>
    <w:rsid w:val="5BC433D0"/>
    <w:rsid w:val="5BD14DFE"/>
    <w:rsid w:val="5BD40D92"/>
    <w:rsid w:val="5C0D6AAA"/>
    <w:rsid w:val="5C3932A3"/>
    <w:rsid w:val="5C3B3BCF"/>
    <w:rsid w:val="5C466AA1"/>
    <w:rsid w:val="5C4D4705"/>
    <w:rsid w:val="5C8A5A56"/>
    <w:rsid w:val="5CB3460E"/>
    <w:rsid w:val="5CB4796E"/>
    <w:rsid w:val="5CCB3F43"/>
    <w:rsid w:val="5CE06F21"/>
    <w:rsid w:val="5CE10AC1"/>
    <w:rsid w:val="5D1E07BD"/>
    <w:rsid w:val="5D425428"/>
    <w:rsid w:val="5D556519"/>
    <w:rsid w:val="5D573A29"/>
    <w:rsid w:val="5D6E6A7D"/>
    <w:rsid w:val="5D79574D"/>
    <w:rsid w:val="5D8506A1"/>
    <w:rsid w:val="5D9702C9"/>
    <w:rsid w:val="5DB903F9"/>
    <w:rsid w:val="5DBC388C"/>
    <w:rsid w:val="5DCA1D33"/>
    <w:rsid w:val="5DCA41FA"/>
    <w:rsid w:val="5DD514C8"/>
    <w:rsid w:val="5DF15728"/>
    <w:rsid w:val="5DFF7AD9"/>
    <w:rsid w:val="5E0B3A80"/>
    <w:rsid w:val="5E0E4112"/>
    <w:rsid w:val="5E1F547C"/>
    <w:rsid w:val="5E2A2E69"/>
    <w:rsid w:val="5E421FE3"/>
    <w:rsid w:val="5E5C4AE8"/>
    <w:rsid w:val="5E627153"/>
    <w:rsid w:val="5E6730D5"/>
    <w:rsid w:val="5E7F61E7"/>
    <w:rsid w:val="5E8621BD"/>
    <w:rsid w:val="5EA019E6"/>
    <w:rsid w:val="5EB17B82"/>
    <w:rsid w:val="5EBF791A"/>
    <w:rsid w:val="5ED62C9C"/>
    <w:rsid w:val="5EDA00EE"/>
    <w:rsid w:val="5EF722D3"/>
    <w:rsid w:val="5EFA466C"/>
    <w:rsid w:val="5EFB03E4"/>
    <w:rsid w:val="5EFE33F6"/>
    <w:rsid w:val="5F194EBD"/>
    <w:rsid w:val="5F1F1478"/>
    <w:rsid w:val="5F2037D0"/>
    <w:rsid w:val="5F2B3DBD"/>
    <w:rsid w:val="5F314ED2"/>
    <w:rsid w:val="5F4E08BF"/>
    <w:rsid w:val="5F585836"/>
    <w:rsid w:val="5F6664BA"/>
    <w:rsid w:val="5F781A34"/>
    <w:rsid w:val="5F890FEE"/>
    <w:rsid w:val="5F8C647C"/>
    <w:rsid w:val="5FB213EA"/>
    <w:rsid w:val="5FB64B85"/>
    <w:rsid w:val="5FE3142A"/>
    <w:rsid w:val="5FE41AEC"/>
    <w:rsid w:val="5FED785B"/>
    <w:rsid w:val="5FF6480B"/>
    <w:rsid w:val="5FFC07DC"/>
    <w:rsid w:val="5FFE018B"/>
    <w:rsid w:val="5FFF0C7C"/>
    <w:rsid w:val="600E0078"/>
    <w:rsid w:val="60275934"/>
    <w:rsid w:val="60314A99"/>
    <w:rsid w:val="60453D18"/>
    <w:rsid w:val="60461370"/>
    <w:rsid w:val="604905BA"/>
    <w:rsid w:val="605F0E49"/>
    <w:rsid w:val="606062BF"/>
    <w:rsid w:val="6062776D"/>
    <w:rsid w:val="60700F65"/>
    <w:rsid w:val="60944155"/>
    <w:rsid w:val="60BD5DA9"/>
    <w:rsid w:val="60D34FC4"/>
    <w:rsid w:val="60D748AF"/>
    <w:rsid w:val="60DA4EE1"/>
    <w:rsid w:val="60F1721A"/>
    <w:rsid w:val="60F231EB"/>
    <w:rsid w:val="610C68D8"/>
    <w:rsid w:val="61110BB2"/>
    <w:rsid w:val="614B11AE"/>
    <w:rsid w:val="614C4DFE"/>
    <w:rsid w:val="615031B3"/>
    <w:rsid w:val="615D40FE"/>
    <w:rsid w:val="61635F4C"/>
    <w:rsid w:val="616B73EA"/>
    <w:rsid w:val="617E2507"/>
    <w:rsid w:val="617E7381"/>
    <w:rsid w:val="618658CE"/>
    <w:rsid w:val="61A7591B"/>
    <w:rsid w:val="61AF40D9"/>
    <w:rsid w:val="61B54C55"/>
    <w:rsid w:val="61BC3E5A"/>
    <w:rsid w:val="61BE4076"/>
    <w:rsid w:val="61E15FB7"/>
    <w:rsid w:val="61EF4230"/>
    <w:rsid w:val="62081C35"/>
    <w:rsid w:val="620869F6"/>
    <w:rsid w:val="62090B14"/>
    <w:rsid w:val="620E3716"/>
    <w:rsid w:val="621C330F"/>
    <w:rsid w:val="623600B0"/>
    <w:rsid w:val="623B574A"/>
    <w:rsid w:val="624F2F20"/>
    <w:rsid w:val="625B15A0"/>
    <w:rsid w:val="625D6451"/>
    <w:rsid w:val="6267026A"/>
    <w:rsid w:val="629E5C56"/>
    <w:rsid w:val="62A21D40"/>
    <w:rsid w:val="62CA3E5E"/>
    <w:rsid w:val="62DA0147"/>
    <w:rsid w:val="62DE45CD"/>
    <w:rsid w:val="62E80100"/>
    <w:rsid w:val="62EC66E7"/>
    <w:rsid w:val="62F721D9"/>
    <w:rsid w:val="63000008"/>
    <w:rsid w:val="6307621D"/>
    <w:rsid w:val="631C04A4"/>
    <w:rsid w:val="63221AA8"/>
    <w:rsid w:val="632601F3"/>
    <w:rsid w:val="634C2113"/>
    <w:rsid w:val="63556B2B"/>
    <w:rsid w:val="63611043"/>
    <w:rsid w:val="63627211"/>
    <w:rsid w:val="63692ECD"/>
    <w:rsid w:val="636C5922"/>
    <w:rsid w:val="6388493C"/>
    <w:rsid w:val="638A58AA"/>
    <w:rsid w:val="638C6E7B"/>
    <w:rsid w:val="638D6D14"/>
    <w:rsid w:val="63A97DEC"/>
    <w:rsid w:val="63D3546D"/>
    <w:rsid w:val="63E1630B"/>
    <w:rsid w:val="63EC0CFB"/>
    <w:rsid w:val="63F66408"/>
    <w:rsid w:val="63FA15FB"/>
    <w:rsid w:val="640F7407"/>
    <w:rsid w:val="641E0D42"/>
    <w:rsid w:val="641E2983"/>
    <w:rsid w:val="642B3519"/>
    <w:rsid w:val="64313A05"/>
    <w:rsid w:val="64472F94"/>
    <w:rsid w:val="64595606"/>
    <w:rsid w:val="64610CE9"/>
    <w:rsid w:val="64721C81"/>
    <w:rsid w:val="647C3D75"/>
    <w:rsid w:val="64A33827"/>
    <w:rsid w:val="64D839A6"/>
    <w:rsid w:val="64F035C9"/>
    <w:rsid w:val="64F97CE2"/>
    <w:rsid w:val="65092340"/>
    <w:rsid w:val="65196F5C"/>
    <w:rsid w:val="651A2071"/>
    <w:rsid w:val="651F307E"/>
    <w:rsid w:val="652015D0"/>
    <w:rsid w:val="6535464F"/>
    <w:rsid w:val="653C5357"/>
    <w:rsid w:val="654138F3"/>
    <w:rsid w:val="654B02D7"/>
    <w:rsid w:val="654F31F6"/>
    <w:rsid w:val="657C51E1"/>
    <w:rsid w:val="658C0151"/>
    <w:rsid w:val="659218BA"/>
    <w:rsid w:val="65AA1590"/>
    <w:rsid w:val="65C924E8"/>
    <w:rsid w:val="65DA28B3"/>
    <w:rsid w:val="65EF6120"/>
    <w:rsid w:val="65FD7932"/>
    <w:rsid w:val="6618540E"/>
    <w:rsid w:val="6624011F"/>
    <w:rsid w:val="66284A2A"/>
    <w:rsid w:val="662B15AE"/>
    <w:rsid w:val="66725DEB"/>
    <w:rsid w:val="66C64A54"/>
    <w:rsid w:val="66D63D37"/>
    <w:rsid w:val="66EA3B65"/>
    <w:rsid w:val="67027282"/>
    <w:rsid w:val="670619F4"/>
    <w:rsid w:val="672F1572"/>
    <w:rsid w:val="673D01AF"/>
    <w:rsid w:val="67610CB4"/>
    <w:rsid w:val="676A497C"/>
    <w:rsid w:val="67740A6C"/>
    <w:rsid w:val="678C32CE"/>
    <w:rsid w:val="6794044B"/>
    <w:rsid w:val="679E3BE5"/>
    <w:rsid w:val="67AA77DF"/>
    <w:rsid w:val="67B005FE"/>
    <w:rsid w:val="67C35434"/>
    <w:rsid w:val="67E469E8"/>
    <w:rsid w:val="680E2F36"/>
    <w:rsid w:val="681F07FB"/>
    <w:rsid w:val="68300709"/>
    <w:rsid w:val="68417C26"/>
    <w:rsid w:val="684E77D6"/>
    <w:rsid w:val="6880521E"/>
    <w:rsid w:val="68833924"/>
    <w:rsid w:val="68925915"/>
    <w:rsid w:val="68AB4405"/>
    <w:rsid w:val="68BE495C"/>
    <w:rsid w:val="68C20648"/>
    <w:rsid w:val="68CB7079"/>
    <w:rsid w:val="68F4516D"/>
    <w:rsid w:val="68FF6DF4"/>
    <w:rsid w:val="69164798"/>
    <w:rsid w:val="69206CF1"/>
    <w:rsid w:val="692F3DCF"/>
    <w:rsid w:val="69346471"/>
    <w:rsid w:val="6934682F"/>
    <w:rsid w:val="693921D2"/>
    <w:rsid w:val="694446A1"/>
    <w:rsid w:val="694F6AC7"/>
    <w:rsid w:val="695838ED"/>
    <w:rsid w:val="696A3D0A"/>
    <w:rsid w:val="698017C5"/>
    <w:rsid w:val="69855202"/>
    <w:rsid w:val="698A76FC"/>
    <w:rsid w:val="69983651"/>
    <w:rsid w:val="69D74C26"/>
    <w:rsid w:val="6A1E30E0"/>
    <w:rsid w:val="6A1F35DD"/>
    <w:rsid w:val="6A241853"/>
    <w:rsid w:val="6A325C9D"/>
    <w:rsid w:val="6A356034"/>
    <w:rsid w:val="6A3E4CAF"/>
    <w:rsid w:val="6A4E2EC8"/>
    <w:rsid w:val="6A507835"/>
    <w:rsid w:val="6A724667"/>
    <w:rsid w:val="6A7A0D56"/>
    <w:rsid w:val="6A8E19C3"/>
    <w:rsid w:val="6A9F71CD"/>
    <w:rsid w:val="6AA65987"/>
    <w:rsid w:val="6AB31849"/>
    <w:rsid w:val="6AB54568"/>
    <w:rsid w:val="6B086578"/>
    <w:rsid w:val="6B2C3544"/>
    <w:rsid w:val="6B330A22"/>
    <w:rsid w:val="6B364C7D"/>
    <w:rsid w:val="6B5D391F"/>
    <w:rsid w:val="6B631672"/>
    <w:rsid w:val="6B64363F"/>
    <w:rsid w:val="6B8131FB"/>
    <w:rsid w:val="6B8A1CDA"/>
    <w:rsid w:val="6B8A44D3"/>
    <w:rsid w:val="6B96571C"/>
    <w:rsid w:val="6B9B2D32"/>
    <w:rsid w:val="6B9E0FF1"/>
    <w:rsid w:val="6BA8109D"/>
    <w:rsid w:val="6BAC3191"/>
    <w:rsid w:val="6BB70AD3"/>
    <w:rsid w:val="6BBF0299"/>
    <w:rsid w:val="6BCE3108"/>
    <w:rsid w:val="6BD64520"/>
    <w:rsid w:val="6BE02E3B"/>
    <w:rsid w:val="6BE65A65"/>
    <w:rsid w:val="6C021045"/>
    <w:rsid w:val="6C123536"/>
    <w:rsid w:val="6C21592D"/>
    <w:rsid w:val="6C256AA0"/>
    <w:rsid w:val="6C3E7617"/>
    <w:rsid w:val="6C5169FE"/>
    <w:rsid w:val="6C516C28"/>
    <w:rsid w:val="6C727A4A"/>
    <w:rsid w:val="6CA66BCB"/>
    <w:rsid w:val="6CAD2F80"/>
    <w:rsid w:val="6CB27A0F"/>
    <w:rsid w:val="6CCD403F"/>
    <w:rsid w:val="6CD00B93"/>
    <w:rsid w:val="6CE93F71"/>
    <w:rsid w:val="6CF9047A"/>
    <w:rsid w:val="6D1F1741"/>
    <w:rsid w:val="6D1F1AE4"/>
    <w:rsid w:val="6D294494"/>
    <w:rsid w:val="6D2C2A85"/>
    <w:rsid w:val="6D350D33"/>
    <w:rsid w:val="6D43701E"/>
    <w:rsid w:val="6D521B17"/>
    <w:rsid w:val="6D600656"/>
    <w:rsid w:val="6D624FAA"/>
    <w:rsid w:val="6D6A236D"/>
    <w:rsid w:val="6D885538"/>
    <w:rsid w:val="6D8E2EFE"/>
    <w:rsid w:val="6DAA1953"/>
    <w:rsid w:val="6DAD12F2"/>
    <w:rsid w:val="6DB523BB"/>
    <w:rsid w:val="6DDD64D6"/>
    <w:rsid w:val="6DE358A2"/>
    <w:rsid w:val="6DE644FC"/>
    <w:rsid w:val="6DF3408E"/>
    <w:rsid w:val="6E377769"/>
    <w:rsid w:val="6E416276"/>
    <w:rsid w:val="6E5D6139"/>
    <w:rsid w:val="6E647D53"/>
    <w:rsid w:val="6E66587A"/>
    <w:rsid w:val="6E6715F2"/>
    <w:rsid w:val="6E6C18AA"/>
    <w:rsid w:val="6E6D0705"/>
    <w:rsid w:val="6E7508C1"/>
    <w:rsid w:val="6E7A583B"/>
    <w:rsid w:val="6E8757F0"/>
    <w:rsid w:val="6E9154E3"/>
    <w:rsid w:val="6EB20ABF"/>
    <w:rsid w:val="6EB72F7E"/>
    <w:rsid w:val="6EC627BC"/>
    <w:rsid w:val="6ECD3867"/>
    <w:rsid w:val="6EF2710D"/>
    <w:rsid w:val="6F196D90"/>
    <w:rsid w:val="6F273B6C"/>
    <w:rsid w:val="6F377216"/>
    <w:rsid w:val="6F3E2352"/>
    <w:rsid w:val="6F44559B"/>
    <w:rsid w:val="6F4B0813"/>
    <w:rsid w:val="6F4D5990"/>
    <w:rsid w:val="6F4E0AC7"/>
    <w:rsid w:val="6F5F431E"/>
    <w:rsid w:val="6F623985"/>
    <w:rsid w:val="6F6E535B"/>
    <w:rsid w:val="6F712834"/>
    <w:rsid w:val="6F7A78EE"/>
    <w:rsid w:val="6F92076F"/>
    <w:rsid w:val="6FAC19B2"/>
    <w:rsid w:val="6FC84312"/>
    <w:rsid w:val="6FE078AE"/>
    <w:rsid w:val="70060299"/>
    <w:rsid w:val="701B2E02"/>
    <w:rsid w:val="701E08C1"/>
    <w:rsid w:val="702314C3"/>
    <w:rsid w:val="70285D19"/>
    <w:rsid w:val="702C040B"/>
    <w:rsid w:val="703031DD"/>
    <w:rsid w:val="7032525D"/>
    <w:rsid w:val="70667A98"/>
    <w:rsid w:val="709040E1"/>
    <w:rsid w:val="70B0722B"/>
    <w:rsid w:val="70B6153E"/>
    <w:rsid w:val="70B63B9A"/>
    <w:rsid w:val="70BD245C"/>
    <w:rsid w:val="70C93CA2"/>
    <w:rsid w:val="70E62CA2"/>
    <w:rsid w:val="70EC3A8C"/>
    <w:rsid w:val="711E13C9"/>
    <w:rsid w:val="712E4649"/>
    <w:rsid w:val="71340C13"/>
    <w:rsid w:val="715D6DF1"/>
    <w:rsid w:val="717C7408"/>
    <w:rsid w:val="71870996"/>
    <w:rsid w:val="71A32FEA"/>
    <w:rsid w:val="71A61D52"/>
    <w:rsid w:val="71C008BA"/>
    <w:rsid w:val="71DA74A2"/>
    <w:rsid w:val="71EC034B"/>
    <w:rsid w:val="71F633B8"/>
    <w:rsid w:val="71F96A05"/>
    <w:rsid w:val="720535FB"/>
    <w:rsid w:val="720A716D"/>
    <w:rsid w:val="720E7FE0"/>
    <w:rsid w:val="721F73CC"/>
    <w:rsid w:val="72200343"/>
    <w:rsid w:val="722C4C68"/>
    <w:rsid w:val="72486770"/>
    <w:rsid w:val="7249051E"/>
    <w:rsid w:val="727A0B2A"/>
    <w:rsid w:val="72A51424"/>
    <w:rsid w:val="72BA270E"/>
    <w:rsid w:val="72C74980"/>
    <w:rsid w:val="72F769AC"/>
    <w:rsid w:val="72F773E8"/>
    <w:rsid w:val="73386E08"/>
    <w:rsid w:val="73571103"/>
    <w:rsid w:val="736507F6"/>
    <w:rsid w:val="737C797F"/>
    <w:rsid w:val="73C33A36"/>
    <w:rsid w:val="73D548E8"/>
    <w:rsid w:val="73D65652"/>
    <w:rsid w:val="73D94D40"/>
    <w:rsid w:val="740778AB"/>
    <w:rsid w:val="74232A2B"/>
    <w:rsid w:val="74367A9C"/>
    <w:rsid w:val="74414243"/>
    <w:rsid w:val="74A76BEC"/>
    <w:rsid w:val="74AF3100"/>
    <w:rsid w:val="74B804E1"/>
    <w:rsid w:val="74B938AA"/>
    <w:rsid w:val="74BD6205"/>
    <w:rsid w:val="74C84334"/>
    <w:rsid w:val="74D15437"/>
    <w:rsid w:val="74FA304A"/>
    <w:rsid w:val="75137409"/>
    <w:rsid w:val="75196C20"/>
    <w:rsid w:val="75311A11"/>
    <w:rsid w:val="7541494A"/>
    <w:rsid w:val="754206C3"/>
    <w:rsid w:val="755862F0"/>
    <w:rsid w:val="755A1C2F"/>
    <w:rsid w:val="755C1784"/>
    <w:rsid w:val="75600E5B"/>
    <w:rsid w:val="75951AF7"/>
    <w:rsid w:val="75B635BD"/>
    <w:rsid w:val="75D800C7"/>
    <w:rsid w:val="75EC2662"/>
    <w:rsid w:val="75F17AF9"/>
    <w:rsid w:val="761A19A8"/>
    <w:rsid w:val="761A2E11"/>
    <w:rsid w:val="762D1373"/>
    <w:rsid w:val="76381F22"/>
    <w:rsid w:val="76562678"/>
    <w:rsid w:val="766621DD"/>
    <w:rsid w:val="766E0A0F"/>
    <w:rsid w:val="76703A3E"/>
    <w:rsid w:val="76812617"/>
    <w:rsid w:val="768F5FAD"/>
    <w:rsid w:val="76A64435"/>
    <w:rsid w:val="76BC001C"/>
    <w:rsid w:val="76C40651"/>
    <w:rsid w:val="76C750F5"/>
    <w:rsid w:val="76D54B8D"/>
    <w:rsid w:val="76EE5384"/>
    <w:rsid w:val="76FD6F97"/>
    <w:rsid w:val="771F1895"/>
    <w:rsid w:val="774E77F3"/>
    <w:rsid w:val="77530965"/>
    <w:rsid w:val="77541E4C"/>
    <w:rsid w:val="776655D7"/>
    <w:rsid w:val="779C2B5E"/>
    <w:rsid w:val="77B5121A"/>
    <w:rsid w:val="77BF3698"/>
    <w:rsid w:val="77C317D3"/>
    <w:rsid w:val="77D0645A"/>
    <w:rsid w:val="77D47CF8"/>
    <w:rsid w:val="77FF3884"/>
    <w:rsid w:val="780F5D00"/>
    <w:rsid w:val="78111DEC"/>
    <w:rsid w:val="782B2C12"/>
    <w:rsid w:val="78382B44"/>
    <w:rsid w:val="784A1D68"/>
    <w:rsid w:val="784E38FA"/>
    <w:rsid w:val="785B2336"/>
    <w:rsid w:val="786F17CF"/>
    <w:rsid w:val="787538BC"/>
    <w:rsid w:val="78804BB1"/>
    <w:rsid w:val="78995FB4"/>
    <w:rsid w:val="78D34566"/>
    <w:rsid w:val="78DF4BA6"/>
    <w:rsid w:val="7928781F"/>
    <w:rsid w:val="79332B44"/>
    <w:rsid w:val="793622EC"/>
    <w:rsid w:val="79377D87"/>
    <w:rsid w:val="793C296C"/>
    <w:rsid w:val="79475C4C"/>
    <w:rsid w:val="795947AA"/>
    <w:rsid w:val="796D58DA"/>
    <w:rsid w:val="79754E2A"/>
    <w:rsid w:val="797E0F84"/>
    <w:rsid w:val="7984142F"/>
    <w:rsid w:val="79B00AAD"/>
    <w:rsid w:val="79B17044"/>
    <w:rsid w:val="79B3773D"/>
    <w:rsid w:val="79BB1C82"/>
    <w:rsid w:val="79BC4235"/>
    <w:rsid w:val="79C37914"/>
    <w:rsid w:val="79DC7338"/>
    <w:rsid w:val="79E24B1C"/>
    <w:rsid w:val="79E26DE3"/>
    <w:rsid w:val="79FB386C"/>
    <w:rsid w:val="7A053BEC"/>
    <w:rsid w:val="7A161760"/>
    <w:rsid w:val="7A345E6D"/>
    <w:rsid w:val="7A3C7DD6"/>
    <w:rsid w:val="7A4601A0"/>
    <w:rsid w:val="7A4F22E7"/>
    <w:rsid w:val="7A502C93"/>
    <w:rsid w:val="7A8B30C4"/>
    <w:rsid w:val="7A8B4508"/>
    <w:rsid w:val="7A922676"/>
    <w:rsid w:val="7AA31C03"/>
    <w:rsid w:val="7AA95230"/>
    <w:rsid w:val="7AD0180C"/>
    <w:rsid w:val="7AF322E9"/>
    <w:rsid w:val="7AF53A62"/>
    <w:rsid w:val="7AFB1A3F"/>
    <w:rsid w:val="7AFE508C"/>
    <w:rsid w:val="7B0674F7"/>
    <w:rsid w:val="7B0B647E"/>
    <w:rsid w:val="7B1E606D"/>
    <w:rsid w:val="7B2745E3"/>
    <w:rsid w:val="7B3F7313"/>
    <w:rsid w:val="7B540718"/>
    <w:rsid w:val="7B626C2F"/>
    <w:rsid w:val="7B6F251B"/>
    <w:rsid w:val="7BA43E85"/>
    <w:rsid w:val="7BC261D4"/>
    <w:rsid w:val="7BD63185"/>
    <w:rsid w:val="7C0D051E"/>
    <w:rsid w:val="7C413482"/>
    <w:rsid w:val="7C4532E2"/>
    <w:rsid w:val="7C7E2EB4"/>
    <w:rsid w:val="7C981B93"/>
    <w:rsid w:val="7CC174F7"/>
    <w:rsid w:val="7CC3033B"/>
    <w:rsid w:val="7CD60F5D"/>
    <w:rsid w:val="7CDD5304"/>
    <w:rsid w:val="7CEF1437"/>
    <w:rsid w:val="7CF50844"/>
    <w:rsid w:val="7D034FAC"/>
    <w:rsid w:val="7D226227"/>
    <w:rsid w:val="7D3F7A86"/>
    <w:rsid w:val="7D494730"/>
    <w:rsid w:val="7D4A0A5C"/>
    <w:rsid w:val="7D6C443C"/>
    <w:rsid w:val="7D7B4A43"/>
    <w:rsid w:val="7D7D3AA8"/>
    <w:rsid w:val="7DB02960"/>
    <w:rsid w:val="7DBA7D1C"/>
    <w:rsid w:val="7DC9372F"/>
    <w:rsid w:val="7DCB087D"/>
    <w:rsid w:val="7DE730D4"/>
    <w:rsid w:val="7DF132FB"/>
    <w:rsid w:val="7DF74740"/>
    <w:rsid w:val="7DF902A9"/>
    <w:rsid w:val="7E064983"/>
    <w:rsid w:val="7E2534BF"/>
    <w:rsid w:val="7E276E84"/>
    <w:rsid w:val="7E290672"/>
    <w:rsid w:val="7E2A59DB"/>
    <w:rsid w:val="7E2B4620"/>
    <w:rsid w:val="7E322F96"/>
    <w:rsid w:val="7E467F68"/>
    <w:rsid w:val="7E5000A8"/>
    <w:rsid w:val="7E84345F"/>
    <w:rsid w:val="7E9841E3"/>
    <w:rsid w:val="7E9B156F"/>
    <w:rsid w:val="7EB268B9"/>
    <w:rsid w:val="7EC50C46"/>
    <w:rsid w:val="7ED438A5"/>
    <w:rsid w:val="7EE332FD"/>
    <w:rsid w:val="7EEF71C5"/>
    <w:rsid w:val="7EFE50F7"/>
    <w:rsid w:val="7F0D231E"/>
    <w:rsid w:val="7F117EF1"/>
    <w:rsid w:val="7F1202E3"/>
    <w:rsid w:val="7F15574C"/>
    <w:rsid w:val="7F155A3C"/>
    <w:rsid w:val="7F1629A4"/>
    <w:rsid w:val="7F2308CC"/>
    <w:rsid w:val="7F250E39"/>
    <w:rsid w:val="7F2707F1"/>
    <w:rsid w:val="7F2C04E5"/>
    <w:rsid w:val="7F45772D"/>
    <w:rsid w:val="7F495254"/>
    <w:rsid w:val="7F506ADF"/>
    <w:rsid w:val="7F5A4A15"/>
    <w:rsid w:val="7F71407E"/>
    <w:rsid w:val="7F714992"/>
    <w:rsid w:val="7F755F62"/>
    <w:rsid w:val="7F902B2F"/>
    <w:rsid w:val="7FAB36FF"/>
    <w:rsid w:val="7FAD6D90"/>
    <w:rsid w:val="7FB35772"/>
    <w:rsid w:val="7FB70D15"/>
    <w:rsid w:val="7FB858CF"/>
    <w:rsid w:val="7FB87EFF"/>
    <w:rsid w:val="7FBD3A28"/>
    <w:rsid w:val="7FDA7E75"/>
    <w:rsid w:val="7FE376B8"/>
    <w:rsid w:val="7FF15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pt" color="#000000" dashstyle="dash"/>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35"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99"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nhideWhenUsed="0" w:uiPriority="99" w:semiHidden="0" w:name="HTML Preformatted"/>
    <w:lsdException w:qFormat="1" w:unhideWhenUsed="0" w:uiPriority="99" w:semiHidden="0"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qFormat="1" w:unhideWhenUsed="0" w:uiPriority="0" w:semiHidden="0" w:name="Table Grid 2"/>
    <w:lsdException w:uiPriority="99" w:name="Table Grid 3"/>
    <w:lsdException w:uiPriority="99" w:name="Table Grid 4"/>
    <w:lsdException w:qFormat="1" w:unhideWhenUsed="0" w:uiPriority="0" w:name="Table Grid 5"/>
    <w:lsdException w:uiPriority="99" w:name="Table Grid 6"/>
    <w:lsdException w:uiPriority="99" w:name="Table Grid 7"/>
    <w:lsdException w:uiPriority="99" w:name="Table Grid 8"/>
    <w:lsdException w:uiPriority="99" w:name="Table List 1"/>
    <w:lsdException w:uiPriority="99" w:name="Table List 2"/>
    <w:lsdException w:qFormat="1" w:unhideWhenUsed="0" w:uiPriority="0" w:semiHidden="0"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qFormat="1" w:unhideWhenUsed="0" w:uiPriority="0" w:semiHidden="0" w:name="Table Theme"/>
    <w:lsdException w:qFormat="1" w:unhideWhenUsed="0" w:uiPriority="99" w:name="Placeholder Text"/>
    <w:lsdException w:qFormat="1" w:unhideWhenUsed="0" w:uiPriority="1" w:semiHidden="0" w:name="No Spacing"/>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0"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121"/>
    <w:autoRedefine/>
    <w:qFormat/>
    <w:uiPriority w:val="9"/>
    <w:pPr>
      <w:keepNext/>
      <w:keepLines/>
      <w:ind w:firstLine="0"/>
      <w:jc w:val="left"/>
      <w:textAlignment w:val="baseline"/>
      <w:outlineLvl w:val="0"/>
    </w:pPr>
    <w:rPr>
      <w:rFonts w:eastAsia="黑体"/>
      <w:bCs/>
      <w:color w:val="000000"/>
      <w:kern w:val="44"/>
      <w:sz w:val="30"/>
      <w:szCs w:val="20"/>
    </w:rPr>
  </w:style>
  <w:style w:type="paragraph" w:styleId="4">
    <w:name w:val="heading 2"/>
    <w:basedOn w:val="1"/>
    <w:next w:val="1"/>
    <w:link w:val="130"/>
    <w:autoRedefine/>
    <w:qFormat/>
    <w:uiPriority w:val="9"/>
    <w:pPr>
      <w:keepNext/>
      <w:keepLines/>
      <w:ind w:firstLine="0"/>
      <w:jc w:val="left"/>
      <w:textAlignment w:val="baseline"/>
      <w:outlineLvl w:val="1"/>
    </w:pPr>
    <w:rPr>
      <w:rFonts w:eastAsia="黑体"/>
      <w:kern w:val="0"/>
      <w:sz w:val="28"/>
      <w:szCs w:val="20"/>
      <w:lang w:bidi="he-IL"/>
    </w:rPr>
  </w:style>
  <w:style w:type="paragraph" w:styleId="5">
    <w:name w:val="heading 3"/>
    <w:basedOn w:val="1"/>
    <w:next w:val="1"/>
    <w:link w:val="123"/>
    <w:autoRedefine/>
    <w:qFormat/>
    <w:uiPriority w:val="9"/>
    <w:pPr>
      <w:ind w:firstLine="0"/>
      <w:jc w:val="left"/>
      <w:outlineLvl w:val="2"/>
    </w:pPr>
    <w:rPr>
      <w:rFonts w:eastAsia="黑体"/>
    </w:rPr>
  </w:style>
  <w:style w:type="paragraph" w:styleId="6">
    <w:name w:val="heading 4"/>
    <w:basedOn w:val="1"/>
    <w:next w:val="1"/>
    <w:link w:val="124"/>
    <w:autoRedefine/>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25"/>
    <w:autoRedefine/>
    <w:qFormat/>
    <w:uiPriority w:val="9"/>
    <w:pPr>
      <w:keepLines/>
      <w:tabs>
        <w:tab w:val="left" w:pos="1008"/>
      </w:tabs>
      <w:adjustRightInd w:val="0"/>
      <w:spacing w:before="280" w:after="290" w:line="376" w:lineRule="auto"/>
      <w:ind w:left="1008" w:hanging="1008"/>
      <w:jc w:val="center"/>
      <w:textAlignment w:val="baseline"/>
      <w:outlineLvl w:val="4"/>
    </w:pPr>
    <w:rPr>
      <w:rFonts w:ascii="宋体"/>
      <w:b/>
      <w:kern w:val="0"/>
      <w:szCs w:val="20"/>
    </w:rPr>
  </w:style>
  <w:style w:type="paragraph" w:styleId="8">
    <w:name w:val="heading 6"/>
    <w:basedOn w:val="1"/>
    <w:next w:val="1"/>
    <w:link w:val="126"/>
    <w:autoRedefine/>
    <w:qFormat/>
    <w:uiPriority w:val="9"/>
    <w:pPr>
      <w:keepLines/>
      <w:tabs>
        <w:tab w:val="left" w:pos="1152"/>
      </w:tabs>
      <w:adjustRightInd w:val="0"/>
      <w:spacing w:before="240" w:after="64" w:line="320" w:lineRule="auto"/>
      <w:ind w:left="1152" w:hanging="1152"/>
      <w:jc w:val="center"/>
      <w:textAlignment w:val="baseline"/>
      <w:outlineLvl w:val="5"/>
    </w:pPr>
    <w:rPr>
      <w:rFonts w:ascii="Arial" w:hAnsi="Arial" w:eastAsia="黑体"/>
      <w:b/>
      <w:kern w:val="0"/>
      <w:szCs w:val="20"/>
    </w:rPr>
  </w:style>
  <w:style w:type="paragraph" w:styleId="9">
    <w:name w:val="heading 7"/>
    <w:basedOn w:val="1"/>
    <w:next w:val="1"/>
    <w:link w:val="127"/>
    <w:autoRedefine/>
    <w:qFormat/>
    <w:uiPriority w:val="9"/>
    <w:pPr>
      <w:keepLines/>
      <w:tabs>
        <w:tab w:val="left" w:pos="1296"/>
      </w:tabs>
      <w:adjustRightInd w:val="0"/>
      <w:spacing w:before="240" w:after="64" w:line="320" w:lineRule="auto"/>
      <w:ind w:left="1296" w:hanging="1296"/>
      <w:jc w:val="center"/>
      <w:textAlignment w:val="baseline"/>
      <w:outlineLvl w:val="6"/>
    </w:pPr>
    <w:rPr>
      <w:rFonts w:ascii="宋体"/>
      <w:b/>
      <w:kern w:val="0"/>
      <w:szCs w:val="20"/>
    </w:rPr>
  </w:style>
  <w:style w:type="paragraph" w:styleId="10">
    <w:name w:val="heading 8"/>
    <w:basedOn w:val="1"/>
    <w:next w:val="1"/>
    <w:link w:val="128"/>
    <w:autoRedefine/>
    <w:qFormat/>
    <w:uiPriority w:val="0"/>
    <w:pPr>
      <w:keepLines/>
      <w:tabs>
        <w:tab w:val="left" w:pos="1440"/>
      </w:tabs>
      <w:adjustRightInd w:val="0"/>
      <w:spacing w:before="240" w:after="64" w:line="320" w:lineRule="auto"/>
      <w:ind w:left="1440" w:hanging="1440"/>
      <w:jc w:val="center"/>
      <w:textAlignment w:val="baseline"/>
      <w:outlineLvl w:val="7"/>
    </w:pPr>
    <w:rPr>
      <w:rFonts w:ascii="Arial" w:hAnsi="Arial" w:eastAsia="黑体"/>
      <w:kern w:val="0"/>
      <w:szCs w:val="20"/>
    </w:rPr>
  </w:style>
  <w:style w:type="paragraph" w:styleId="11">
    <w:name w:val="heading 9"/>
    <w:basedOn w:val="1"/>
    <w:next w:val="1"/>
    <w:link w:val="129"/>
    <w:autoRedefine/>
    <w:qFormat/>
    <w:uiPriority w:val="0"/>
    <w:pPr>
      <w:keepLines/>
      <w:tabs>
        <w:tab w:val="left" w:pos="1584"/>
      </w:tabs>
      <w:adjustRightInd w:val="0"/>
      <w:spacing w:before="240" w:after="64" w:line="320" w:lineRule="auto"/>
      <w:ind w:left="1584" w:hanging="1584"/>
      <w:jc w:val="center"/>
      <w:textAlignment w:val="baseline"/>
      <w:outlineLvl w:val="8"/>
    </w:pPr>
    <w:rPr>
      <w:rFonts w:ascii="Arial" w:hAnsi="Arial" w:eastAsia="黑体"/>
      <w:kern w:val="0"/>
      <w:sz w:val="21"/>
      <w:szCs w:val="20"/>
    </w:rPr>
  </w:style>
  <w:style w:type="character" w:default="1" w:styleId="102">
    <w:name w:val="Default Paragraph Font"/>
    <w:autoRedefine/>
    <w:semiHidden/>
    <w:unhideWhenUsed/>
    <w:qFormat/>
    <w:uiPriority w:val="1"/>
  </w:style>
  <w:style w:type="table" w:default="1" w:styleId="8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macro"/>
    <w:link w:val="296"/>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2">
    <w:name w:val="List 3"/>
    <w:basedOn w:val="1"/>
    <w:autoRedefine/>
    <w:qFormat/>
    <w:uiPriority w:val="0"/>
    <w:pPr>
      <w:widowControl/>
      <w:spacing w:line="240" w:lineRule="auto"/>
      <w:ind w:left="100" w:leftChars="400" w:hanging="200" w:hangingChars="200"/>
      <w:jc w:val="left"/>
    </w:pPr>
    <w:rPr>
      <w:kern w:val="0"/>
      <w:sz w:val="28"/>
      <w:szCs w:val="28"/>
    </w:rPr>
  </w:style>
  <w:style w:type="paragraph" w:styleId="13">
    <w:name w:val="toc 7"/>
    <w:basedOn w:val="1"/>
    <w:next w:val="1"/>
    <w:autoRedefine/>
    <w:qFormat/>
    <w:uiPriority w:val="39"/>
    <w:pPr>
      <w:ind w:left="1440"/>
      <w:jc w:val="left"/>
    </w:pPr>
    <w:rPr>
      <w:rFonts w:asciiTheme="minorHAnsi" w:hAnsiTheme="minorHAnsi"/>
      <w:sz w:val="20"/>
      <w:szCs w:val="20"/>
    </w:rPr>
  </w:style>
  <w:style w:type="paragraph" w:styleId="14">
    <w:name w:val="List Number 2"/>
    <w:basedOn w:val="1"/>
    <w:autoRedefine/>
    <w:qFormat/>
    <w:uiPriority w:val="0"/>
    <w:pPr>
      <w:tabs>
        <w:tab w:val="left" w:pos="780"/>
      </w:tabs>
      <w:spacing w:line="240" w:lineRule="auto"/>
      <w:ind w:left="780" w:leftChars="200" w:hanging="360" w:hangingChars="200"/>
    </w:pPr>
    <w:rPr>
      <w:sz w:val="21"/>
    </w:rPr>
  </w:style>
  <w:style w:type="paragraph" w:styleId="15">
    <w:name w:val="table of authorities"/>
    <w:basedOn w:val="1"/>
    <w:next w:val="1"/>
    <w:autoRedefine/>
    <w:qFormat/>
    <w:uiPriority w:val="99"/>
    <w:pPr>
      <w:spacing w:line="240" w:lineRule="auto"/>
      <w:ind w:left="420" w:leftChars="200" w:firstLine="0"/>
    </w:pPr>
    <w:rPr>
      <w:sz w:val="21"/>
    </w:rPr>
  </w:style>
  <w:style w:type="paragraph" w:styleId="16">
    <w:name w:val="Note Heading"/>
    <w:basedOn w:val="1"/>
    <w:next w:val="1"/>
    <w:link w:val="427"/>
    <w:autoRedefine/>
    <w:qFormat/>
    <w:uiPriority w:val="0"/>
    <w:pPr>
      <w:spacing w:line="240" w:lineRule="auto"/>
      <w:ind w:firstLine="0"/>
      <w:jc w:val="center"/>
    </w:pPr>
    <w:rPr>
      <w:sz w:val="21"/>
    </w:rPr>
  </w:style>
  <w:style w:type="paragraph" w:styleId="17">
    <w:name w:val="List Bullet 4"/>
    <w:basedOn w:val="1"/>
    <w:autoRedefine/>
    <w:qFormat/>
    <w:uiPriority w:val="0"/>
    <w:pPr>
      <w:tabs>
        <w:tab w:val="left" w:pos="1620"/>
      </w:tabs>
      <w:spacing w:line="240" w:lineRule="auto"/>
      <w:ind w:left="1620" w:leftChars="600" w:hanging="360" w:hangingChars="200"/>
    </w:pPr>
    <w:rPr>
      <w:sz w:val="21"/>
    </w:rPr>
  </w:style>
  <w:style w:type="paragraph" w:styleId="18">
    <w:name w:val="index 8"/>
    <w:basedOn w:val="1"/>
    <w:next w:val="1"/>
    <w:autoRedefine/>
    <w:qFormat/>
    <w:uiPriority w:val="0"/>
    <w:pPr>
      <w:spacing w:line="240" w:lineRule="auto"/>
      <w:ind w:left="1400" w:leftChars="1400" w:firstLine="0"/>
    </w:pPr>
    <w:rPr>
      <w:sz w:val="21"/>
    </w:rPr>
  </w:style>
  <w:style w:type="paragraph" w:styleId="19">
    <w:name w:val="E-mail Signature"/>
    <w:basedOn w:val="1"/>
    <w:link w:val="416"/>
    <w:autoRedefine/>
    <w:qFormat/>
    <w:uiPriority w:val="0"/>
    <w:pPr>
      <w:spacing w:line="240" w:lineRule="auto"/>
      <w:ind w:firstLine="0"/>
    </w:pPr>
    <w:rPr>
      <w:sz w:val="21"/>
    </w:rPr>
  </w:style>
  <w:style w:type="paragraph" w:styleId="20">
    <w:name w:val="List Number"/>
    <w:basedOn w:val="1"/>
    <w:autoRedefine/>
    <w:qFormat/>
    <w:uiPriority w:val="0"/>
    <w:pPr>
      <w:tabs>
        <w:tab w:val="left" w:pos="360"/>
      </w:tabs>
      <w:spacing w:line="240" w:lineRule="auto"/>
      <w:ind w:left="360" w:hanging="360" w:hangingChars="200"/>
    </w:pPr>
    <w:rPr>
      <w:sz w:val="21"/>
    </w:rPr>
  </w:style>
  <w:style w:type="paragraph" w:styleId="21">
    <w:name w:val="Normal Indent"/>
    <w:basedOn w:val="1"/>
    <w:link w:val="151"/>
    <w:autoRedefine/>
    <w:qFormat/>
    <w:uiPriority w:val="0"/>
    <w:pPr>
      <w:ind w:firstLine="200" w:firstLineChars="200"/>
    </w:pPr>
  </w:style>
  <w:style w:type="paragraph" w:styleId="22">
    <w:name w:val="caption"/>
    <w:basedOn w:val="1"/>
    <w:next w:val="1"/>
    <w:link w:val="286"/>
    <w:autoRedefine/>
    <w:qFormat/>
    <w:uiPriority w:val="35"/>
    <w:pPr>
      <w:spacing w:line="240" w:lineRule="auto"/>
      <w:ind w:firstLine="0"/>
    </w:pPr>
    <w:rPr>
      <w:rFonts w:ascii="Arial" w:hAnsi="Arial" w:eastAsia="黑体" w:cs="Arial"/>
      <w:sz w:val="20"/>
      <w:szCs w:val="20"/>
    </w:rPr>
  </w:style>
  <w:style w:type="paragraph" w:styleId="23">
    <w:name w:val="index 5"/>
    <w:basedOn w:val="1"/>
    <w:next w:val="1"/>
    <w:autoRedefine/>
    <w:qFormat/>
    <w:uiPriority w:val="0"/>
    <w:pPr>
      <w:spacing w:line="240" w:lineRule="auto"/>
      <w:ind w:left="800" w:leftChars="800" w:firstLine="0"/>
    </w:pPr>
    <w:rPr>
      <w:sz w:val="21"/>
    </w:rPr>
  </w:style>
  <w:style w:type="paragraph" w:styleId="24">
    <w:name w:val="List Bullet"/>
    <w:basedOn w:val="1"/>
    <w:autoRedefine/>
    <w:qFormat/>
    <w:uiPriority w:val="0"/>
    <w:pPr>
      <w:tabs>
        <w:tab w:val="left" w:pos="360"/>
      </w:tabs>
      <w:spacing w:line="240" w:lineRule="auto"/>
      <w:ind w:left="360" w:hanging="360" w:hangingChars="200"/>
    </w:pPr>
    <w:rPr>
      <w:sz w:val="21"/>
    </w:rPr>
  </w:style>
  <w:style w:type="paragraph" w:styleId="25">
    <w:name w:val="envelope address"/>
    <w:basedOn w:val="1"/>
    <w:autoRedefine/>
    <w:qFormat/>
    <w:uiPriority w:val="0"/>
    <w:pPr>
      <w:framePr w:w="7920" w:h="1980" w:hRule="exact" w:hSpace="180" w:wrap="around" w:vAnchor="margin" w:hAnchor="page" w:xAlign="center" w:yAlign="bottom"/>
      <w:snapToGrid w:val="0"/>
      <w:spacing w:line="240" w:lineRule="auto"/>
      <w:ind w:left="100" w:leftChars="1400" w:firstLine="0"/>
    </w:pPr>
    <w:rPr>
      <w:rFonts w:ascii="Arial" w:hAnsi="Arial" w:cs="Arial"/>
    </w:rPr>
  </w:style>
  <w:style w:type="paragraph" w:styleId="26">
    <w:name w:val="Document Map"/>
    <w:basedOn w:val="1"/>
    <w:link w:val="137"/>
    <w:autoRedefine/>
    <w:qFormat/>
    <w:uiPriority w:val="0"/>
    <w:pPr>
      <w:shd w:val="clear" w:color="auto" w:fill="000080"/>
    </w:pPr>
  </w:style>
  <w:style w:type="paragraph" w:styleId="27">
    <w:name w:val="toa heading"/>
    <w:basedOn w:val="1"/>
    <w:next w:val="1"/>
    <w:autoRedefine/>
    <w:qFormat/>
    <w:uiPriority w:val="0"/>
    <w:pPr>
      <w:spacing w:before="120" w:line="240" w:lineRule="auto"/>
      <w:ind w:firstLine="0"/>
    </w:pPr>
    <w:rPr>
      <w:rFonts w:ascii="Arial" w:hAnsi="Arial" w:cs="Arial"/>
    </w:rPr>
  </w:style>
  <w:style w:type="paragraph" w:styleId="28">
    <w:name w:val="annotation text"/>
    <w:basedOn w:val="1"/>
    <w:link w:val="274"/>
    <w:autoRedefine/>
    <w:qFormat/>
    <w:uiPriority w:val="0"/>
    <w:pPr>
      <w:ind w:firstLine="0"/>
      <w:jc w:val="left"/>
    </w:pPr>
  </w:style>
  <w:style w:type="paragraph" w:styleId="29">
    <w:name w:val="index 6"/>
    <w:basedOn w:val="1"/>
    <w:next w:val="1"/>
    <w:autoRedefine/>
    <w:qFormat/>
    <w:uiPriority w:val="0"/>
    <w:pPr>
      <w:spacing w:line="240" w:lineRule="auto"/>
      <w:ind w:left="1000" w:leftChars="1000" w:firstLine="0"/>
    </w:pPr>
    <w:rPr>
      <w:sz w:val="21"/>
    </w:rPr>
  </w:style>
  <w:style w:type="paragraph" w:styleId="30">
    <w:name w:val="Salutation"/>
    <w:basedOn w:val="1"/>
    <w:next w:val="1"/>
    <w:link w:val="415"/>
    <w:autoRedefine/>
    <w:qFormat/>
    <w:uiPriority w:val="0"/>
    <w:pPr>
      <w:spacing w:line="240" w:lineRule="auto"/>
      <w:ind w:firstLine="0"/>
    </w:pPr>
    <w:rPr>
      <w:sz w:val="21"/>
    </w:rPr>
  </w:style>
  <w:style w:type="paragraph" w:styleId="31">
    <w:name w:val="Body Text 3"/>
    <w:basedOn w:val="1"/>
    <w:link w:val="426"/>
    <w:autoRedefine/>
    <w:qFormat/>
    <w:uiPriority w:val="0"/>
    <w:pPr>
      <w:spacing w:after="120" w:line="240" w:lineRule="auto"/>
      <w:ind w:firstLine="0"/>
    </w:pPr>
    <w:rPr>
      <w:sz w:val="16"/>
      <w:szCs w:val="16"/>
    </w:rPr>
  </w:style>
  <w:style w:type="paragraph" w:styleId="32">
    <w:name w:val="Closing"/>
    <w:basedOn w:val="1"/>
    <w:link w:val="419"/>
    <w:autoRedefine/>
    <w:qFormat/>
    <w:uiPriority w:val="0"/>
    <w:pPr>
      <w:spacing w:line="240" w:lineRule="auto"/>
      <w:ind w:left="100" w:leftChars="2100" w:firstLine="0"/>
    </w:pPr>
    <w:rPr>
      <w:sz w:val="21"/>
    </w:rPr>
  </w:style>
  <w:style w:type="paragraph" w:styleId="33">
    <w:name w:val="List Bullet 3"/>
    <w:basedOn w:val="1"/>
    <w:autoRedefine/>
    <w:qFormat/>
    <w:uiPriority w:val="0"/>
    <w:pPr>
      <w:tabs>
        <w:tab w:val="left" w:pos="1200"/>
      </w:tabs>
      <w:spacing w:line="240" w:lineRule="auto"/>
      <w:ind w:left="1200" w:leftChars="400" w:hanging="360" w:hangingChars="200"/>
    </w:pPr>
    <w:rPr>
      <w:sz w:val="21"/>
    </w:rPr>
  </w:style>
  <w:style w:type="paragraph" w:styleId="34">
    <w:name w:val="Body Text"/>
    <w:basedOn w:val="1"/>
    <w:link w:val="136"/>
    <w:autoRedefine/>
    <w:qFormat/>
    <w:uiPriority w:val="1"/>
    <w:pPr>
      <w:spacing w:after="120"/>
    </w:pPr>
  </w:style>
  <w:style w:type="paragraph" w:styleId="35">
    <w:name w:val="Body Text Indent"/>
    <w:basedOn w:val="1"/>
    <w:link w:val="144"/>
    <w:autoRedefine/>
    <w:qFormat/>
    <w:uiPriority w:val="0"/>
    <w:pPr>
      <w:ind w:firstLine="480" w:firstLineChars="200"/>
    </w:pPr>
  </w:style>
  <w:style w:type="paragraph" w:styleId="36">
    <w:name w:val="List Number 3"/>
    <w:basedOn w:val="1"/>
    <w:autoRedefine/>
    <w:qFormat/>
    <w:uiPriority w:val="0"/>
    <w:pPr>
      <w:tabs>
        <w:tab w:val="left" w:pos="1200"/>
      </w:tabs>
      <w:spacing w:line="240" w:lineRule="auto"/>
      <w:ind w:left="1200" w:leftChars="400" w:hanging="360" w:hangingChars="200"/>
    </w:pPr>
    <w:rPr>
      <w:sz w:val="21"/>
    </w:rPr>
  </w:style>
  <w:style w:type="paragraph" w:styleId="37">
    <w:name w:val="List 2"/>
    <w:basedOn w:val="1"/>
    <w:autoRedefine/>
    <w:qFormat/>
    <w:uiPriority w:val="0"/>
    <w:pPr>
      <w:ind w:firstLine="0"/>
      <w:jc w:val="center"/>
      <w:outlineLvl w:val="0"/>
    </w:pPr>
    <w:rPr>
      <w:rFonts w:ascii="仿宋_GB2312" w:eastAsia="仿宋_GB2312"/>
      <w:szCs w:val="20"/>
    </w:rPr>
  </w:style>
  <w:style w:type="paragraph" w:styleId="38">
    <w:name w:val="List Continue"/>
    <w:basedOn w:val="1"/>
    <w:autoRedefine/>
    <w:qFormat/>
    <w:uiPriority w:val="0"/>
    <w:pPr>
      <w:widowControl/>
      <w:spacing w:after="120" w:line="240" w:lineRule="auto"/>
      <w:ind w:left="420" w:leftChars="200" w:firstLine="0"/>
      <w:jc w:val="left"/>
    </w:pPr>
    <w:rPr>
      <w:kern w:val="0"/>
      <w:sz w:val="28"/>
      <w:szCs w:val="28"/>
    </w:rPr>
  </w:style>
  <w:style w:type="paragraph" w:styleId="39">
    <w:name w:val="Block Text"/>
    <w:basedOn w:val="1"/>
    <w:autoRedefine/>
    <w:qFormat/>
    <w:uiPriority w:val="0"/>
    <w:pPr>
      <w:tabs>
        <w:tab w:val="left" w:pos="210"/>
        <w:tab w:val="left" w:pos="1050"/>
        <w:tab w:val="left" w:pos="1155"/>
        <w:tab w:val="left" w:pos="1365"/>
      </w:tabs>
      <w:spacing w:line="240" w:lineRule="auto"/>
      <w:ind w:left="210" w:right="-394" w:firstLine="525"/>
    </w:pPr>
    <w:rPr>
      <w:sz w:val="32"/>
      <w:szCs w:val="20"/>
    </w:rPr>
  </w:style>
  <w:style w:type="paragraph" w:styleId="40">
    <w:name w:val="List Bullet 2"/>
    <w:basedOn w:val="1"/>
    <w:autoRedefine/>
    <w:qFormat/>
    <w:uiPriority w:val="0"/>
    <w:pPr>
      <w:tabs>
        <w:tab w:val="left" w:pos="780"/>
      </w:tabs>
      <w:spacing w:line="240" w:lineRule="auto"/>
      <w:ind w:left="780" w:leftChars="200" w:hanging="360" w:hangingChars="200"/>
    </w:pPr>
    <w:rPr>
      <w:sz w:val="21"/>
    </w:rPr>
  </w:style>
  <w:style w:type="paragraph" w:styleId="41">
    <w:name w:val="HTML Address"/>
    <w:basedOn w:val="1"/>
    <w:link w:val="414"/>
    <w:autoRedefine/>
    <w:qFormat/>
    <w:uiPriority w:val="0"/>
    <w:pPr>
      <w:spacing w:line="240" w:lineRule="auto"/>
      <w:ind w:firstLine="0"/>
    </w:pPr>
    <w:rPr>
      <w:i/>
      <w:iCs/>
      <w:sz w:val="21"/>
    </w:rPr>
  </w:style>
  <w:style w:type="paragraph" w:styleId="42">
    <w:name w:val="index 4"/>
    <w:basedOn w:val="1"/>
    <w:next w:val="1"/>
    <w:autoRedefine/>
    <w:qFormat/>
    <w:uiPriority w:val="0"/>
    <w:pPr>
      <w:spacing w:line="240" w:lineRule="auto"/>
      <w:ind w:left="600" w:leftChars="600" w:firstLine="0"/>
    </w:pPr>
    <w:rPr>
      <w:sz w:val="21"/>
    </w:rPr>
  </w:style>
  <w:style w:type="paragraph" w:styleId="43">
    <w:name w:val="toc 5"/>
    <w:basedOn w:val="1"/>
    <w:next w:val="1"/>
    <w:autoRedefine/>
    <w:qFormat/>
    <w:uiPriority w:val="39"/>
    <w:pPr>
      <w:ind w:left="960"/>
      <w:jc w:val="left"/>
    </w:pPr>
    <w:rPr>
      <w:rFonts w:asciiTheme="minorHAnsi" w:hAnsiTheme="minorHAnsi"/>
      <w:sz w:val="20"/>
      <w:szCs w:val="20"/>
    </w:rPr>
  </w:style>
  <w:style w:type="paragraph" w:styleId="44">
    <w:name w:val="toc 3"/>
    <w:basedOn w:val="1"/>
    <w:next w:val="1"/>
    <w:autoRedefine/>
    <w:qFormat/>
    <w:uiPriority w:val="39"/>
    <w:pPr>
      <w:ind w:left="480"/>
      <w:jc w:val="left"/>
    </w:pPr>
    <w:rPr>
      <w:rFonts w:asciiTheme="minorHAnsi" w:hAnsiTheme="minorHAnsi"/>
      <w:sz w:val="20"/>
      <w:szCs w:val="20"/>
    </w:rPr>
  </w:style>
  <w:style w:type="paragraph" w:styleId="45">
    <w:name w:val="Plain Text"/>
    <w:basedOn w:val="1"/>
    <w:link w:val="148"/>
    <w:autoRedefine/>
    <w:qFormat/>
    <w:uiPriority w:val="0"/>
    <w:pPr>
      <w:spacing w:line="240" w:lineRule="auto"/>
    </w:pPr>
    <w:rPr>
      <w:rFonts w:ascii="宋体" w:hAnsi="Courier New"/>
      <w:sz w:val="21"/>
      <w:szCs w:val="20"/>
    </w:rPr>
  </w:style>
  <w:style w:type="paragraph" w:styleId="46">
    <w:name w:val="List Bullet 5"/>
    <w:basedOn w:val="1"/>
    <w:autoRedefine/>
    <w:qFormat/>
    <w:uiPriority w:val="0"/>
    <w:pPr>
      <w:tabs>
        <w:tab w:val="left" w:pos="2040"/>
      </w:tabs>
      <w:spacing w:line="240" w:lineRule="auto"/>
      <w:ind w:left="2040" w:leftChars="800" w:hanging="360" w:hangingChars="200"/>
    </w:pPr>
    <w:rPr>
      <w:sz w:val="21"/>
    </w:rPr>
  </w:style>
  <w:style w:type="paragraph" w:styleId="47">
    <w:name w:val="List Number 4"/>
    <w:basedOn w:val="1"/>
    <w:autoRedefine/>
    <w:qFormat/>
    <w:uiPriority w:val="0"/>
    <w:pPr>
      <w:tabs>
        <w:tab w:val="left" w:pos="1620"/>
      </w:tabs>
      <w:spacing w:line="240" w:lineRule="auto"/>
      <w:ind w:left="1620" w:leftChars="600" w:hanging="360" w:hangingChars="200"/>
    </w:pPr>
    <w:rPr>
      <w:sz w:val="21"/>
    </w:rPr>
  </w:style>
  <w:style w:type="paragraph" w:styleId="48">
    <w:name w:val="toc 8"/>
    <w:basedOn w:val="1"/>
    <w:next w:val="1"/>
    <w:autoRedefine/>
    <w:qFormat/>
    <w:uiPriority w:val="39"/>
    <w:pPr>
      <w:ind w:left="1680"/>
      <w:jc w:val="left"/>
    </w:pPr>
    <w:rPr>
      <w:rFonts w:asciiTheme="minorHAnsi" w:hAnsiTheme="minorHAnsi"/>
      <w:sz w:val="20"/>
      <w:szCs w:val="20"/>
    </w:rPr>
  </w:style>
  <w:style w:type="paragraph" w:styleId="49">
    <w:name w:val="index 3"/>
    <w:basedOn w:val="1"/>
    <w:next w:val="1"/>
    <w:autoRedefine/>
    <w:qFormat/>
    <w:uiPriority w:val="0"/>
    <w:pPr>
      <w:spacing w:line="240" w:lineRule="auto"/>
      <w:ind w:left="400" w:leftChars="400" w:firstLine="0"/>
    </w:pPr>
    <w:rPr>
      <w:sz w:val="21"/>
    </w:rPr>
  </w:style>
  <w:style w:type="paragraph" w:styleId="50">
    <w:name w:val="Date"/>
    <w:basedOn w:val="1"/>
    <w:next w:val="1"/>
    <w:link w:val="161"/>
    <w:autoRedefine/>
    <w:qFormat/>
    <w:uiPriority w:val="99"/>
    <w:pPr>
      <w:ind w:left="100" w:leftChars="2500"/>
    </w:pPr>
  </w:style>
  <w:style w:type="paragraph" w:styleId="51">
    <w:name w:val="Body Text Indent 2"/>
    <w:basedOn w:val="1"/>
    <w:link w:val="250"/>
    <w:autoRedefine/>
    <w:qFormat/>
    <w:uiPriority w:val="0"/>
    <w:pPr>
      <w:spacing w:after="120" w:line="480" w:lineRule="auto"/>
      <w:ind w:left="420" w:leftChars="200" w:firstLine="0"/>
    </w:pPr>
  </w:style>
  <w:style w:type="paragraph" w:styleId="52">
    <w:name w:val="endnote text"/>
    <w:basedOn w:val="1"/>
    <w:link w:val="412"/>
    <w:autoRedefine/>
    <w:qFormat/>
    <w:uiPriority w:val="0"/>
    <w:pPr>
      <w:snapToGrid w:val="0"/>
      <w:spacing w:line="240" w:lineRule="auto"/>
      <w:ind w:firstLine="0"/>
      <w:jc w:val="left"/>
    </w:pPr>
    <w:rPr>
      <w:sz w:val="21"/>
    </w:rPr>
  </w:style>
  <w:style w:type="paragraph" w:styleId="53">
    <w:name w:val="List Continue 5"/>
    <w:basedOn w:val="1"/>
    <w:autoRedefine/>
    <w:qFormat/>
    <w:uiPriority w:val="0"/>
    <w:pPr>
      <w:spacing w:after="120" w:line="240" w:lineRule="auto"/>
      <w:ind w:left="2100" w:leftChars="1000" w:firstLine="0"/>
    </w:pPr>
    <w:rPr>
      <w:sz w:val="21"/>
    </w:rPr>
  </w:style>
  <w:style w:type="paragraph" w:styleId="54">
    <w:name w:val="Balloon Text"/>
    <w:basedOn w:val="1"/>
    <w:link w:val="245"/>
    <w:autoRedefine/>
    <w:qFormat/>
    <w:uiPriority w:val="99"/>
    <w:pPr>
      <w:spacing w:line="240" w:lineRule="auto"/>
      <w:ind w:firstLine="0"/>
    </w:pPr>
    <w:rPr>
      <w:sz w:val="18"/>
      <w:szCs w:val="18"/>
    </w:rPr>
  </w:style>
  <w:style w:type="paragraph" w:styleId="55">
    <w:name w:val="footer"/>
    <w:basedOn w:val="1"/>
    <w:link w:val="120"/>
    <w:autoRedefine/>
    <w:unhideWhenUsed/>
    <w:qFormat/>
    <w:uiPriority w:val="99"/>
    <w:pPr>
      <w:tabs>
        <w:tab w:val="center" w:pos="4153"/>
        <w:tab w:val="right" w:pos="8306"/>
      </w:tabs>
      <w:snapToGrid w:val="0"/>
      <w:jc w:val="left"/>
    </w:pPr>
    <w:rPr>
      <w:sz w:val="18"/>
      <w:szCs w:val="18"/>
    </w:rPr>
  </w:style>
  <w:style w:type="paragraph" w:styleId="56">
    <w:name w:val="envelope return"/>
    <w:basedOn w:val="1"/>
    <w:autoRedefine/>
    <w:qFormat/>
    <w:uiPriority w:val="0"/>
    <w:pPr>
      <w:snapToGrid w:val="0"/>
      <w:spacing w:line="240" w:lineRule="auto"/>
      <w:ind w:firstLine="0"/>
    </w:pPr>
    <w:rPr>
      <w:rFonts w:ascii="Arial" w:hAnsi="Arial" w:cs="Arial"/>
      <w:sz w:val="21"/>
    </w:rPr>
  </w:style>
  <w:style w:type="paragraph" w:styleId="57">
    <w:name w:val="header"/>
    <w:basedOn w:val="1"/>
    <w:link w:val="1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421"/>
    <w:autoRedefine/>
    <w:qFormat/>
    <w:uiPriority w:val="0"/>
    <w:pPr>
      <w:spacing w:line="240" w:lineRule="auto"/>
      <w:ind w:left="100" w:leftChars="2100" w:firstLine="0"/>
    </w:pPr>
    <w:rPr>
      <w:sz w:val="21"/>
    </w:rPr>
  </w:style>
  <w:style w:type="paragraph" w:styleId="59">
    <w:name w:val="toc 1"/>
    <w:basedOn w:val="1"/>
    <w:next w:val="1"/>
    <w:autoRedefine/>
    <w:qFormat/>
    <w:uiPriority w:val="39"/>
    <w:pPr>
      <w:tabs>
        <w:tab w:val="right" w:leader="dot" w:pos="8302"/>
      </w:tabs>
      <w:spacing w:before="240" w:after="120" w:line="240" w:lineRule="auto"/>
      <w:jc w:val="left"/>
    </w:pPr>
    <w:rPr>
      <w:rFonts w:ascii="黑体" w:hAnsi="黑体" w:eastAsia="黑体"/>
      <w:bCs/>
      <w:sz w:val="21"/>
      <w:szCs w:val="21"/>
      <w:lang w:bidi="he-IL"/>
    </w:rPr>
  </w:style>
  <w:style w:type="paragraph" w:styleId="60">
    <w:name w:val="List Continue 4"/>
    <w:basedOn w:val="1"/>
    <w:autoRedefine/>
    <w:qFormat/>
    <w:uiPriority w:val="0"/>
    <w:pPr>
      <w:spacing w:after="120" w:line="240" w:lineRule="auto"/>
      <w:ind w:left="1680" w:leftChars="800" w:firstLine="0"/>
    </w:pPr>
    <w:rPr>
      <w:sz w:val="21"/>
    </w:rPr>
  </w:style>
  <w:style w:type="paragraph" w:styleId="61">
    <w:name w:val="toc 4"/>
    <w:basedOn w:val="1"/>
    <w:next w:val="1"/>
    <w:autoRedefine/>
    <w:qFormat/>
    <w:uiPriority w:val="39"/>
    <w:pPr>
      <w:ind w:left="720"/>
      <w:jc w:val="left"/>
    </w:pPr>
    <w:rPr>
      <w:rFonts w:asciiTheme="minorHAnsi" w:hAnsiTheme="minorHAnsi"/>
      <w:sz w:val="20"/>
      <w:szCs w:val="20"/>
    </w:rPr>
  </w:style>
  <w:style w:type="paragraph" w:styleId="62">
    <w:name w:val="index heading"/>
    <w:basedOn w:val="1"/>
    <w:next w:val="63"/>
    <w:autoRedefine/>
    <w:qFormat/>
    <w:uiPriority w:val="0"/>
    <w:pPr>
      <w:spacing w:line="240" w:lineRule="auto"/>
      <w:ind w:firstLine="0"/>
    </w:pPr>
    <w:rPr>
      <w:rFonts w:ascii="Arial" w:hAnsi="Arial" w:cs="Arial"/>
      <w:b/>
      <w:bCs/>
      <w:sz w:val="21"/>
    </w:rPr>
  </w:style>
  <w:style w:type="paragraph" w:styleId="63">
    <w:name w:val="index 1"/>
    <w:basedOn w:val="1"/>
    <w:next w:val="1"/>
    <w:autoRedefine/>
    <w:qFormat/>
    <w:uiPriority w:val="0"/>
    <w:pPr>
      <w:spacing w:line="240" w:lineRule="auto"/>
      <w:ind w:firstLine="0"/>
    </w:pPr>
    <w:rPr>
      <w:sz w:val="21"/>
    </w:rPr>
  </w:style>
  <w:style w:type="paragraph" w:styleId="64">
    <w:name w:val="Subtitle"/>
    <w:basedOn w:val="1"/>
    <w:link w:val="417"/>
    <w:autoRedefine/>
    <w:qFormat/>
    <w:uiPriority w:val="11"/>
    <w:pPr>
      <w:spacing w:before="240" w:after="60" w:line="312" w:lineRule="auto"/>
      <w:ind w:firstLine="0"/>
      <w:jc w:val="center"/>
      <w:outlineLvl w:val="1"/>
    </w:pPr>
    <w:rPr>
      <w:rFonts w:ascii="Arial" w:hAnsi="Arial"/>
      <w:b/>
      <w:bCs/>
      <w:kern w:val="28"/>
      <w:sz w:val="32"/>
      <w:szCs w:val="32"/>
    </w:rPr>
  </w:style>
  <w:style w:type="paragraph" w:styleId="65">
    <w:name w:val="List Number 5"/>
    <w:basedOn w:val="1"/>
    <w:autoRedefine/>
    <w:qFormat/>
    <w:uiPriority w:val="0"/>
    <w:pPr>
      <w:tabs>
        <w:tab w:val="left" w:pos="2040"/>
      </w:tabs>
      <w:spacing w:line="240" w:lineRule="auto"/>
      <w:ind w:left="2040" w:leftChars="800" w:hanging="360" w:hangingChars="200"/>
    </w:pPr>
    <w:rPr>
      <w:sz w:val="21"/>
    </w:rPr>
  </w:style>
  <w:style w:type="paragraph" w:styleId="66">
    <w:name w:val="List"/>
    <w:basedOn w:val="1"/>
    <w:autoRedefine/>
    <w:qFormat/>
    <w:uiPriority w:val="0"/>
    <w:pPr>
      <w:spacing w:line="240" w:lineRule="auto"/>
      <w:ind w:left="200" w:hanging="200" w:hangingChars="200"/>
    </w:pPr>
    <w:rPr>
      <w:sz w:val="21"/>
    </w:rPr>
  </w:style>
  <w:style w:type="paragraph" w:styleId="67">
    <w:name w:val="footnote text"/>
    <w:basedOn w:val="1"/>
    <w:link w:val="418"/>
    <w:autoRedefine/>
    <w:qFormat/>
    <w:uiPriority w:val="0"/>
    <w:pPr>
      <w:snapToGrid w:val="0"/>
      <w:spacing w:line="240" w:lineRule="auto"/>
      <w:ind w:firstLine="0"/>
      <w:jc w:val="left"/>
    </w:pPr>
    <w:rPr>
      <w:sz w:val="18"/>
      <w:szCs w:val="18"/>
    </w:rPr>
  </w:style>
  <w:style w:type="paragraph" w:styleId="68">
    <w:name w:val="toc 6"/>
    <w:basedOn w:val="1"/>
    <w:next w:val="1"/>
    <w:autoRedefine/>
    <w:qFormat/>
    <w:uiPriority w:val="39"/>
    <w:pPr>
      <w:ind w:left="1200"/>
      <w:jc w:val="left"/>
    </w:pPr>
    <w:rPr>
      <w:rFonts w:asciiTheme="minorHAnsi" w:hAnsiTheme="minorHAnsi"/>
      <w:sz w:val="20"/>
      <w:szCs w:val="20"/>
    </w:rPr>
  </w:style>
  <w:style w:type="paragraph" w:styleId="69">
    <w:name w:val="List 5"/>
    <w:basedOn w:val="1"/>
    <w:autoRedefine/>
    <w:qFormat/>
    <w:uiPriority w:val="0"/>
    <w:pPr>
      <w:spacing w:line="240" w:lineRule="auto"/>
      <w:ind w:left="100" w:leftChars="800" w:hanging="200" w:hangingChars="200"/>
    </w:pPr>
    <w:rPr>
      <w:sz w:val="21"/>
    </w:rPr>
  </w:style>
  <w:style w:type="paragraph" w:styleId="70">
    <w:name w:val="Body Text Indent 3"/>
    <w:basedOn w:val="1"/>
    <w:link w:val="253"/>
    <w:autoRedefine/>
    <w:qFormat/>
    <w:uiPriority w:val="0"/>
    <w:pPr>
      <w:spacing w:after="120"/>
      <w:ind w:left="420" w:leftChars="200" w:firstLine="0"/>
    </w:pPr>
    <w:rPr>
      <w:sz w:val="16"/>
      <w:szCs w:val="16"/>
    </w:rPr>
  </w:style>
  <w:style w:type="paragraph" w:styleId="71">
    <w:name w:val="index 7"/>
    <w:basedOn w:val="1"/>
    <w:next w:val="1"/>
    <w:autoRedefine/>
    <w:qFormat/>
    <w:uiPriority w:val="0"/>
    <w:pPr>
      <w:spacing w:line="240" w:lineRule="auto"/>
      <w:ind w:left="1200" w:leftChars="1200" w:firstLine="0"/>
    </w:pPr>
    <w:rPr>
      <w:sz w:val="21"/>
    </w:rPr>
  </w:style>
  <w:style w:type="paragraph" w:styleId="72">
    <w:name w:val="index 9"/>
    <w:basedOn w:val="1"/>
    <w:next w:val="1"/>
    <w:autoRedefine/>
    <w:qFormat/>
    <w:uiPriority w:val="0"/>
    <w:pPr>
      <w:spacing w:line="240" w:lineRule="auto"/>
      <w:ind w:left="1600" w:leftChars="1600" w:firstLine="0"/>
    </w:pPr>
    <w:rPr>
      <w:sz w:val="21"/>
    </w:rPr>
  </w:style>
  <w:style w:type="paragraph" w:styleId="73">
    <w:name w:val="table of figures"/>
    <w:basedOn w:val="1"/>
    <w:next w:val="1"/>
    <w:autoRedefine/>
    <w:qFormat/>
    <w:uiPriority w:val="0"/>
    <w:pPr>
      <w:spacing w:line="240" w:lineRule="auto"/>
      <w:ind w:left="420" w:hanging="420"/>
      <w:jc w:val="left"/>
    </w:pPr>
    <w:rPr>
      <w:smallCaps/>
      <w:sz w:val="20"/>
      <w:szCs w:val="20"/>
    </w:rPr>
  </w:style>
  <w:style w:type="paragraph" w:styleId="74">
    <w:name w:val="toc 2"/>
    <w:basedOn w:val="1"/>
    <w:next w:val="1"/>
    <w:autoRedefine/>
    <w:qFormat/>
    <w:uiPriority w:val="39"/>
    <w:pPr>
      <w:spacing w:before="120"/>
      <w:ind w:left="240"/>
      <w:jc w:val="left"/>
    </w:pPr>
    <w:rPr>
      <w:rFonts w:asciiTheme="minorHAnsi" w:hAnsiTheme="minorHAnsi"/>
      <w:i/>
      <w:iCs/>
      <w:sz w:val="20"/>
      <w:szCs w:val="20"/>
    </w:rPr>
  </w:style>
  <w:style w:type="paragraph" w:styleId="75">
    <w:name w:val="toc 9"/>
    <w:basedOn w:val="1"/>
    <w:next w:val="1"/>
    <w:autoRedefine/>
    <w:qFormat/>
    <w:uiPriority w:val="39"/>
    <w:pPr>
      <w:ind w:left="1920"/>
      <w:jc w:val="left"/>
    </w:pPr>
    <w:rPr>
      <w:rFonts w:asciiTheme="minorHAnsi" w:hAnsiTheme="minorHAnsi"/>
      <w:sz w:val="20"/>
      <w:szCs w:val="20"/>
    </w:rPr>
  </w:style>
  <w:style w:type="paragraph" w:styleId="76">
    <w:name w:val="Body Text 2"/>
    <w:basedOn w:val="1"/>
    <w:link w:val="249"/>
    <w:autoRedefine/>
    <w:qFormat/>
    <w:uiPriority w:val="0"/>
    <w:pPr>
      <w:spacing w:line="240" w:lineRule="auto"/>
      <w:ind w:firstLine="0"/>
      <w:jc w:val="center"/>
    </w:pPr>
    <w:rPr>
      <w:sz w:val="21"/>
    </w:rPr>
  </w:style>
  <w:style w:type="paragraph" w:styleId="77">
    <w:name w:val="List 4"/>
    <w:basedOn w:val="1"/>
    <w:autoRedefine/>
    <w:qFormat/>
    <w:uiPriority w:val="0"/>
    <w:pPr>
      <w:spacing w:line="240" w:lineRule="auto"/>
      <w:ind w:left="100" w:leftChars="600" w:hanging="200" w:hangingChars="200"/>
    </w:pPr>
    <w:rPr>
      <w:sz w:val="21"/>
    </w:rPr>
  </w:style>
  <w:style w:type="paragraph" w:styleId="78">
    <w:name w:val="List Continue 2"/>
    <w:basedOn w:val="1"/>
    <w:autoRedefine/>
    <w:qFormat/>
    <w:uiPriority w:val="0"/>
    <w:pPr>
      <w:widowControl/>
      <w:spacing w:after="120" w:line="240" w:lineRule="auto"/>
      <w:ind w:left="840" w:leftChars="400" w:firstLine="0"/>
      <w:jc w:val="left"/>
    </w:pPr>
    <w:rPr>
      <w:kern w:val="0"/>
      <w:sz w:val="28"/>
      <w:szCs w:val="28"/>
    </w:rPr>
  </w:style>
  <w:style w:type="paragraph" w:styleId="79">
    <w:name w:val="Message Header"/>
    <w:basedOn w:val="1"/>
    <w:link w:val="423"/>
    <w:autoRedefine/>
    <w:qFormat/>
    <w:uiPriority w:val="0"/>
    <w:pPr>
      <w:pBdr>
        <w:top w:val="single" w:color="auto" w:sz="6" w:space="1"/>
        <w:left w:val="single" w:color="auto" w:sz="6" w:space="1"/>
        <w:bottom w:val="single" w:color="auto" w:sz="6" w:space="1"/>
        <w:right w:val="single" w:color="auto" w:sz="6" w:space="1"/>
      </w:pBdr>
      <w:shd w:val="pct20" w:color="auto" w:fill="auto"/>
      <w:spacing w:line="240" w:lineRule="auto"/>
      <w:ind w:left="1080" w:leftChars="500" w:hanging="1080" w:hangingChars="500"/>
    </w:pPr>
    <w:rPr>
      <w:rFonts w:ascii="Arial" w:hAnsi="Arial"/>
    </w:rPr>
  </w:style>
  <w:style w:type="paragraph" w:styleId="80">
    <w:name w:val="HTML Preformatted"/>
    <w:basedOn w:val="1"/>
    <w:link w:val="358"/>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黑体" w:hAnsi="Courier New" w:eastAsia="黑体"/>
      <w:kern w:val="0"/>
      <w:sz w:val="20"/>
      <w:szCs w:val="20"/>
    </w:rPr>
  </w:style>
  <w:style w:type="paragraph" w:styleId="81">
    <w:name w:val="Normal (Web)"/>
    <w:basedOn w:val="1"/>
    <w:autoRedefine/>
    <w:qFormat/>
    <w:uiPriority w:val="99"/>
    <w:pPr>
      <w:widowControl/>
      <w:spacing w:before="100" w:beforeAutospacing="1" w:after="100" w:afterAutospacing="1" w:line="240" w:lineRule="auto"/>
      <w:ind w:firstLine="0"/>
      <w:jc w:val="left"/>
    </w:pPr>
    <w:rPr>
      <w:rFonts w:ascii="宋体" w:hAnsi="宋体" w:cs="宋体"/>
      <w:color w:val="000000"/>
      <w:kern w:val="0"/>
    </w:rPr>
  </w:style>
  <w:style w:type="paragraph" w:styleId="82">
    <w:name w:val="List Continue 3"/>
    <w:basedOn w:val="1"/>
    <w:autoRedefine/>
    <w:qFormat/>
    <w:uiPriority w:val="0"/>
    <w:pPr>
      <w:widowControl/>
      <w:spacing w:after="120" w:line="240" w:lineRule="auto"/>
      <w:ind w:left="1260" w:leftChars="600" w:firstLine="0"/>
      <w:jc w:val="left"/>
    </w:pPr>
    <w:rPr>
      <w:kern w:val="0"/>
      <w:sz w:val="28"/>
      <w:szCs w:val="28"/>
    </w:rPr>
  </w:style>
  <w:style w:type="paragraph" w:styleId="83">
    <w:name w:val="index 2"/>
    <w:basedOn w:val="1"/>
    <w:next w:val="1"/>
    <w:autoRedefine/>
    <w:qFormat/>
    <w:uiPriority w:val="0"/>
    <w:pPr>
      <w:spacing w:line="240" w:lineRule="auto"/>
      <w:ind w:left="200" w:leftChars="200" w:firstLine="0"/>
    </w:pPr>
    <w:rPr>
      <w:sz w:val="21"/>
    </w:rPr>
  </w:style>
  <w:style w:type="paragraph" w:styleId="84">
    <w:name w:val="Title"/>
    <w:basedOn w:val="1"/>
    <w:next w:val="1"/>
    <w:link w:val="214"/>
    <w:autoRedefine/>
    <w:qFormat/>
    <w:uiPriority w:val="10"/>
    <w:pPr>
      <w:tabs>
        <w:tab w:val="right" w:leader="dot" w:pos="8296"/>
      </w:tabs>
      <w:spacing w:before="240" w:after="60"/>
      <w:ind w:firstLine="560" w:firstLineChars="200"/>
      <w:jc w:val="center"/>
      <w:outlineLvl w:val="0"/>
    </w:pPr>
    <w:rPr>
      <w:rFonts w:ascii="Arial" w:hAnsi="Arial" w:eastAsia="黑体" w:cs="Arial"/>
      <w:b/>
      <w:bCs/>
      <w:sz w:val="44"/>
      <w:szCs w:val="32"/>
    </w:rPr>
  </w:style>
  <w:style w:type="paragraph" w:styleId="85">
    <w:name w:val="annotation subject"/>
    <w:basedOn w:val="28"/>
    <w:next w:val="28"/>
    <w:link w:val="278"/>
    <w:autoRedefine/>
    <w:qFormat/>
    <w:uiPriority w:val="0"/>
    <w:pPr>
      <w:ind w:firstLine="420"/>
    </w:pPr>
    <w:rPr>
      <w:b/>
      <w:bCs/>
    </w:rPr>
  </w:style>
  <w:style w:type="paragraph" w:styleId="86">
    <w:name w:val="Body Text First Indent"/>
    <w:basedOn w:val="34"/>
    <w:next w:val="1"/>
    <w:link w:val="140"/>
    <w:autoRedefine/>
    <w:qFormat/>
    <w:uiPriority w:val="0"/>
    <w:pPr>
      <w:ind w:firstLine="493" w:firstLineChars="200"/>
    </w:pPr>
    <w:rPr>
      <w:rFonts w:ascii="宋体" w:hAnsi="宋体"/>
      <w:color w:val="000000"/>
      <w:spacing w:val="10"/>
      <w:kern w:val="24"/>
      <w:szCs w:val="20"/>
    </w:rPr>
  </w:style>
  <w:style w:type="paragraph" w:styleId="87">
    <w:name w:val="Body Text First Indent 2"/>
    <w:basedOn w:val="35"/>
    <w:link w:val="172"/>
    <w:autoRedefine/>
    <w:qFormat/>
    <w:uiPriority w:val="0"/>
    <w:pPr>
      <w:spacing w:after="120"/>
      <w:ind w:left="420" w:leftChars="200" w:firstLine="420"/>
    </w:pPr>
  </w:style>
  <w:style w:type="table" w:styleId="89">
    <w:name w:val="Table Grid"/>
    <w:basedOn w:val="88"/>
    <w:autoRedefine/>
    <w:qFormat/>
    <w:uiPriority w:val="39"/>
    <w:pPr>
      <w:widowControl w:val="0"/>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Elegant"/>
    <w:basedOn w:val="88"/>
    <w:autoRedefine/>
    <w:qFormat/>
    <w:uiPriority w:val="0"/>
    <w:pPr>
      <w:widowControl w:val="0"/>
      <w:jc w:val="both"/>
    </w:pPr>
    <w:rPr>
      <w:rFonts w:ascii="Calibri Light" w:hAnsi="Calibri Light" w:cs="Calibri Light"/>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2">
    <w:name w:val="Table List 3"/>
    <w:basedOn w:val="88"/>
    <w:autoRedefine/>
    <w:qFormat/>
    <w:uiPriority w:val="0"/>
    <w:pPr>
      <w:widowControl w:val="0"/>
      <w:jc w:val="both"/>
    </w:pPr>
    <w:rPr>
      <w:rFonts w:ascii="Calibri Light" w:hAnsi="Calibri Light" w:cs="Calibri Light"/>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93">
    <w:name w:val="Table Grid 1"/>
    <w:basedOn w:val="88"/>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94">
    <w:name w:val="Table Grid 2"/>
    <w:basedOn w:val="88"/>
    <w:autoRedefine/>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95">
    <w:name w:val="Table Grid 5"/>
    <w:basedOn w:val="88"/>
    <w:autoRedefine/>
    <w:semiHidden/>
    <w:qFormat/>
    <w:uiPriority w:val="0"/>
    <w:pPr>
      <w:widowControl w:val="0"/>
      <w:ind w:firstLine="200" w:firstLineChars="200"/>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96">
    <w:name w:val="Light Shading"/>
    <w:basedOn w:val="88"/>
    <w:autoRedefine/>
    <w:qFormat/>
    <w:uiPriority w:val="6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97">
    <w:name w:val="Light Shading Accent 2"/>
    <w:basedOn w:val="88"/>
    <w:autoRedefine/>
    <w:qFormat/>
    <w:uiPriority w:val="60"/>
    <w:rPr>
      <w:rFonts w:ascii="Calibri" w:hAnsi="Calibri"/>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98">
    <w:name w:val="Light Shading Accent 3"/>
    <w:basedOn w:val="88"/>
    <w:autoRedefine/>
    <w:qFormat/>
    <w:uiPriority w:val="60"/>
    <w:rPr>
      <w:rFonts w:ascii="Calibri" w:hAnsi="Calibri"/>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99">
    <w:name w:val="Light Shading Accent 4"/>
    <w:basedOn w:val="88"/>
    <w:autoRedefine/>
    <w:qFormat/>
    <w:uiPriority w:val="60"/>
    <w:rPr>
      <w:rFonts w:ascii="Calibri" w:hAnsi="Calibri"/>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100">
    <w:name w:val="Light Shading Accent 5"/>
    <w:basedOn w:val="88"/>
    <w:autoRedefine/>
    <w:qFormat/>
    <w:uiPriority w:val="60"/>
    <w:rPr>
      <w:rFonts w:ascii="Calibri" w:hAnsi="Calibri"/>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01">
    <w:name w:val="Light List Accent 3"/>
    <w:basedOn w:val="88"/>
    <w:autoRedefine/>
    <w:qFormat/>
    <w:uiPriority w:val="0"/>
    <w:rPr>
      <w:rFonts w:ascii="Calibri" w:hAnsi="Calibri"/>
      <w:sz w:val="22"/>
      <w:szCs w:val="22"/>
    </w:rPr>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character" w:styleId="103">
    <w:name w:val="Strong"/>
    <w:autoRedefine/>
    <w:qFormat/>
    <w:uiPriority w:val="22"/>
    <w:rPr>
      <w:b/>
      <w:bCs/>
    </w:rPr>
  </w:style>
  <w:style w:type="character" w:styleId="104">
    <w:name w:val="endnote reference"/>
    <w:autoRedefine/>
    <w:qFormat/>
    <w:uiPriority w:val="0"/>
    <w:rPr>
      <w:vertAlign w:val="superscript"/>
    </w:rPr>
  </w:style>
  <w:style w:type="character" w:styleId="105">
    <w:name w:val="page number"/>
    <w:basedOn w:val="102"/>
    <w:autoRedefine/>
    <w:qFormat/>
    <w:uiPriority w:val="0"/>
  </w:style>
  <w:style w:type="character" w:styleId="106">
    <w:name w:val="FollowedHyperlink"/>
    <w:basedOn w:val="102"/>
    <w:autoRedefine/>
    <w:unhideWhenUsed/>
    <w:qFormat/>
    <w:uiPriority w:val="99"/>
    <w:rPr>
      <w:color w:val="800080" w:themeColor="followedHyperlink"/>
      <w:u w:val="single"/>
      <w14:textFill>
        <w14:solidFill>
          <w14:schemeClr w14:val="folHlink"/>
        </w14:solidFill>
      </w14:textFill>
    </w:rPr>
  </w:style>
  <w:style w:type="character" w:styleId="107">
    <w:name w:val="Emphasis"/>
    <w:autoRedefine/>
    <w:qFormat/>
    <w:uiPriority w:val="0"/>
    <w:rPr>
      <w:color w:val="CC0033"/>
    </w:rPr>
  </w:style>
  <w:style w:type="character" w:styleId="108">
    <w:name w:val="HTML Definition"/>
    <w:autoRedefine/>
    <w:qFormat/>
    <w:uiPriority w:val="0"/>
    <w:rPr>
      <w:i/>
      <w:iCs/>
      <w:color w:val="0000FF"/>
      <w:u w:val="single"/>
    </w:rPr>
  </w:style>
  <w:style w:type="character" w:styleId="109">
    <w:name w:val="HTML Typewriter"/>
    <w:basedOn w:val="102"/>
    <w:autoRedefine/>
    <w:qFormat/>
    <w:uiPriority w:val="0"/>
    <w:rPr>
      <w:rFonts w:ascii="Courier New" w:hAnsi="Courier New" w:eastAsia="宋体" w:cs="Courier New"/>
      <w:kern w:val="2"/>
      <w:sz w:val="20"/>
      <w:szCs w:val="20"/>
      <w:lang w:val="en-US" w:eastAsia="zh-CN" w:bidi="ar-SA"/>
    </w:rPr>
  </w:style>
  <w:style w:type="character" w:styleId="110">
    <w:name w:val="Hyperlink"/>
    <w:autoRedefine/>
    <w:qFormat/>
    <w:uiPriority w:val="99"/>
    <w:rPr>
      <w:rFonts w:eastAsia="宋体"/>
      <w:color w:val="0000FF"/>
      <w:u w:val="single"/>
    </w:rPr>
  </w:style>
  <w:style w:type="character" w:styleId="111">
    <w:name w:val="HTML Code"/>
    <w:autoRedefine/>
    <w:qFormat/>
    <w:uiPriority w:val="0"/>
    <w:rPr>
      <w:rFonts w:ascii="宋体" w:hAnsi="宋体" w:eastAsia="宋体" w:cs="宋体"/>
      <w:sz w:val="24"/>
      <w:szCs w:val="24"/>
    </w:rPr>
  </w:style>
  <w:style w:type="character" w:styleId="112">
    <w:name w:val="annotation reference"/>
    <w:autoRedefine/>
    <w:qFormat/>
    <w:uiPriority w:val="0"/>
    <w:rPr>
      <w:sz w:val="21"/>
      <w:szCs w:val="21"/>
    </w:rPr>
  </w:style>
  <w:style w:type="character" w:styleId="113">
    <w:name w:val="HTML Cite"/>
    <w:basedOn w:val="102"/>
    <w:autoRedefine/>
    <w:qFormat/>
    <w:uiPriority w:val="0"/>
    <w:rPr>
      <w:rFonts w:ascii="新宋体" w:hAnsi="新宋体" w:eastAsia="新宋体"/>
      <w:spacing w:val="20"/>
      <w:kern w:val="24"/>
      <w:sz w:val="24"/>
      <w:szCs w:val="20"/>
    </w:rPr>
  </w:style>
  <w:style w:type="character" w:styleId="114">
    <w:name w:val="footnote reference"/>
    <w:autoRedefine/>
    <w:qFormat/>
    <w:uiPriority w:val="0"/>
    <w:rPr>
      <w:vertAlign w:val="superscript"/>
    </w:rPr>
  </w:style>
  <w:style w:type="character" w:styleId="115">
    <w:name w:val="HTML Sample"/>
    <w:autoRedefine/>
    <w:qFormat/>
    <w:uiPriority w:val="99"/>
    <w:rPr>
      <w:rFonts w:ascii="Courier New" w:hAnsi="Courier New" w:cs="Courier New"/>
    </w:rPr>
  </w:style>
  <w:style w:type="paragraph" w:customStyle="1" w:styleId="116">
    <w:name w:val="Default"/>
    <w:next w:val="1"/>
    <w:autoRedefine/>
    <w:qFormat/>
    <w:uiPriority w:val="0"/>
    <w:pPr>
      <w:widowControl w:val="0"/>
      <w:autoSpaceDE w:val="0"/>
      <w:autoSpaceDN w:val="0"/>
      <w:adjustRightInd w:val="0"/>
      <w:ind w:left="-6"/>
      <w:jc w:val="both"/>
    </w:pPr>
    <w:rPr>
      <w:rFonts w:ascii="宋体" w:hAnsi="Times New Roman" w:eastAsia="宋体" w:cs="宋体"/>
      <w:color w:val="000000"/>
      <w:sz w:val="24"/>
      <w:szCs w:val="24"/>
      <w:lang w:val="en-US" w:eastAsia="zh-CN" w:bidi="ar-SA"/>
    </w:rPr>
  </w:style>
  <w:style w:type="paragraph" w:customStyle="1" w:styleId="117">
    <w:name w:val="表格内"/>
    <w:basedOn w:val="1"/>
    <w:autoRedefine/>
    <w:qFormat/>
    <w:uiPriority w:val="0"/>
    <w:pPr>
      <w:snapToGrid w:val="0"/>
      <w:spacing w:line="360" w:lineRule="exact"/>
      <w:jc w:val="center"/>
    </w:pPr>
    <w:rPr>
      <w:szCs w:val="21"/>
    </w:rPr>
  </w:style>
  <w:style w:type="paragraph" w:customStyle="1" w:styleId="118">
    <w:name w:val="我的正文"/>
    <w:basedOn w:val="1"/>
    <w:link w:val="976"/>
    <w:autoRedefine/>
    <w:qFormat/>
    <w:uiPriority w:val="0"/>
    <w:pPr>
      <w:spacing w:line="460" w:lineRule="exact"/>
      <w:ind w:firstLine="482"/>
    </w:pPr>
  </w:style>
  <w:style w:type="character" w:customStyle="1" w:styleId="119">
    <w:name w:val="页眉 字符1"/>
    <w:basedOn w:val="102"/>
    <w:link w:val="57"/>
    <w:autoRedefine/>
    <w:qFormat/>
    <w:uiPriority w:val="0"/>
    <w:rPr>
      <w:sz w:val="18"/>
      <w:szCs w:val="18"/>
    </w:rPr>
  </w:style>
  <w:style w:type="character" w:customStyle="1" w:styleId="120">
    <w:name w:val="页脚 字符1"/>
    <w:basedOn w:val="102"/>
    <w:link w:val="55"/>
    <w:autoRedefine/>
    <w:qFormat/>
    <w:uiPriority w:val="99"/>
    <w:rPr>
      <w:sz w:val="18"/>
      <w:szCs w:val="18"/>
    </w:rPr>
  </w:style>
  <w:style w:type="character" w:customStyle="1" w:styleId="121">
    <w:name w:val="标题 1 字符1"/>
    <w:basedOn w:val="102"/>
    <w:link w:val="3"/>
    <w:autoRedefine/>
    <w:qFormat/>
    <w:uiPriority w:val="0"/>
    <w:rPr>
      <w:rFonts w:ascii="Times New Roman" w:hAnsi="Times New Roman" w:eastAsia="黑体" w:cs="Times New Roman"/>
      <w:bCs/>
      <w:color w:val="000000"/>
      <w:kern w:val="44"/>
      <w:sz w:val="30"/>
      <w:szCs w:val="20"/>
    </w:rPr>
  </w:style>
  <w:style w:type="character" w:customStyle="1" w:styleId="122">
    <w:name w:val="标题 2 Char"/>
    <w:basedOn w:val="102"/>
    <w:autoRedefine/>
    <w:qFormat/>
    <w:uiPriority w:val="0"/>
    <w:rPr>
      <w:rFonts w:asciiTheme="majorHAnsi" w:hAnsiTheme="majorHAnsi" w:eastAsiaTheme="majorEastAsia" w:cstheme="majorBidi"/>
      <w:b/>
      <w:bCs/>
      <w:sz w:val="32"/>
      <w:szCs w:val="32"/>
    </w:rPr>
  </w:style>
  <w:style w:type="character" w:customStyle="1" w:styleId="123">
    <w:name w:val="标题 3 字符1"/>
    <w:basedOn w:val="102"/>
    <w:link w:val="5"/>
    <w:autoRedefine/>
    <w:qFormat/>
    <w:uiPriority w:val="0"/>
    <w:rPr>
      <w:rFonts w:ascii="Times New Roman" w:hAnsi="Times New Roman" w:eastAsia="黑体" w:cs="Times New Roman"/>
      <w:sz w:val="24"/>
      <w:szCs w:val="24"/>
    </w:rPr>
  </w:style>
  <w:style w:type="character" w:customStyle="1" w:styleId="124">
    <w:name w:val="标题 4 字符1"/>
    <w:basedOn w:val="102"/>
    <w:link w:val="6"/>
    <w:autoRedefine/>
    <w:qFormat/>
    <w:uiPriority w:val="0"/>
    <w:rPr>
      <w:rFonts w:ascii="Arial" w:hAnsi="Arial" w:eastAsia="黑体" w:cs="Times New Roman"/>
      <w:b/>
      <w:bCs/>
      <w:sz w:val="28"/>
      <w:szCs w:val="28"/>
    </w:rPr>
  </w:style>
  <w:style w:type="character" w:customStyle="1" w:styleId="125">
    <w:name w:val="标题 5 字符1"/>
    <w:basedOn w:val="102"/>
    <w:link w:val="7"/>
    <w:autoRedefine/>
    <w:qFormat/>
    <w:uiPriority w:val="0"/>
    <w:rPr>
      <w:rFonts w:ascii="宋体" w:hAnsi="Times New Roman" w:eastAsia="宋体" w:cs="Times New Roman"/>
      <w:b/>
      <w:kern w:val="0"/>
      <w:sz w:val="24"/>
      <w:szCs w:val="20"/>
    </w:rPr>
  </w:style>
  <w:style w:type="character" w:customStyle="1" w:styleId="126">
    <w:name w:val="标题 6 字符1"/>
    <w:basedOn w:val="102"/>
    <w:link w:val="8"/>
    <w:autoRedefine/>
    <w:qFormat/>
    <w:uiPriority w:val="0"/>
    <w:rPr>
      <w:rFonts w:ascii="Arial" w:hAnsi="Arial" w:eastAsia="黑体" w:cs="Times New Roman"/>
      <w:b/>
      <w:kern w:val="0"/>
      <w:sz w:val="24"/>
      <w:szCs w:val="20"/>
    </w:rPr>
  </w:style>
  <w:style w:type="character" w:customStyle="1" w:styleId="127">
    <w:name w:val="标题 7 字符1"/>
    <w:basedOn w:val="102"/>
    <w:link w:val="9"/>
    <w:autoRedefine/>
    <w:qFormat/>
    <w:uiPriority w:val="0"/>
    <w:rPr>
      <w:rFonts w:ascii="宋体" w:hAnsi="Times New Roman" w:eastAsia="宋体" w:cs="Times New Roman"/>
      <w:b/>
      <w:kern w:val="0"/>
      <w:sz w:val="24"/>
      <w:szCs w:val="20"/>
    </w:rPr>
  </w:style>
  <w:style w:type="character" w:customStyle="1" w:styleId="128">
    <w:name w:val="标题 8 字符1"/>
    <w:basedOn w:val="102"/>
    <w:link w:val="10"/>
    <w:autoRedefine/>
    <w:qFormat/>
    <w:uiPriority w:val="0"/>
    <w:rPr>
      <w:rFonts w:ascii="Arial" w:hAnsi="Arial" w:eastAsia="黑体" w:cs="Times New Roman"/>
      <w:kern w:val="0"/>
      <w:sz w:val="24"/>
      <w:szCs w:val="20"/>
    </w:rPr>
  </w:style>
  <w:style w:type="character" w:customStyle="1" w:styleId="129">
    <w:name w:val="标题 9 字符1"/>
    <w:basedOn w:val="102"/>
    <w:link w:val="11"/>
    <w:autoRedefine/>
    <w:qFormat/>
    <w:uiPriority w:val="0"/>
    <w:rPr>
      <w:rFonts w:ascii="Arial" w:hAnsi="Arial" w:eastAsia="黑体" w:cs="Times New Roman"/>
      <w:kern w:val="0"/>
      <w:szCs w:val="20"/>
    </w:rPr>
  </w:style>
  <w:style w:type="character" w:customStyle="1" w:styleId="130">
    <w:name w:val="标题 2 字符1"/>
    <w:link w:val="4"/>
    <w:autoRedefine/>
    <w:qFormat/>
    <w:uiPriority w:val="0"/>
    <w:rPr>
      <w:rFonts w:ascii="Times New Roman" w:hAnsi="Times New Roman" w:eastAsia="黑体" w:cs="Times New Roman"/>
      <w:kern w:val="0"/>
      <w:sz w:val="28"/>
      <w:szCs w:val="20"/>
      <w:lang w:bidi="he-IL"/>
    </w:rPr>
  </w:style>
  <w:style w:type="paragraph" w:customStyle="1" w:styleId="131">
    <w:name w:val="表头"/>
    <w:basedOn w:val="21"/>
    <w:next w:val="1"/>
    <w:link w:val="132"/>
    <w:autoRedefine/>
    <w:qFormat/>
    <w:uiPriority w:val="0"/>
    <w:pPr>
      <w:spacing w:before="50" w:beforeLines="50" w:line="240" w:lineRule="atLeast"/>
      <w:ind w:firstLine="0"/>
      <w:jc w:val="center"/>
    </w:pPr>
    <w:rPr>
      <w:rFonts w:hAnsi="黑体" w:eastAsia="黑体"/>
      <w:bCs/>
      <w:kern w:val="0"/>
      <w:sz w:val="21"/>
      <w:szCs w:val="21"/>
    </w:rPr>
  </w:style>
  <w:style w:type="character" w:customStyle="1" w:styleId="132">
    <w:name w:val="表头 Char2"/>
    <w:link w:val="131"/>
    <w:autoRedefine/>
    <w:qFormat/>
    <w:uiPriority w:val="0"/>
    <w:rPr>
      <w:rFonts w:ascii="Times New Roman" w:hAnsi="黑体" w:eastAsia="黑体" w:cs="Times New Roman"/>
      <w:bCs/>
      <w:sz w:val="21"/>
      <w:szCs w:val="21"/>
    </w:rPr>
  </w:style>
  <w:style w:type="paragraph" w:customStyle="1" w:styleId="133">
    <w:name w:val="正文(首行缩进)"/>
    <w:basedOn w:val="1"/>
    <w:next w:val="1"/>
    <w:link w:val="134"/>
    <w:autoRedefine/>
    <w:qFormat/>
    <w:uiPriority w:val="0"/>
    <w:rPr>
      <w:kern w:val="24"/>
      <w:szCs w:val="20"/>
    </w:rPr>
  </w:style>
  <w:style w:type="character" w:customStyle="1" w:styleId="134">
    <w:name w:val="正文(首行缩进) Char"/>
    <w:link w:val="133"/>
    <w:autoRedefine/>
    <w:qFormat/>
    <w:uiPriority w:val="0"/>
    <w:rPr>
      <w:rFonts w:ascii="Times New Roman" w:hAnsi="Times New Roman" w:eastAsia="宋体" w:cs="Times New Roman"/>
      <w:kern w:val="24"/>
      <w:sz w:val="24"/>
      <w:szCs w:val="20"/>
    </w:rPr>
  </w:style>
  <w:style w:type="paragraph" w:customStyle="1" w:styleId="135">
    <w:name w:val="表格内容"/>
    <w:basedOn w:val="1"/>
    <w:link w:val="444"/>
    <w:autoRedefine/>
    <w:qFormat/>
    <w:uiPriority w:val="0"/>
    <w:pPr>
      <w:framePr w:hSpace="180" w:wrap="around" w:vAnchor="text" w:hAnchor="margin" w:y="165"/>
      <w:adjustRightInd w:val="0"/>
      <w:snapToGrid w:val="0"/>
      <w:spacing w:line="280" w:lineRule="exact"/>
      <w:ind w:left="-28" w:right="-28" w:firstLine="0"/>
      <w:jc w:val="center"/>
    </w:pPr>
    <w:rPr>
      <w:sz w:val="18"/>
      <w:szCs w:val="18"/>
    </w:rPr>
  </w:style>
  <w:style w:type="character" w:customStyle="1" w:styleId="136">
    <w:name w:val="正文文本 字符1"/>
    <w:basedOn w:val="102"/>
    <w:link w:val="34"/>
    <w:autoRedefine/>
    <w:qFormat/>
    <w:uiPriority w:val="0"/>
    <w:rPr>
      <w:rFonts w:ascii="Times New Roman" w:hAnsi="Times New Roman" w:eastAsia="宋体" w:cs="Times New Roman"/>
      <w:sz w:val="24"/>
      <w:szCs w:val="24"/>
    </w:rPr>
  </w:style>
  <w:style w:type="character" w:customStyle="1" w:styleId="137">
    <w:name w:val="文档结构图 字符1"/>
    <w:basedOn w:val="102"/>
    <w:link w:val="26"/>
    <w:autoRedefine/>
    <w:qFormat/>
    <w:uiPriority w:val="0"/>
    <w:rPr>
      <w:rFonts w:ascii="Times New Roman" w:hAnsi="Times New Roman" w:eastAsia="宋体" w:cs="Times New Roman"/>
      <w:sz w:val="24"/>
      <w:szCs w:val="24"/>
      <w:shd w:val="clear" w:color="auto" w:fill="000080"/>
    </w:rPr>
  </w:style>
  <w:style w:type="paragraph" w:customStyle="1" w:styleId="138">
    <w:name w:val="标准正文 Char"/>
    <w:basedOn w:val="1"/>
    <w:link w:val="139"/>
    <w:autoRedefine/>
    <w:qFormat/>
    <w:uiPriority w:val="0"/>
    <w:pPr>
      <w:ind w:firstLine="200" w:firstLineChars="200"/>
      <w:jc w:val="left"/>
    </w:pPr>
    <w:rPr>
      <w:sz w:val="28"/>
      <w:szCs w:val="28"/>
    </w:rPr>
  </w:style>
  <w:style w:type="character" w:customStyle="1" w:styleId="139">
    <w:name w:val="标准正文 Char Char"/>
    <w:link w:val="138"/>
    <w:autoRedefine/>
    <w:qFormat/>
    <w:uiPriority w:val="0"/>
    <w:rPr>
      <w:rFonts w:ascii="Times New Roman" w:hAnsi="Times New Roman" w:eastAsia="宋体" w:cs="Times New Roman"/>
      <w:sz w:val="28"/>
      <w:szCs w:val="28"/>
    </w:rPr>
  </w:style>
  <w:style w:type="character" w:customStyle="1" w:styleId="140">
    <w:name w:val="正文首行缩进 字符"/>
    <w:basedOn w:val="136"/>
    <w:link w:val="86"/>
    <w:autoRedefine/>
    <w:qFormat/>
    <w:uiPriority w:val="0"/>
    <w:rPr>
      <w:rFonts w:ascii="宋体" w:hAnsi="宋体" w:eastAsia="宋体" w:cs="Times New Roman"/>
      <w:color w:val="000000"/>
      <w:spacing w:val="10"/>
      <w:kern w:val="24"/>
      <w:sz w:val="24"/>
      <w:szCs w:val="20"/>
    </w:rPr>
  </w:style>
  <w:style w:type="paragraph" w:customStyle="1" w:styleId="141">
    <w:name w:val="表格文字"/>
    <w:basedOn w:val="1"/>
    <w:link w:val="142"/>
    <w:autoRedefine/>
    <w:qFormat/>
    <w:uiPriority w:val="0"/>
    <w:pPr>
      <w:adjustRightInd w:val="0"/>
      <w:spacing w:line="240" w:lineRule="atLeast"/>
      <w:ind w:firstLine="0"/>
      <w:jc w:val="center"/>
    </w:pPr>
    <w:rPr>
      <w:rFonts w:ascii="宋体" w:hAnsi="宋体"/>
      <w:color w:val="000000"/>
      <w:kern w:val="0"/>
      <w:sz w:val="18"/>
      <w:szCs w:val="21"/>
      <w:lang w:bidi="he-IL"/>
    </w:rPr>
  </w:style>
  <w:style w:type="character" w:customStyle="1" w:styleId="142">
    <w:name w:val="表格文字 Char"/>
    <w:link w:val="141"/>
    <w:autoRedefine/>
    <w:qFormat/>
    <w:uiPriority w:val="0"/>
    <w:rPr>
      <w:rFonts w:ascii="宋体" w:hAnsi="宋体" w:eastAsia="宋体" w:cs="Times New Roman"/>
      <w:color w:val="000000"/>
      <w:sz w:val="18"/>
      <w:szCs w:val="21"/>
      <w:lang w:bidi="he-IL"/>
    </w:rPr>
  </w:style>
  <w:style w:type="paragraph" w:customStyle="1" w:styleId="143">
    <w:name w:val="段落"/>
    <w:basedOn w:val="1"/>
    <w:link w:val="279"/>
    <w:autoRedefine/>
    <w:qFormat/>
    <w:uiPriority w:val="0"/>
    <w:pPr>
      <w:ind w:firstLine="200" w:firstLineChars="200"/>
    </w:pPr>
  </w:style>
  <w:style w:type="character" w:customStyle="1" w:styleId="144">
    <w:name w:val="正文文本缩进 字符1"/>
    <w:basedOn w:val="102"/>
    <w:link w:val="35"/>
    <w:autoRedefine/>
    <w:qFormat/>
    <w:uiPriority w:val="0"/>
    <w:rPr>
      <w:rFonts w:ascii="Times New Roman" w:hAnsi="Times New Roman" w:eastAsia="宋体" w:cs="Times New Roman"/>
      <w:sz w:val="24"/>
      <w:szCs w:val="24"/>
    </w:rPr>
  </w:style>
  <w:style w:type="paragraph" w:customStyle="1" w:styleId="145">
    <w:name w:val="表格中"/>
    <w:basedOn w:val="1"/>
    <w:autoRedefine/>
    <w:qFormat/>
    <w:uiPriority w:val="0"/>
    <w:pPr>
      <w:spacing w:line="280" w:lineRule="exact"/>
      <w:jc w:val="center"/>
    </w:pPr>
    <w:rPr>
      <w:rFonts w:ascii="宋体"/>
      <w:color w:val="000000"/>
      <w:sz w:val="18"/>
      <w:szCs w:val="30"/>
      <w:lang w:bidi="he-IL"/>
    </w:rPr>
  </w:style>
  <w:style w:type="character" w:customStyle="1" w:styleId="146">
    <w:name w:val="纯文本 Char"/>
    <w:basedOn w:val="102"/>
    <w:link w:val="147"/>
    <w:autoRedefine/>
    <w:qFormat/>
    <w:uiPriority w:val="0"/>
    <w:rPr>
      <w:rFonts w:ascii="宋体" w:hAnsi="Courier New" w:eastAsia="宋体" w:cs="Courier New"/>
      <w:szCs w:val="21"/>
    </w:rPr>
  </w:style>
  <w:style w:type="paragraph" w:customStyle="1" w:styleId="147">
    <w:name w:val="纯文本1"/>
    <w:basedOn w:val="1"/>
    <w:link w:val="146"/>
    <w:autoRedefine/>
    <w:qFormat/>
    <w:uiPriority w:val="0"/>
    <w:pPr>
      <w:spacing w:afterLines="20" w:line="240" w:lineRule="auto"/>
      <w:ind w:firstLine="0"/>
    </w:pPr>
    <w:rPr>
      <w:rFonts w:ascii="宋体" w:hAnsi="Courier New" w:cs="Courier New"/>
      <w:kern w:val="0"/>
      <w:sz w:val="20"/>
      <w:szCs w:val="21"/>
    </w:rPr>
  </w:style>
  <w:style w:type="character" w:customStyle="1" w:styleId="148">
    <w:name w:val="纯文本 字符1"/>
    <w:link w:val="45"/>
    <w:autoRedefine/>
    <w:qFormat/>
    <w:uiPriority w:val="0"/>
    <w:rPr>
      <w:rFonts w:ascii="宋体" w:hAnsi="Courier New" w:eastAsia="宋体" w:cs="Times New Roman"/>
      <w:szCs w:val="20"/>
    </w:rPr>
  </w:style>
  <w:style w:type="paragraph" w:customStyle="1" w:styleId="149">
    <w:name w:val="标准正文 Char Char Char"/>
    <w:basedOn w:val="1"/>
    <w:link w:val="150"/>
    <w:autoRedefine/>
    <w:semiHidden/>
    <w:qFormat/>
    <w:uiPriority w:val="0"/>
    <w:pPr>
      <w:ind w:firstLine="200" w:firstLineChars="200"/>
      <w:jc w:val="left"/>
    </w:pPr>
    <w:rPr>
      <w:rFonts w:cs="宋体"/>
      <w:sz w:val="28"/>
      <w:szCs w:val="28"/>
    </w:rPr>
  </w:style>
  <w:style w:type="character" w:customStyle="1" w:styleId="150">
    <w:name w:val="标准正文 Char Char Char Char"/>
    <w:link w:val="149"/>
    <w:autoRedefine/>
    <w:qFormat/>
    <w:uiPriority w:val="0"/>
    <w:rPr>
      <w:rFonts w:ascii="Times New Roman" w:hAnsi="Times New Roman" w:eastAsia="宋体" w:cs="宋体"/>
      <w:sz w:val="28"/>
      <w:szCs w:val="28"/>
    </w:rPr>
  </w:style>
  <w:style w:type="character" w:customStyle="1" w:styleId="151">
    <w:name w:val="正文缩进 字符1"/>
    <w:link w:val="21"/>
    <w:autoRedefine/>
    <w:qFormat/>
    <w:uiPriority w:val="0"/>
    <w:rPr>
      <w:rFonts w:ascii="Times New Roman" w:hAnsi="Times New Roman" w:eastAsia="宋体" w:cs="Times New Roman"/>
      <w:sz w:val="24"/>
      <w:szCs w:val="24"/>
    </w:rPr>
  </w:style>
  <w:style w:type="paragraph" w:customStyle="1" w:styleId="152">
    <w:name w:val="表格标题"/>
    <w:basedOn w:val="1"/>
    <w:link w:val="671"/>
    <w:autoRedefine/>
    <w:qFormat/>
    <w:uiPriority w:val="0"/>
    <w:pPr>
      <w:spacing w:before="60" w:line="460" w:lineRule="exact"/>
      <w:ind w:firstLine="0"/>
      <w:jc w:val="center"/>
    </w:pPr>
    <w:rPr>
      <w:rFonts w:ascii="Arial" w:hAnsi="Arial"/>
      <w:szCs w:val="20"/>
    </w:rPr>
  </w:style>
  <w:style w:type="paragraph" w:customStyle="1" w:styleId="153">
    <w:name w:val="表格001"/>
    <w:basedOn w:val="1"/>
    <w:autoRedefine/>
    <w:qFormat/>
    <w:uiPriority w:val="0"/>
    <w:pPr>
      <w:spacing w:line="360" w:lineRule="exact"/>
      <w:ind w:firstLine="0"/>
      <w:jc w:val="center"/>
    </w:pPr>
    <w:rPr>
      <w:sz w:val="21"/>
      <w:szCs w:val="20"/>
    </w:rPr>
  </w:style>
  <w:style w:type="paragraph" w:customStyle="1" w:styleId="154">
    <w:name w:val="表、图名"/>
    <w:basedOn w:val="1"/>
    <w:link w:val="155"/>
    <w:autoRedefine/>
    <w:qFormat/>
    <w:uiPriority w:val="0"/>
    <w:pPr>
      <w:adjustRightInd w:val="0"/>
      <w:snapToGrid w:val="0"/>
      <w:ind w:firstLine="0"/>
      <w:jc w:val="center"/>
    </w:pPr>
    <w:rPr>
      <w:rFonts w:ascii="黑体" w:hAnsi="宋体" w:eastAsia="黑体"/>
      <w:color w:val="000000"/>
      <w:sz w:val="21"/>
      <w:szCs w:val="21"/>
    </w:rPr>
  </w:style>
  <w:style w:type="character" w:customStyle="1" w:styleId="155">
    <w:name w:val="表、图名 Char"/>
    <w:link w:val="154"/>
    <w:autoRedefine/>
    <w:qFormat/>
    <w:uiPriority w:val="0"/>
    <w:rPr>
      <w:rFonts w:ascii="黑体" w:hAnsi="宋体" w:eastAsia="黑体" w:cs="Times New Roman"/>
      <w:color w:val="000000"/>
      <w:szCs w:val="21"/>
    </w:rPr>
  </w:style>
  <w:style w:type="paragraph" w:customStyle="1" w:styleId="156">
    <w:name w:val="正文001"/>
    <w:basedOn w:val="1"/>
    <w:link w:val="157"/>
    <w:autoRedefine/>
    <w:qFormat/>
    <w:uiPriority w:val="0"/>
    <w:pPr>
      <w:spacing w:before="60" w:line="460" w:lineRule="exact"/>
      <w:ind w:firstLine="482" w:firstLineChars="200"/>
    </w:pPr>
    <w:rPr>
      <w:rFonts w:ascii="Arial" w:hAnsi="Arial"/>
      <w:color w:val="000000"/>
      <w:szCs w:val="20"/>
    </w:rPr>
  </w:style>
  <w:style w:type="character" w:customStyle="1" w:styleId="157">
    <w:name w:val="正文001 Char"/>
    <w:link w:val="156"/>
    <w:autoRedefine/>
    <w:qFormat/>
    <w:uiPriority w:val="0"/>
    <w:rPr>
      <w:rFonts w:ascii="Arial" w:hAnsi="Arial" w:eastAsia="宋体" w:cs="Times New Roman"/>
      <w:color w:val="000000"/>
      <w:sz w:val="24"/>
      <w:szCs w:val="20"/>
    </w:rPr>
  </w:style>
  <w:style w:type="paragraph" w:customStyle="1" w:styleId="158">
    <w:name w:val="表格1"/>
    <w:basedOn w:val="1"/>
    <w:autoRedefine/>
    <w:qFormat/>
    <w:uiPriority w:val="0"/>
    <w:pPr>
      <w:spacing w:line="240" w:lineRule="auto"/>
      <w:ind w:firstLine="0"/>
      <w:jc w:val="center"/>
    </w:pPr>
    <w:rPr>
      <w:rFonts w:ascii="宋体" w:hAnsi="宋体"/>
      <w:kern w:val="0"/>
    </w:rPr>
  </w:style>
  <w:style w:type="paragraph" w:customStyle="1" w:styleId="159">
    <w:name w:val="图名"/>
    <w:basedOn w:val="1"/>
    <w:next w:val="1"/>
    <w:link w:val="826"/>
    <w:autoRedefine/>
    <w:qFormat/>
    <w:uiPriority w:val="0"/>
    <w:pPr>
      <w:ind w:firstLine="0"/>
      <w:jc w:val="center"/>
    </w:pPr>
    <w:rPr>
      <w:b/>
      <w:sz w:val="28"/>
      <w:szCs w:val="20"/>
    </w:rPr>
  </w:style>
  <w:style w:type="paragraph" w:customStyle="1" w:styleId="160">
    <w:name w:val="表格1粗"/>
    <w:basedOn w:val="158"/>
    <w:autoRedefine/>
    <w:qFormat/>
    <w:uiPriority w:val="0"/>
    <w:pPr>
      <w:spacing w:line="240" w:lineRule="atLeast"/>
      <w:ind w:left="206" w:leftChars="100" w:right="206" w:rightChars="100"/>
    </w:pPr>
    <w:rPr>
      <w:bCs/>
      <w:iCs/>
      <w:spacing w:val="-20"/>
      <w:sz w:val="21"/>
      <w:szCs w:val="21"/>
    </w:rPr>
  </w:style>
  <w:style w:type="character" w:customStyle="1" w:styleId="161">
    <w:name w:val="日期 字符1"/>
    <w:basedOn w:val="102"/>
    <w:link w:val="50"/>
    <w:autoRedefine/>
    <w:qFormat/>
    <w:uiPriority w:val="0"/>
    <w:rPr>
      <w:rFonts w:ascii="Times New Roman" w:hAnsi="Times New Roman" w:eastAsia="宋体" w:cs="Times New Roman"/>
      <w:sz w:val="24"/>
      <w:szCs w:val="24"/>
    </w:rPr>
  </w:style>
  <w:style w:type="paragraph" w:customStyle="1" w:styleId="162">
    <w:name w:val="正文非缩进"/>
    <w:basedOn w:val="1"/>
    <w:next w:val="34"/>
    <w:autoRedefine/>
    <w:qFormat/>
    <w:uiPriority w:val="0"/>
    <w:pPr>
      <w:widowControl/>
      <w:ind w:firstLine="0"/>
      <w:jc w:val="left"/>
    </w:pPr>
    <w:rPr>
      <w:rFonts w:ascii="Arial" w:hAnsi="Arial" w:eastAsia="仿宋_GB2312"/>
      <w:kern w:val="0"/>
      <w:sz w:val="28"/>
      <w:szCs w:val="20"/>
    </w:rPr>
  </w:style>
  <w:style w:type="paragraph" w:customStyle="1" w:styleId="163">
    <w:name w:val="正文2"/>
    <w:basedOn w:val="5"/>
    <w:autoRedefine/>
    <w:qFormat/>
    <w:uiPriority w:val="0"/>
    <w:pPr>
      <w:widowControl/>
      <w:ind w:right="360"/>
      <w:jc w:val="both"/>
      <w:outlineLvl w:val="9"/>
    </w:pPr>
    <w:rPr>
      <w:rFonts w:ascii="宋体" w:hAnsi="宋体" w:eastAsia="宋体"/>
      <w:kern w:val="0"/>
      <w:sz w:val="18"/>
      <w:szCs w:val="18"/>
    </w:rPr>
  </w:style>
  <w:style w:type="paragraph" w:customStyle="1" w:styleId="164">
    <w:name w:val="表格2"/>
    <w:basedOn w:val="1"/>
    <w:autoRedefine/>
    <w:qFormat/>
    <w:uiPriority w:val="0"/>
    <w:pPr>
      <w:spacing w:line="240" w:lineRule="auto"/>
      <w:ind w:firstLine="0"/>
      <w:jc w:val="center"/>
    </w:pPr>
    <w:rPr>
      <w:color w:val="000000"/>
      <w:sz w:val="21"/>
      <w:szCs w:val="20"/>
    </w:rPr>
  </w:style>
  <w:style w:type="paragraph" w:customStyle="1" w:styleId="165">
    <w:name w:val="正文表标题"/>
    <w:next w:val="1"/>
    <w:autoRedefine/>
    <w:qFormat/>
    <w:uiPriority w:val="0"/>
    <w:pPr>
      <w:jc w:val="center"/>
    </w:pPr>
    <w:rPr>
      <w:rFonts w:ascii="黑体" w:hAnsi="Times New Roman" w:eastAsia="黑体" w:cs="Times New Roman"/>
      <w:sz w:val="21"/>
      <w:lang w:val="en-US" w:eastAsia="zh-CN" w:bidi="ar-SA"/>
    </w:rPr>
  </w:style>
  <w:style w:type="paragraph" w:customStyle="1" w:styleId="166">
    <w:name w:val="段1"/>
    <w:basedOn w:val="1"/>
    <w:next w:val="21"/>
    <w:autoRedefine/>
    <w:qFormat/>
    <w:uiPriority w:val="0"/>
    <w:pPr>
      <w:ind w:firstLine="480" w:firstLineChars="200"/>
      <w:jc w:val="left"/>
    </w:pPr>
    <w:rPr>
      <w:lang w:bidi="he-IL"/>
    </w:rPr>
  </w:style>
  <w:style w:type="paragraph" w:customStyle="1" w:styleId="167">
    <w:name w:val="正文首行缩进2字符"/>
    <w:autoRedefine/>
    <w:qFormat/>
    <w:uiPriority w:val="0"/>
    <w:pPr>
      <w:ind w:firstLine="600"/>
      <w:jc w:val="both"/>
    </w:pPr>
    <w:rPr>
      <w:rFonts w:ascii="Times New Roman" w:hAnsi="Times New Roman" w:eastAsia="宋体" w:cs="Times New Roman"/>
      <w:spacing w:val="-8"/>
      <w:kern w:val="2"/>
      <w:sz w:val="28"/>
      <w:lang w:val="en-US" w:eastAsia="zh-CN" w:bidi="ar-SA"/>
    </w:rPr>
  </w:style>
  <w:style w:type="paragraph" w:customStyle="1" w:styleId="168">
    <w:name w:val="封面正文"/>
    <w:autoRedefine/>
    <w:qFormat/>
    <w:uiPriority w:val="0"/>
    <w:pPr>
      <w:jc w:val="both"/>
    </w:pPr>
    <w:rPr>
      <w:rFonts w:ascii="Times New Roman" w:hAnsi="Times New Roman" w:eastAsia="宋体" w:cs="Times New Roman"/>
      <w:lang w:val="en-US" w:eastAsia="zh-CN" w:bidi="ar-SA"/>
    </w:rPr>
  </w:style>
  <w:style w:type="paragraph" w:customStyle="1" w:styleId="169">
    <w:name w:val="默认段落字体 Para Char"/>
    <w:basedOn w:val="1"/>
    <w:next w:val="1"/>
    <w:autoRedefine/>
    <w:qFormat/>
    <w:uiPriority w:val="0"/>
    <w:pPr>
      <w:ind w:firstLine="200" w:firstLineChars="200"/>
    </w:pPr>
    <w:rPr>
      <w:rFonts w:ascii="宋体" w:hAnsi="宋体" w:cs="宋体"/>
    </w:rPr>
  </w:style>
  <w:style w:type="paragraph" w:customStyle="1" w:styleId="170">
    <w:name w:val="Char"/>
    <w:basedOn w:val="1"/>
    <w:autoRedefine/>
    <w:qFormat/>
    <w:uiPriority w:val="0"/>
    <w:pPr>
      <w:spacing w:line="240" w:lineRule="auto"/>
      <w:ind w:firstLine="0"/>
    </w:pPr>
    <w:rPr>
      <w:sz w:val="21"/>
    </w:rPr>
  </w:style>
  <w:style w:type="paragraph" w:customStyle="1" w:styleId="171">
    <w:name w:val="样式 正文缩进正文（首行缩进两字）正文（首行缩进两字） Char Char Char Char Char Char Char..."/>
    <w:basedOn w:val="21"/>
    <w:autoRedefine/>
    <w:qFormat/>
    <w:uiPriority w:val="0"/>
    <w:pPr>
      <w:tabs>
        <w:tab w:val="left" w:pos="3360"/>
      </w:tabs>
      <w:adjustRightInd w:val="0"/>
      <w:ind w:firstLine="0" w:firstLineChars="0"/>
      <w:textAlignment w:val="baseline"/>
    </w:pPr>
    <w:rPr>
      <w:color w:val="000000"/>
      <w:kern w:val="0"/>
    </w:rPr>
  </w:style>
  <w:style w:type="character" w:customStyle="1" w:styleId="172">
    <w:name w:val="正文首行缩进 2 字符"/>
    <w:basedOn w:val="144"/>
    <w:link w:val="87"/>
    <w:autoRedefine/>
    <w:qFormat/>
    <w:uiPriority w:val="0"/>
    <w:rPr>
      <w:rFonts w:ascii="Times New Roman" w:hAnsi="Times New Roman" w:eastAsia="宋体" w:cs="Times New Roman"/>
      <w:sz w:val="24"/>
      <w:szCs w:val="24"/>
    </w:rPr>
  </w:style>
  <w:style w:type="paragraph" w:customStyle="1" w:styleId="173">
    <w:name w:val="表格"/>
    <w:basedOn w:val="1"/>
    <w:autoRedefine/>
    <w:qFormat/>
    <w:uiPriority w:val="0"/>
    <w:pPr>
      <w:spacing w:line="0" w:lineRule="atLeast"/>
      <w:ind w:firstLine="0"/>
      <w:jc w:val="center"/>
    </w:pPr>
    <w:rPr>
      <w:rFonts w:eastAsia="楷体_GB2312"/>
      <w:b/>
      <w:sz w:val="28"/>
      <w:szCs w:val="56"/>
    </w:rPr>
  </w:style>
  <w:style w:type="paragraph" w:customStyle="1" w:styleId="174">
    <w:name w:val="左齐"/>
    <w:basedOn w:val="1"/>
    <w:autoRedefine/>
    <w:qFormat/>
    <w:uiPriority w:val="0"/>
    <w:pPr>
      <w:spacing w:line="280" w:lineRule="exact"/>
      <w:ind w:firstLine="0"/>
      <w:jc w:val="left"/>
    </w:pPr>
    <w:rPr>
      <w:rFonts w:ascii="仿宋_GB2312" w:eastAsia="仿宋_GB2312"/>
      <w:color w:val="000000"/>
      <w:sz w:val="18"/>
      <w:szCs w:val="30"/>
      <w:lang w:bidi="he-IL"/>
    </w:rPr>
  </w:style>
  <w:style w:type="paragraph" w:customStyle="1" w:styleId="175">
    <w:name w:val="段落1"/>
    <w:basedOn w:val="1"/>
    <w:autoRedefine/>
    <w:qFormat/>
    <w:uiPriority w:val="0"/>
    <w:pPr>
      <w:adjustRightInd w:val="0"/>
      <w:spacing w:line="440" w:lineRule="exact"/>
      <w:ind w:firstLine="600" w:firstLineChars="200"/>
      <w:textAlignment w:val="baseline"/>
    </w:pPr>
    <w:rPr>
      <w:color w:val="000000"/>
      <w:spacing w:val="10"/>
      <w:sz w:val="28"/>
      <w:szCs w:val="20"/>
    </w:rPr>
  </w:style>
  <w:style w:type="paragraph" w:customStyle="1" w:styleId="176">
    <w:name w:val="表1"/>
    <w:basedOn w:val="1"/>
    <w:autoRedefine/>
    <w:qFormat/>
    <w:uiPriority w:val="0"/>
    <w:pPr>
      <w:adjustRightInd w:val="0"/>
      <w:spacing w:beforeLines="50" w:afterLines="50" w:line="320" w:lineRule="exact"/>
      <w:ind w:firstLine="0"/>
      <w:jc w:val="center"/>
      <w:textAlignment w:val="baseline"/>
    </w:pPr>
    <w:rPr>
      <w:rFonts w:eastAsia="黑体"/>
      <w:kern w:val="0"/>
      <w:sz w:val="28"/>
      <w:szCs w:val="20"/>
    </w:rPr>
  </w:style>
  <w:style w:type="paragraph" w:customStyle="1" w:styleId="177">
    <w:name w:val="表中字样"/>
    <w:basedOn w:val="175"/>
    <w:autoRedefine/>
    <w:qFormat/>
    <w:uiPriority w:val="0"/>
    <w:pPr>
      <w:spacing w:line="320" w:lineRule="exact"/>
      <w:ind w:firstLine="0" w:firstLineChars="0"/>
      <w:jc w:val="center"/>
    </w:pPr>
  </w:style>
  <w:style w:type="paragraph" w:customStyle="1" w:styleId="178">
    <w:name w:val="右齐"/>
    <w:basedOn w:val="145"/>
    <w:autoRedefine/>
    <w:qFormat/>
    <w:uiPriority w:val="0"/>
    <w:pPr>
      <w:ind w:firstLine="0"/>
      <w:jc w:val="right"/>
    </w:pPr>
    <w:rPr>
      <w:rFonts w:ascii="仿宋_GB2312" w:eastAsia="仿宋_GB2312"/>
    </w:rPr>
  </w:style>
  <w:style w:type="paragraph" w:customStyle="1" w:styleId="179">
    <w:name w:val="标准"/>
    <w:basedOn w:val="1"/>
    <w:autoRedefine/>
    <w:qFormat/>
    <w:uiPriority w:val="0"/>
    <w:pPr>
      <w:keepNext/>
      <w:adjustRightInd w:val="0"/>
      <w:snapToGrid w:val="0"/>
      <w:spacing w:line="312" w:lineRule="atLeast"/>
      <w:ind w:firstLine="590"/>
      <w:textAlignment w:val="baseline"/>
    </w:pPr>
    <w:rPr>
      <w:snapToGrid w:val="0"/>
      <w:kern w:val="0"/>
      <w:sz w:val="28"/>
      <w:szCs w:val="20"/>
    </w:rPr>
  </w:style>
  <w:style w:type="paragraph" w:customStyle="1" w:styleId="180">
    <w:name w:val="xl24"/>
    <w:basedOn w:val="1"/>
    <w:autoRedefine/>
    <w:qFormat/>
    <w:uiPriority w:val="0"/>
    <w:pPr>
      <w:widowControl/>
      <w:spacing w:before="100" w:beforeAutospacing="1" w:after="100" w:afterAutospacing="1" w:line="240" w:lineRule="auto"/>
      <w:ind w:firstLine="0"/>
      <w:jc w:val="left"/>
    </w:pPr>
    <w:rPr>
      <w:kern w:val="0"/>
    </w:rPr>
  </w:style>
  <w:style w:type="paragraph" w:customStyle="1" w:styleId="18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宋体" w:hAnsi="宋体"/>
      <w:kern w:val="0"/>
    </w:rPr>
  </w:style>
  <w:style w:type="paragraph" w:customStyle="1" w:styleId="18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kern w:val="0"/>
    </w:rPr>
  </w:style>
  <w:style w:type="paragraph" w:customStyle="1" w:styleId="183">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宋体" w:hAnsi="宋体"/>
      <w:kern w:val="0"/>
    </w:rPr>
  </w:style>
  <w:style w:type="paragraph" w:customStyle="1" w:styleId="18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kern w:val="0"/>
    </w:rPr>
  </w:style>
  <w:style w:type="paragraph" w:customStyle="1" w:styleId="185">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宋体" w:hAnsi="宋体"/>
      <w:kern w:val="0"/>
    </w:rPr>
  </w:style>
  <w:style w:type="paragraph" w:customStyle="1" w:styleId="18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宋体" w:hAnsi="宋体"/>
      <w:kern w:val="0"/>
    </w:rPr>
  </w:style>
  <w:style w:type="paragraph" w:customStyle="1" w:styleId="18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宋体" w:hAnsi="宋体"/>
      <w:kern w:val="0"/>
    </w:rPr>
  </w:style>
  <w:style w:type="paragraph" w:customStyle="1" w:styleId="18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宋体" w:hAnsi="宋体"/>
      <w:kern w:val="0"/>
    </w:rPr>
  </w:style>
  <w:style w:type="paragraph" w:customStyle="1" w:styleId="18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kern w:val="0"/>
    </w:rPr>
  </w:style>
  <w:style w:type="paragraph" w:customStyle="1" w:styleId="19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宋体" w:hAnsi="宋体"/>
      <w:kern w:val="0"/>
    </w:rPr>
  </w:style>
  <w:style w:type="paragraph" w:customStyle="1" w:styleId="191">
    <w:name w:val="左五"/>
    <w:basedOn w:val="1"/>
    <w:autoRedefine/>
    <w:qFormat/>
    <w:uiPriority w:val="0"/>
    <w:pPr>
      <w:spacing w:line="280" w:lineRule="exact"/>
      <w:ind w:firstLine="0"/>
      <w:jc w:val="left"/>
    </w:pPr>
    <w:rPr>
      <w:rFonts w:ascii="宋体" w:hAnsi="Symusic"/>
      <w:color w:val="000000"/>
      <w:sz w:val="18"/>
      <w:szCs w:val="20"/>
      <w:lang w:bidi="he-IL"/>
    </w:rPr>
  </w:style>
  <w:style w:type="paragraph" w:customStyle="1" w:styleId="192">
    <w:name w:val="表后空行"/>
    <w:basedOn w:val="1"/>
    <w:autoRedefine/>
    <w:qFormat/>
    <w:uiPriority w:val="0"/>
    <w:pPr>
      <w:overflowPunct w:val="0"/>
      <w:adjustRightInd w:val="0"/>
      <w:spacing w:line="240" w:lineRule="auto"/>
      <w:textAlignment w:val="baseline"/>
    </w:pPr>
    <w:rPr>
      <w:kern w:val="28"/>
      <w:sz w:val="10"/>
      <w:szCs w:val="20"/>
    </w:rPr>
  </w:style>
  <w:style w:type="paragraph" w:customStyle="1" w:styleId="193">
    <w:name w:val="样式 标题 3 + 首行缩进:  2 字符"/>
    <w:basedOn w:val="5"/>
    <w:autoRedefine/>
    <w:qFormat/>
    <w:uiPriority w:val="0"/>
    <w:pPr>
      <w:keepNext/>
      <w:keepLines/>
      <w:spacing w:before="120" w:after="120"/>
      <w:ind w:firstLine="200" w:firstLineChars="200"/>
      <w:jc w:val="both"/>
    </w:pPr>
    <w:rPr>
      <w:sz w:val="28"/>
      <w:szCs w:val="20"/>
    </w:rPr>
  </w:style>
  <w:style w:type="paragraph" w:customStyle="1" w:styleId="194">
    <w:name w:val="样式 标题 4 + 首行缩进:  2 字符"/>
    <w:basedOn w:val="6"/>
    <w:autoRedefine/>
    <w:qFormat/>
    <w:uiPriority w:val="0"/>
    <w:pPr>
      <w:spacing w:before="0" w:after="0" w:line="360" w:lineRule="auto"/>
      <w:ind w:firstLine="200" w:firstLineChars="200"/>
    </w:pPr>
    <w:rPr>
      <w:rFonts w:eastAsia="宋体" w:cs="宋体"/>
      <w:szCs w:val="20"/>
    </w:rPr>
  </w:style>
  <w:style w:type="paragraph" w:customStyle="1" w:styleId="195">
    <w:name w:val="表格小四"/>
    <w:basedOn w:val="1"/>
    <w:autoRedefine/>
    <w:qFormat/>
    <w:uiPriority w:val="0"/>
    <w:pPr>
      <w:spacing w:line="0" w:lineRule="atLeast"/>
      <w:ind w:firstLine="0"/>
    </w:pPr>
    <w:rPr>
      <w:rFonts w:eastAsia="楷体_GB2312"/>
      <w:szCs w:val="20"/>
    </w:rPr>
  </w:style>
  <w:style w:type="paragraph" w:customStyle="1" w:styleId="196">
    <w:name w:val="标题0"/>
    <w:basedOn w:val="1"/>
    <w:autoRedefine/>
    <w:qFormat/>
    <w:uiPriority w:val="0"/>
    <w:pPr>
      <w:tabs>
        <w:tab w:val="left" w:pos="840"/>
      </w:tabs>
      <w:spacing w:before="480" w:after="360" w:line="240" w:lineRule="auto"/>
      <w:ind w:firstLine="0"/>
      <w:jc w:val="center"/>
    </w:pPr>
    <w:rPr>
      <w:rFonts w:ascii="黑体" w:eastAsia="黑体"/>
      <w:sz w:val="44"/>
      <w:szCs w:val="20"/>
    </w:rPr>
  </w:style>
  <w:style w:type="paragraph" w:customStyle="1" w:styleId="197">
    <w:name w:val="普通 (Web)"/>
    <w:basedOn w:val="1"/>
    <w:autoRedefine/>
    <w:qFormat/>
    <w:uiPriority w:val="0"/>
    <w:pPr>
      <w:widowControl/>
      <w:spacing w:before="100" w:after="100" w:line="240" w:lineRule="auto"/>
      <w:ind w:firstLine="0"/>
      <w:jc w:val="left"/>
    </w:pPr>
    <w:rPr>
      <w:rFonts w:hint="eastAsia" w:ascii="宋体" w:hAnsi="宋体"/>
      <w:kern w:val="0"/>
      <w:szCs w:val="20"/>
    </w:rPr>
  </w:style>
  <w:style w:type="paragraph" w:customStyle="1" w:styleId="198">
    <w:name w:val="样式1"/>
    <w:basedOn w:val="34"/>
    <w:link w:val="199"/>
    <w:autoRedefine/>
    <w:qFormat/>
    <w:uiPriority w:val="0"/>
    <w:pPr>
      <w:adjustRightInd w:val="0"/>
      <w:spacing w:after="0" w:line="360" w:lineRule="atLeast"/>
      <w:ind w:firstLine="0"/>
      <w:jc w:val="center"/>
      <w:textAlignment w:val="baseline"/>
    </w:pPr>
    <w:rPr>
      <w:rFonts w:eastAsia="楷体_GB2312"/>
      <w:color w:val="000000"/>
      <w:kern w:val="0"/>
      <w:sz w:val="21"/>
      <w:szCs w:val="20"/>
    </w:rPr>
  </w:style>
  <w:style w:type="character" w:customStyle="1" w:styleId="199">
    <w:name w:val="样式1 Char"/>
    <w:link w:val="198"/>
    <w:autoRedefine/>
    <w:qFormat/>
    <w:uiPriority w:val="0"/>
    <w:rPr>
      <w:rFonts w:ascii="Times New Roman" w:hAnsi="Times New Roman" w:eastAsia="楷体_GB2312" w:cs="Times New Roman"/>
      <w:color w:val="000000"/>
      <w:kern w:val="0"/>
      <w:szCs w:val="20"/>
    </w:rPr>
  </w:style>
  <w:style w:type="paragraph" w:customStyle="1" w:styleId="200">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黑体" w:hAnsi="宋体" w:eastAsia="黑体" w:cs="宋体"/>
      <w:b/>
      <w:bCs/>
      <w:kern w:val="0"/>
      <w:sz w:val="20"/>
      <w:szCs w:val="20"/>
    </w:rPr>
  </w:style>
  <w:style w:type="paragraph" w:customStyle="1" w:styleId="201">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宋体" w:hAnsi="宋体" w:cs="宋体"/>
      <w:b/>
      <w:bCs/>
      <w:kern w:val="0"/>
      <w:sz w:val="20"/>
      <w:szCs w:val="20"/>
    </w:rPr>
  </w:style>
  <w:style w:type="paragraph" w:customStyle="1" w:styleId="202">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宋体" w:hAnsi="宋体" w:cs="宋体"/>
      <w:kern w:val="0"/>
      <w:sz w:val="20"/>
      <w:szCs w:val="20"/>
    </w:rPr>
  </w:style>
  <w:style w:type="paragraph" w:customStyle="1" w:styleId="203">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宋体" w:hAnsi="宋体" w:cs="宋体"/>
      <w:kern w:val="0"/>
      <w:sz w:val="20"/>
      <w:szCs w:val="20"/>
    </w:rPr>
  </w:style>
  <w:style w:type="paragraph" w:customStyle="1" w:styleId="204">
    <w:name w:val="xl39"/>
    <w:basedOn w:val="1"/>
    <w:autoRedefine/>
    <w:qFormat/>
    <w:uiPriority w:val="0"/>
    <w:pPr>
      <w:widowControl/>
      <w:spacing w:before="100" w:beforeAutospacing="1" w:after="100" w:afterAutospacing="1" w:line="240" w:lineRule="auto"/>
      <w:ind w:firstLine="0"/>
      <w:jc w:val="center"/>
    </w:pPr>
    <w:rPr>
      <w:rFonts w:ascii="黑体" w:hAnsi="宋体" w:eastAsia="黑体" w:cs="宋体"/>
      <w:b/>
      <w:bCs/>
      <w:kern w:val="0"/>
      <w:sz w:val="20"/>
      <w:szCs w:val="20"/>
    </w:rPr>
  </w:style>
  <w:style w:type="paragraph" w:customStyle="1" w:styleId="205">
    <w:name w:val="xl40"/>
    <w:basedOn w:val="1"/>
    <w:autoRedefine/>
    <w:qFormat/>
    <w:uiPriority w:val="0"/>
    <w:pPr>
      <w:widowControl/>
      <w:spacing w:before="100" w:beforeAutospacing="1" w:after="100" w:afterAutospacing="1" w:line="240" w:lineRule="auto"/>
      <w:ind w:firstLine="0"/>
      <w:jc w:val="center"/>
    </w:pPr>
    <w:rPr>
      <w:rFonts w:ascii="黑体" w:hAnsi="宋体" w:eastAsia="黑体" w:cs="宋体"/>
      <w:b/>
      <w:bCs/>
      <w:kern w:val="0"/>
      <w:sz w:val="20"/>
      <w:szCs w:val="20"/>
    </w:rPr>
  </w:style>
  <w:style w:type="paragraph" w:customStyle="1" w:styleId="206">
    <w:name w:val="xl41"/>
    <w:basedOn w:val="1"/>
    <w:autoRedefine/>
    <w:qFormat/>
    <w:uiPriority w:val="0"/>
    <w:pPr>
      <w:widowControl/>
      <w:spacing w:before="100" w:beforeAutospacing="1" w:after="100" w:afterAutospacing="1" w:line="240" w:lineRule="auto"/>
      <w:ind w:firstLine="0"/>
      <w:jc w:val="center"/>
    </w:pPr>
    <w:rPr>
      <w:rFonts w:ascii="宋体" w:hAnsi="宋体" w:cs="宋体"/>
      <w:kern w:val="0"/>
      <w:sz w:val="20"/>
      <w:szCs w:val="20"/>
    </w:rPr>
  </w:style>
  <w:style w:type="paragraph" w:customStyle="1" w:styleId="207">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left"/>
    </w:pPr>
    <w:rPr>
      <w:rFonts w:ascii="宋体" w:hAnsi="宋体" w:cs="宋体"/>
      <w:color w:val="FF0000"/>
      <w:kern w:val="0"/>
      <w:sz w:val="20"/>
      <w:szCs w:val="20"/>
    </w:rPr>
  </w:style>
  <w:style w:type="paragraph" w:customStyle="1" w:styleId="208">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left"/>
    </w:pPr>
    <w:rPr>
      <w:rFonts w:ascii="宋体" w:hAnsi="宋体" w:cs="宋体"/>
      <w:kern w:val="0"/>
      <w:sz w:val="20"/>
      <w:szCs w:val="20"/>
    </w:rPr>
  </w:style>
  <w:style w:type="paragraph" w:customStyle="1" w:styleId="209">
    <w:name w:val="xl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宋体" w:hAnsi="宋体" w:cs="宋体"/>
      <w:color w:val="FF0000"/>
      <w:kern w:val="0"/>
      <w:sz w:val="20"/>
      <w:szCs w:val="20"/>
    </w:rPr>
  </w:style>
  <w:style w:type="paragraph" w:customStyle="1" w:styleId="210">
    <w:name w:val="xl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宋体" w:hAnsi="宋体" w:cs="宋体"/>
      <w:kern w:val="0"/>
      <w:sz w:val="20"/>
      <w:szCs w:val="20"/>
    </w:rPr>
  </w:style>
  <w:style w:type="paragraph" w:customStyle="1" w:styleId="211">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宋体" w:hAnsi="宋体" w:cs="宋体"/>
      <w:b/>
      <w:bCs/>
      <w:kern w:val="0"/>
      <w:sz w:val="36"/>
      <w:szCs w:val="36"/>
    </w:rPr>
  </w:style>
  <w:style w:type="paragraph" w:customStyle="1" w:styleId="212">
    <w:name w:val="样式 标题 1 + 居中"/>
    <w:basedOn w:val="3"/>
    <w:autoRedefine/>
    <w:qFormat/>
    <w:uiPriority w:val="0"/>
    <w:pPr>
      <w:spacing w:before="600"/>
      <w:contextualSpacing/>
      <w:jc w:val="center"/>
    </w:pPr>
    <w:rPr>
      <w:rFonts w:ascii="黑体" w:cs="宋体"/>
      <w:color w:val="auto"/>
      <w:sz w:val="44"/>
    </w:rPr>
  </w:style>
  <w:style w:type="paragraph" w:customStyle="1" w:styleId="213">
    <w:name w:val="样式13"/>
    <w:basedOn w:val="84"/>
    <w:autoRedefine/>
    <w:qFormat/>
    <w:uiPriority w:val="0"/>
    <w:pPr>
      <w:tabs>
        <w:tab w:val="clear" w:pos="8296"/>
      </w:tabs>
      <w:ind w:firstLine="288" w:firstLineChars="0"/>
    </w:pPr>
    <w:rPr>
      <w:szCs w:val="44"/>
    </w:rPr>
  </w:style>
  <w:style w:type="character" w:customStyle="1" w:styleId="214">
    <w:name w:val="标题 字符1"/>
    <w:basedOn w:val="102"/>
    <w:link w:val="84"/>
    <w:autoRedefine/>
    <w:qFormat/>
    <w:uiPriority w:val="0"/>
    <w:rPr>
      <w:rFonts w:ascii="Arial" w:hAnsi="Arial" w:eastAsia="黑体" w:cs="Arial"/>
      <w:b/>
      <w:bCs/>
      <w:sz w:val="44"/>
      <w:szCs w:val="32"/>
    </w:rPr>
  </w:style>
  <w:style w:type="paragraph" w:customStyle="1" w:styleId="215">
    <w:name w:val="样式 3.1 + 行距: 多倍行距 1.73 字行"/>
    <w:basedOn w:val="1"/>
    <w:autoRedefine/>
    <w:qFormat/>
    <w:uiPriority w:val="0"/>
    <w:pPr>
      <w:keepNext/>
      <w:keepLines/>
      <w:tabs>
        <w:tab w:val="left" w:pos="958"/>
        <w:tab w:val="right" w:leader="dot" w:pos="8296"/>
      </w:tabs>
      <w:spacing w:line="415" w:lineRule="auto"/>
      <w:ind w:left="958" w:hanging="420"/>
      <w:outlineLvl w:val="1"/>
    </w:pPr>
    <w:rPr>
      <w:rFonts w:eastAsia="黑体"/>
      <w:b/>
      <w:bCs/>
      <w:sz w:val="28"/>
      <w:szCs w:val="20"/>
    </w:rPr>
  </w:style>
  <w:style w:type="paragraph" w:customStyle="1" w:styleId="216">
    <w:name w:val="样式 样式13 + 小二"/>
    <w:basedOn w:val="213"/>
    <w:autoRedefine/>
    <w:qFormat/>
    <w:uiPriority w:val="0"/>
    <w:pPr/>
    <w:rPr>
      <w:sz w:val="36"/>
    </w:rPr>
  </w:style>
  <w:style w:type="paragraph" w:customStyle="1" w:styleId="217">
    <w:name w:val="样式 样式 样式13 + 小二 + 段前: 0 磅 段后: 0 磅"/>
    <w:basedOn w:val="216"/>
    <w:autoRedefine/>
    <w:qFormat/>
    <w:uiPriority w:val="0"/>
    <w:pPr>
      <w:spacing w:before="0" w:after="0"/>
    </w:pPr>
    <w:rPr>
      <w:rFonts w:cs="Times New Roman"/>
      <w:szCs w:val="20"/>
    </w:rPr>
  </w:style>
  <w:style w:type="paragraph" w:customStyle="1" w:styleId="218">
    <w:name w:val="xl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Arial Unicode MS" w:hAnsi="Arial Unicode MS"/>
      <w:color w:val="0000FF"/>
      <w:kern w:val="0"/>
      <w:sz w:val="12"/>
      <w:szCs w:val="12"/>
    </w:rPr>
  </w:style>
  <w:style w:type="paragraph" w:customStyle="1" w:styleId="219">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Arial Unicode MS" w:hAnsi="Arial Unicode MS"/>
      <w:color w:val="0000FF"/>
      <w:kern w:val="0"/>
      <w:sz w:val="12"/>
      <w:szCs w:val="12"/>
    </w:rPr>
  </w:style>
  <w:style w:type="paragraph" w:customStyle="1" w:styleId="220">
    <w:name w:val="xl4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jc w:val="center"/>
      <w:textAlignment w:val="center"/>
    </w:pPr>
    <w:rPr>
      <w:rFonts w:ascii="Arial Unicode MS" w:hAnsi="Arial Unicode MS"/>
      <w:b/>
      <w:bCs/>
      <w:kern w:val="0"/>
      <w:sz w:val="18"/>
      <w:szCs w:val="18"/>
    </w:rPr>
  </w:style>
  <w:style w:type="paragraph" w:customStyle="1" w:styleId="221">
    <w:name w:val="xl50"/>
    <w:basedOn w:val="1"/>
    <w:autoRedefine/>
    <w:qFormat/>
    <w:uiPriority w:val="0"/>
    <w:pPr>
      <w:widowControl/>
      <w:pBdr>
        <w:top w:val="single" w:color="auto" w:sz="4" w:space="0"/>
        <w:bottom w:val="single" w:color="auto" w:sz="4" w:space="0"/>
      </w:pBdr>
      <w:spacing w:before="100" w:beforeAutospacing="1" w:after="100" w:afterAutospacing="1" w:line="240" w:lineRule="auto"/>
      <w:ind w:firstLine="0"/>
      <w:jc w:val="center"/>
      <w:textAlignment w:val="center"/>
    </w:pPr>
    <w:rPr>
      <w:rFonts w:ascii="Arial Unicode MS" w:hAnsi="Arial Unicode MS"/>
      <w:b/>
      <w:bCs/>
      <w:kern w:val="0"/>
      <w:sz w:val="18"/>
      <w:szCs w:val="18"/>
    </w:rPr>
  </w:style>
  <w:style w:type="paragraph" w:customStyle="1" w:styleId="222">
    <w:name w:val="xl5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Arial Unicode MS" w:hAnsi="Arial Unicode MS"/>
      <w:b/>
      <w:bCs/>
      <w:kern w:val="0"/>
      <w:sz w:val="18"/>
      <w:szCs w:val="18"/>
    </w:rPr>
  </w:style>
  <w:style w:type="paragraph" w:customStyle="1" w:styleId="223">
    <w:name w:val="xl5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jc w:val="center"/>
      <w:textAlignment w:val="center"/>
    </w:pPr>
    <w:rPr>
      <w:rFonts w:ascii="Arial Unicode MS" w:hAnsi="Arial Unicode MS"/>
      <w:b/>
      <w:bCs/>
      <w:kern w:val="0"/>
      <w:sz w:val="18"/>
      <w:szCs w:val="18"/>
    </w:rPr>
  </w:style>
  <w:style w:type="paragraph" w:customStyle="1" w:styleId="224">
    <w:name w:val="xl5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b/>
      <w:bCs/>
      <w:kern w:val="0"/>
      <w:sz w:val="18"/>
      <w:szCs w:val="18"/>
    </w:rPr>
  </w:style>
  <w:style w:type="paragraph" w:customStyle="1" w:styleId="225">
    <w:name w:val="xl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Arial Unicode MS" w:hAnsi="Arial Unicode MS"/>
      <w:b/>
      <w:bCs/>
      <w:kern w:val="0"/>
      <w:sz w:val="18"/>
      <w:szCs w:val="18"/>
    </w:rPr>
  </w:style>
  <w:style w:type="paragraph" w:customStyle="1" w:styleId="226">
    <w:name w:val="xl55"/>
    <w:basedOn w:val="1"/>
    <w:autoRedefine/>
    <w:qFormat/>
    <w:uiPriority w:val="0"/>
    <w:pPr>
      <w:widowControl/>
      <w:spacing w:before="100" w:beforeAutospacing="1" w:after="100" w:afterAutospacing="1" w:line="240" w:lineRule="auto"/>
      <w:ind w:firstLine="0"/>
      <w:jc w:val="left"/>
      <w:textAlignment w:val="center"/>
    </w:pPr>
    <w:rPr>
      <w:rFonts w:ascii="Arial Unicode MS" w:hAnsi="Arial Unicode MS"/>
      <w:kern w:val="0"/>
      <w:sz w:val="18"/>
      <w:szCs w:val="18"/>
    </w:rPr>
  </w:style>
  <w:style w:type="paragraph" w:customStyle="1" w:styleId="227">
    <w:name w:val="xl56"/>
    <w:basedOn w:val="1"/>
    <w:autoRedefine/>
    <w:qFormat/>
    <w:uiPriority w:val="0"/>
    <w:pPr>
      <w:widowControl/>
      <w:pBdr>
        <w:top w:val="single" w:color="auto" w:sz="4" w:space="0"/>
      </w:pBdr>
      <w:spacing w:before="100" w:beforeAutospacing="1" w:after="100" w:afterAutospacing="1" w:line="240" w:lineRule="auto"/>
      <w:ind w:firstLine="0"/>
      <w:jc w:val="left"/>
      <w:textAlignment w:val="center"/>
    </w:pPr>
    <w:rPr>
      <w:rFonts w:ascii="Arial Unicode MS" w:hAnsi="Arial Unicode MS"/>
      <w:kern w:val="0"/>
      <w:sz w:val="18"/>
      <w:szCs w:val="18"/>
    </w:rPr>
  </w:style>
  <w:style w:type="paragraph" w:customStyle="1" w:styleId="228">
    <w:name w:val="xl57"/>
    <w:basedOn w:val="1"/>
    <w:autoRedefine/>
    <w:qFormat/>
    <w:uiPriority w:val="0"/>
    <w:pPr>
      <w:widowControl/>
      <w:spacing w:before="100" w:beforeAutospacing="1" w:after="100" w:afterAutospacing="1" w:line="240" w:lineRule="auto"/>
      <w:ind w:firstLine="0"/>
      <w:jc w:val="left"/>
      <w:textAlignment w:val="center"/>
    </w:pPr>
    <w:rPr>
      <w:rFonts w:ascii="Arial Unicode MS" w:hAnsi="Arial Unicode MS"/>
      <w:kern w:val="0"/>
      <w:sz w:val="18"/>
      <w:szCs w:val="18"/>
    </w:rPr>
  </w:style>
  <w:style w:type="paragraph" w:customStyle="1" w:styleId="229">
    <w:name w:val="xl58"/>
    <w:basedOn w:val="1"/>
    <w:autoRedefine/>
    <w:qFormat/>
    <w:uiPriority w:val="0"/>
    <w:pPr>
      <w:widowControl/>
      <w:spacing w:before="100" w:beforeAutospacing="1" w:after="100" w:afterAutospacing="1" w:line="240" w:lineRule="auto"/>
      <w:ind w:firstLine="0"/>
      <w:jc w:val="center"/>
      <w:textAlignment w:val="center"/>
    </w:pPr>
    <w:rPr>
      <w:rFonts w:ascii="Arial Unicode MS" w:hAnsi="Arial Unicode MS"/>
      <w:kern w:val="0"/>
      <w:sz w:val="18"/>
      <w:szCs w:val="18"/>
    </w:rPr>
  </w:style>
  <w:style w:type="paragraph" w:customStyle="1" w:styleId="230">
    <w:name w:val="xl59"/>
    <w:basedOn w:val="1"/>
    <w:autoRedefine/>
    <w:qFormat/>
    <w:uiPriority w:val="0"/>
    <w:pPr>
      <w:widowControl/>
      <w:spacing w:before="100" w:beforeAutospacing="1" w:after="100" w:afterAutospacing="1" w:line="240" w:lineRule="auto"/>
      <w:ind w:firstLine="0"/>
      <w:jc w:val="center"/>
      <w:textAlignment w:val="center"/>
    </w:pPr>
    <w:rPr>
      <w:rFonts w:ascii="Arial Unicode MS" w:hAnsi="Arial Unicode MS"/>
      <w:b/>
      <w:bCs/>
      <w:kern w:val="0"/>
      <w:sz w:val="18"/>
      <w:szCs w:val="18"/>
    </w:rPr>
  </w:style>
  <w:style w:type="paragraph" w:customStyle="1" w:styleId="231">
    <w:name w:val="xl60"/>
    <w:basedOn w:val="1"/>
    <w:autoRedefine/>
    <w:qFormat/>
    <w:uiPriority w:val="0"/>
    <w:pPr>
      <w:widowControl/>
      <w:spacing w:before="100" w:beforeAutospacing="1" w:after="100" w:afterAutospacing="1" w:line="240" w:lineRule="auto"/>
      <w:ind w:firstLine="0"/>
      <w:jc w:val="center"/>
      <w:textAlignment w:val="center"/>
    </w:pPr>
    <w:rPr>
      <w:rFonts w:ascii="Arial Unicode MS" w:hAnsi="Arial Unicode MS"/>
      <w:b/>
      <w:bCs/>
      <w:kern w:val="0"/>
      <w:sz w:val="18"/>
      <w:szCs w:val="18"/>
    </w:rPr>
  </w:style>
  <w:style w:type="paragraph" w:customStyle="1" w:styleId="232">
    <w:name w:val="样式 标题 4 + Times New Roman 非加粗 首行缩进:  2 字符"/>
    <w:basedOn w:val="6"/>
    <w:autoRedefine/>
    <w:qFormat/>
    <w:uiPriority w:val="0"/>
    <w:pPr>
      <w:spacing w:before="100" w:beforeAutospacing="1" w:after="100" w:afterAutospacing="1" w:line="360" w:lineRule="auto"/>
      <w:ind w:firstLine="480" w:firstLineChars="200"/>
    </w:pPr>
    <w:rPr>
      <w:rFonts w:ascii="Times New Roman" w:hAnsi="Times New Roman" w:eastAsia="宋体" w:cs="宋体"/>
      <w:b w:val="0"/>
      <w:bCs w:val="0"/>
    </w:rPr>
  </w:style>
  <w:style w:type="paragraph" w:customStyle="1" w:styleId="233">
    <w:name w:val="样式 标题 4 + Times New Roman 非加粗 黑色 首行缩进:  2 字符"/>
    <w:basedOn w:val="6"/>
    <w:autoRedefine/>
    <w:qFormat/>
    <w:uiPriority w:val="0"/>
    <w:pPr>
      <w:spacing w:before="100" w:beforeAutospacing="1" w:after="100" w:afterAutospacing="1" w:line="360" w:lineRule="auto"/>
      <w:ind w:firstLine="480" w:firstLineChars="200"/>
    </w:pPr>
    <w:rPr>
      <w:rFonts w:ascii="Times New Roman" w:hAnsi="Times New Roman" w:eastAsia="宋体" w:cs="宋体"/>
      <w:b w:val="0"/>
      <w:bCs w:val="0"/>
      <w:color w:val="000000"/>
    </w:rPr>
  </w:style>
  <w:style w:type="paragraph" w:customStyle="1" w:styleId="234">
    <w:name w:val="表中文字"/>
    <w:basedOn w:val="1"/>
    <w:autoRedefine/>
    <w:qFormat/>
    <w:uiPriority w:val="0"/>
    <w:pPr>
      <w:adjustRightInd w:val="0"/>
      <w:snapToGrid w:val="0"/>
      <w:spacing w:line="240" w:lineRule="atLeast"/>
      <w:ind w:firstLine="0"/>
      <w:jc w:val="center"/>
    </w:pPr>
    <w:rPr>
      <w:snapToGrid w:val="0"/>
      <w:kern w:val="0"/>
      <w:sz w:val="21"/>
      <w:szCs w:val="20"/>
    </w:rPr>
  </w:style>
  <w:style w:type="character" w:customStyle="1" w:styleId="235">
    <w:name w:val="正文(首行缩进) Char1"/>
    <w:autoRedefine/>
    <w:qFormat/>
    <w:uiPriority w:val="0"/>
    <w:rPr>
      <w:rFonts w:eastAsia="宋体"/>
      <w:snapToGrid w:val="0"/>
      <w:color w:val="000000"/>
      <w:sz w:val="24"/>
      <w:szCs w:val="24"/>
      <w:lang w:val="en-US" w:eastAsia="zh-CN" w:bidi="ar-SA"/>
    </w:rPr>
  </w:style>
  <w:style w:type="character" w:customStyle="1" w:styleId="236">
    <w:name w:val="正文（首行缩进两字） Char Char Char"/>
    <w:autoRedefine/>
    <w:qFormat/>
    <w:uiPriority w:val="0"/>
    <w:rPr>
      <w:rFonts w:eastAsia="宋体"/>
      <w:color w:val="000000"/>
      <w:kern w:val="2"/>
      <w:sz w:val="24"/>
      <w:szCs w:val="18"/>
      <w:lang w:val="en-US" w:eastAsia="zh-CN" w:bidi="ar-SA"/>
    </w:rPr>
  </w:style>
  <w:style w:type="paragraph" w:customStyle="1" w:styleId="237">
    <w:name w:val="表体"/>
    <w:basedOn w:val="1"/>
    <w:link w:val="238"/>
    <w:autoRedefine/>
    <w:qFormat/>
    <w:uiPriority w:val="0"/>
    <w:pPr>
      <w:overflowPunct w:val="0"/>
      <w:adjustRightInd w:val="0"/>
      <w:spacing w:line="300" w:lineRule="atLeast"/>
      <w:ind w:firstLine="0"/>
      <w:jc w:val="center"/>
      <w:textAlignment w:val="baseline"/>
    </w:pPr>
    <w:rPr>
      <w:color w:val="000000"/>
      <w:kern w:val="24"/>
      <w:sz w:val="18"/>
      <w:szCs w:val="20"/>
    </w:rPr>
  </w:style>
  <w:style w:type="character" w:customStyle="1" w:styleId="238">
    <w:name w:val="表体 Char"/>
    <w:link w:val="237"/>
    <w:autoRedefine/>
    <w:qFormat/>
    <w:uiPriority w:val="0"/>
    <w:rPr>
      <w:rFonts w:ascii="Times New Roman" w:hAnsi="Times New Roman" w:eastAsia="宋体" w:cs="Times New Roman"/>
      <w:color w:val="000000"/>
      <w:kern w:val="24"/>
      <w:sz w:val="18"/>
      <w:szCs w:val="20"/>
    </w:rPr>
  </w:style>
  <w:style w:type="paragraph" w:customStyle="1" w:styleId="239">
    <w:name w:val="表中"/>
    <w:link w:val="240"/>
    <w:autoRedefine/>
    <w:qFormat/>
    <w:uiPriority w:val="0"/>
    <w:pPr>
      <w:widowControl w:val="0"/>
      <w:spacing w:line="280" w:lineRule="exact"/>
      <w:ind w:left="-2" w:leftChars="-2" w:hanging="5" w:hangingChars="3"/>
      <w:jc w:val="center"/>
    </w:pPr>
    <w:rPr>
      <w:rFonts w:ascii="Times New Roman" w:hAnsi="Times New Roman" w:eastAsia="宋体" w:cs="Times New Roman"/>
      <w:bCs/>
      <w:sz w:val="18"/>
      <w:szCs w:val="18"/>
      <w:lang w:val="en-US" w:eastAsia="zh-CN" w:bidi="ar-SA"/>
    </w:rPr>
  </w:style>
  <w:style w:type="character" w:customStyle="1" w:styleId="240">
    <w:name w:val="表中 Char"/>
    <w:link w:val="239"/>
    <w:autoRedefine/>
    <w:qFormat/>
    <w:uiPriority w:val="0"/>
    <w:rPr>
      <w:rFonts w:ascii="Times New Roman" w:hAnsi="Times New Roman" w:eastAsia="宋体" w:cs="Times New Roman"/>
      <w:bCs/>
      <w:kern w:val="0"/>
      <w:sz w:val="18"/>
      <w:szCs w:val="18"/>
    </w:rPr>
  </w:style>
  <w:style w:type="paragraph" w:customStyle="1" w:styleId="241">
    <w:name w:val="表格 Char"/>
    <w:basedOn w:val="1"/>
    <w:link w:val="242"/>
    <w:autoRedefine/>
    <w:qFormat/>
    <w:uiPriority w:val="0"/>
    <w:pPr>
      <w:adjustRightInd w:val="0"/>
      <w:snapToGrid w:val="0"/>
      <w:spacing w:line="240" w:lineRule="auto"/>
      <w:ind w:firstLine="0"/>
      <w:jc w:val="center"/>
    </w:pPr>
    <w:rPr>
      <w:rFonts w:eastAsia="仿宋_GB2312"/>
      <w:snapToGrid w:val="0"/>
      <w:kern w:val="0"/>
    </w:rPr>
  </w:style>
  <w:style w:type="character" w:customStyle="1" w:styleId="242">
    <w:name w:val="表格 Char Char"/>
    <w:link w:val="241"/>
    <w:autoRedefine/>
    <w:qFormat/>
    <w:uiPriority w:val="0"/>
    <w:rPr>
      <w:rFonts w:ascii="Times New Roman" w:hAnsi="Times New Roman" w:eastAsia="仿宋_GB2312" w:cs="Times New Roman"/>
      <w:snapToGrid w:val="0"/>
      <w:kern w:val="0"/>
      <w:sz w:val="24"/>
      <w:szCs w:val="24"/>
    </w:rPr>
  </w:style>
  <w:style w:type="paragraph" w:customStyle="1" w:styleId="243">
    <w:name w:val="正文1 Char"/>
    <w:basedOn w:val="1"/>
    <w:link w:val="1306"/>
    <w:autoRedefine/>
    <w:qFormat/>
    <w:uiPriority w:val="0"/>
    <w:pPr>
      <w:adjustRightInd w:val="0"/>
      <w:snapToGrid w:val="0"/>
      <w:ind w:firstLine="623"/>
    </w:pPr>
    <w:rPr>
      <w:rFonts w:ascii="宋体"/>
      <w:szCs w:val="20"/>
    </w:rPr>
  </w:style>
  <w:style w:type="paragraph" w:customStyle="1" w:styleId="244">
    <w:name w:val="表格内文字"/>
    <w:basedOn w:val="1"/>
    <w:autoRedefine/>
    <w:qFormat/>
    <w:uiPriority w:val="0"/>
    <w:pPr>
      <w:adjustRightInd w:val="0"/>
      <w:snapToGrid w:val="0"/>
      <w:spacing w:line="240" w:lineRule="atLeast"/>
      <w:ind w:firstLine="0"/>
      <w:jc w:val="center"/>
    </w:pPr>
    <w:rPr>
      <w:kern w:val="28"/>
      <w:szCs w:val="20"/>
    </w:rPr>
  </w:style>
  <w:style w:type="character" w:customStyle="1" w:styleId="245">
    <w:name w:val="批注框文本 字符1"/>
    <w:basedOn w:val="102"/>
    <w:link w:val="54"/>
    <w:autoRedefine/>
    <w:qFormat/>
    <w:uiPriority w:val="0"/>
    <w:rPr>
      <w:rFonts w:ascii="Times New Roman" w:hAnsi="Times New Roman" w:eastAsia="宋体" w:cs="Times New Roman"/>
      <w:sz w:val="18"/>
      <w:szCs w:val="18"/>
    </w:rPr>
  </w:style>
  <w:style w:type="paragraph" w:customStyle="1" w:styleId="246">
    <w:name w:val="正文1 Char1"/>
    <w:basedOn w:val="1"/>
    <w:autoRedefine/>
    <w:qFormat/>
    <w:uiPriority w:val="0"/>
    <w:pPr>
      <w:adjustRightInd w:val="0"/>
      <w:snapToGrid w:val="0"/>
      <w:ind w:left="113" w:firstLine="510"/>
    </w:pPr>
    <w:rPr>
      <w:rFonts w:ascii="宋体"/>
      <w:szCs w:val="20"/>
    </w:rPr>
  </w:style>
  <w:style w:type="paragraph" w:customStyle="1" w:styleId="247">
    <w:name w:val="表左"/>
    <w:basedOn w:val="1"/>
    <w:autoRedefine/>
    <w:qFormat/>
    <w:uiPriority w:val="0"/>
    <w:pPr>
      <w:overflowPunct w:val="0"/>
      <w:adjustRightInd w:val="0"/>
      <w:spacing w:line="280" w:lineRule="exact"/>
      <w:ind w:firstLine="0"/>
      <w:jc w:val="center"/>
      <w:textAlignment w:val="baseline"/>
    </w:pPr>
    <w:rPr>
      <w:color w:val="000000"/>
      <w:kern w:val="24"/>
      <w:sz w:val="18"/>
      <w:szCs w:val="20"/>
    </w:rPr>
  </w:style>
  <w:style w:type="paragraph" w:customStyle="1" w:styleId="248">
    <w:name w:val="正文1 Char2"/>
    <w:basedOn w:val="1"/>
    <w:autoRedefine/>
    <w:qFormat/>
    <w:uiPriority w:val="0"/>
    <w:pPr>
      <w:adjustRightInd w:val="0"/>
      <w:snapToGrid w:val="0"/>
      <w:ind w:left="113" w:firstLine="510"/>
    </w:pPr>
    <w:rPr>
      <w:rFonts w:ascii="宋体"/>
      <w:snapToGrid w:val="0"/>
      <w:color w:val="000000"/>
      <w:szCs w:val="20"/>
    </w:rPr>
  </w:style>
  <w:style w:type="character" w:customStyle="1" w:styleId="249">
    <w:name w:val="正文文本 2 字符1"/>
    <w:basedOn w:val="102"/>
    <w:link w:val="76"/>
    <w:autoRedefine/>
    <w:qFormat/>
    <w:uiPriority w:val="0"/>
    <w:rPr>
      <w:rFonts w:ascii="Times New Roman" w:hAnsi="Times New Roman" w:eastAsia="宋体" w:cs="Times New Roman"/>
      <w:szCs w:val="24"/>
    </w:rPr>
  </w:style>
  <w:style w:type="character" w:customStyle="1" w:styleId="250">
    <w:name w:val="正文文本缩进 2 字符1"/>
    <w:basedOn w:val="102"/>
    <w:link w:val="51"/>
    <w:autoRedefine/>
    <w:qFormat/>
    <w:uiPriority w:val="0"/>
    <w:rPr>
      <w:rFonts w:ascii="Times New Roman" w:hAnsi="Times New Roman" w:eastAsia="宋体" w:cs="Times New Roman"/>
      <w:sz w:val="24"/>
      <w:szCs w:val="24"/>
    </w:rPr>
  </w:style>
  <w:style w:type="paragraph" w:customStyle="1" w:styleId="251">
    <w:name w:val="表文字"/>
    <w:basedOn w:val="1"/>
    <w:link w:val="463"/>
    <w:autoRedefine/>
    <w:qFormat/>
    <w:uiPriority w:val="0"/>
    <w:pPr>
      <w:overflowPunct w:val="0"/>
      <w:autoSpaceDE w:val="0"/>
      <w:autoSpaceDN w:val="0"/>
      <w:adjustRightInd w:val="0"/>
      <w:snapToGrid w:val="0"/>
      <w:spacing w:line="240" w:lineRule="atLeast"/>
      <w:ind w:firstLine="0"/>
      <w:jc w:val="center"/>
      <w:textAlignment w:val="baseline"/>
    </w:pPr>
    <w:rPr>
      <w:kern w:val="0"/>
      <w:szCs w:val="20"/>
    </w:rPr>
  </w:style>
  <w:style w:type="paragraph" w:customStyle="1" w:styleId="252">
    <w:name w:val="表格一"/>
    <w:basedOn w:val="1"/>
    <w:autoRedefine/>
    <w:qFormat/>
    <w:uiPriority w:val="0"/>
    <w:pPr>
      <w:tabs>
        <w:tab w:val="left" w:leader="dot" w:pos="567"/>
      </w:tabs>
      <w:spacing w:line="240" w:lineRule="auto"/>
      <w:ind w:firstLine="0"/>
      <w:jc w:val="left"/>
    </w:pPr>
    <w:rPr>
      <w:rFonts w:ascii="宋体" w:hAnsi="宋体"/>
      <w:kern w:val="0"/>
      <w:szCs w:val="20"/>
    </w:rPr>
  </w:style>
  <w:style w:type="character" w:customStyle="1" w:styleId="253">
    <w:name w:val="正文文本缩进 3 字符1"/>
    <w:basedOn w:val="102"/>
    <w:link w:val="70"/>
    <w:autoRedefine/>
    <w:qFormat/>
    <w:uiPriority w:val="0"/>
    <w:rPr>
      <w:rFonts w:ascii="Times New Roman" w:hAnsi="Times New Roman" w:eastAsia="宋体" w:cs="Times New Roman"/>
      <w:sz w:val="16"/>
      <w:szCs w:val="16"/>
    </w:rPr>
  </w:style>
  <w:style w:type="paragraph" w:customStyle="1" w:styleId="254">
    <w:name w:val="样式5"/>
    <w:basedOn w:val="1"/>
    <w:link w:val="255"/>
    <w:autoRedefine/>
    <w:qFormat/>
    <w:uiPriority w:val="0"/>
    <w:pPr>
      <w:snapToGrid w:val="0"/>
      <w:spacing w:line="580" w:lineRule="exact"/>
      <w:ind w:firstLine="555" w:firstLineChars="200"/>
    </w:pPr>
    <w:rPr>
      <w:rFonts w:ascii="宋体" w:hAnsi="宋体"/>
      <w:sz w:val="28"/>
      <w:szCs w:val="28"/>
    </w:rPr>
  </w:style>
  <w:style w:type="character" w:customStyle="1" w:styleId="255">
    <w:name w:val="样式5 Char"/>
    <w:link w:val="254"/>
    <w:autoRedefine/>
    <w:qFormat/>
    <w:uiPriority w:val="0"/>
    <w:rPr>
      <w:rFonts w:ascii="宋体" w:hAnsi="宋体" w:eastAsia="宋体" w:cs="Times New Roman"/>
      <w:sz w:val="28"/>
      <w:szCs w:val="28"/>
    </w:rPr>
  </w:style>
  <w:style w:type="paragraph" w:customStyle="1" w:styleId="256">
    <w:name w:val="样式4"/>
    <w:basedOn w:val="1"/>
    <w:link w:val="257"/>
    <w:autoRedefine/>
    <w:qFormat/>
    <w:uiPriority w:val="0"/>
    <w:pPr>
      <w:adjustRightInd w:val="0"/>
      <w:snapToGrid w:val="0"/>
      <w:spacing w:line="348" w:lineRule="auto"/>
      <w:ind w:firstLine="150" w:firstLineChars="150"/>
    </w:pPr>
    <w:rPr>
      <w:rFonts w:ascii="宋体" w:hAnsi="宋体"/>
      <w:sz w:val="28"/>
      <w:szCs w:val="28"/>
    </w:rPr>
  </w:style>
  <w:style w:type="character" w:customStyle="1" w:styleId="257">
    <w:name w:val="样式4 Char"/>
    <w:link w:val="256"/>
    <w:autoRedefine/>
    <w:qFormat/>
    <w:uiPriority w:val="0"/>
    <w:rPr>
      <w:rFonts w:ascii="宋体" w:hAnsi="宋体" w:eastAsia="宋体" w:cs="Times New Roman"/>
      <w:sz w:val="28"/>
      <w:szCs w:val="28"/>
    </w:rPr>
  </w:style>
  <w:style w:type="paragraph" w:customStyle="1" w:styleId="258">
    <w:name w:val="报告书正文"/>
    <w:basedOn w:val="1"/>
    <w:autoRedefine/>
    <w:qFormat/>
    <w:uiPriority w:val="0"/>
    <w:pPr>
      <w:ind w:firstLine="480" w:firstLineChars="200"/>
      <w:jc w:val="left"/>
    </w:pPr>
  </w:style>
  <w:style w:type="character" w:customStyle="1" w:styleId="259">
    <w:name w:val="正文（首行缩进两字） Char Char"/>
    <w:autoRedefine/>
    <w:qFormat/>
    <w:uiPriority w:val="0"/>
    <w:rPr>
      <w:kern w:val="2"/>
      <w:sz w:val="24"/>
    </w:rPr>
  </w:style>
  <w:style w:type="paragraph" w:customStyle="1" w:styleId="260">
    <w:name w:val="1正文段落"/>
    <w:basedOn w:val="1"/>
    <w:link w:val="261"/>
    <w:autoRedefine/>
    <w:qFormat/>
    <w:uiPriority w:val="0"/>
    <w:pPr>
      <w:ind w:firstLine="200" w:firstLineChars="200"/>
      <w:jc w:val="left"/>
    </w:pPr>
    <w:rPr>
      <w:snapToGrid w:val="0"/>
      <w:kern w:val="0"/>
    </w:rPr>
  </w:style>
  <w:style w:type="character" w:customStyle="1" w:styleId="261">
    <w:name w:val="1正文段落 Char"/>
    <w:link w:val="260"/>
    <w:autoRedefine/>
    <w:qFormat/>
    <w:uiPriority w:val="0"/>
    <w:rPr>
      <w:rFonts w:ascii="Times New Roman" w:hAnsi="Times New Roman" w:eastAsia="宋体" w:cs="Times New Roman"/>
      <w:snapToGrid w:val="0"/>
      <w:kern w:val="0"/>
      <w:sz w:val="24"/>
      <w:szCs w:val="24"/>
    </w:rPr>
  </w:style>
  <w:style w:type="paragraph" w:customStyle="1" w:styleId="262">
    <w:name w:val="2级标题"/>
    <w:basedOn w:val="4"/>
    <w:autoRedefine/>
    <w:semiHidden/>
    <w:qFormat/>
    <w:uiPriority w:val="0"/>
    <w:pPr>
      <w:keepNext w:val="0"/>
      <w:keepLines w:val="0"/>
      <w:tabs>
        <w:tab w:val="left" w:pos="3564"/>
      </w:tabs>
      <w:jc w:val="both"/>
      <w:textAlignment w:val="auto"/>
    </w:pPr>
    <w:rPr>
      <w:rFonts w:hAnsi="Arial"/>
      <w:kern w:val="2"/>
      <w:szCs w:val="28"/>
    </w:rPr>
  </w:style>
  <w:style w:type="character" w:customStyle="1" w:styleId="263">
    <w:name w:val="节标题 Char"/>
    <w:autoRedefine/>
    <w:qFormat/>
    <w:uiPriority w:val="0"/>
    <w:rPr>
      <w:rFonts w:eastAsia="黑体"/>
      <w:sz w:val="28"/>
      <w:lang w:val="en-US" w:eastAsia="zh-CN" w:bidi="ar-SA"/>
    </w:rPr>
  </w:style>
  <w:style w:type="character" w:customStyle="1" w:styleId="264">
    <w:name w:val="小标题 Char"/>
    <w:link w:val="265"/>
    <w:autoRedefine/>
    <w:qFormat/>
    <w:uiPriority w:val="0"/>
    <w:rPr>
      <w:rFonts w:eastAsia="黑体"/>
      <w:kern w:val="2"/>
      <w:sz w:val="24"/>
      <w:szCs w:val="24"/>
      <w:lang w:val="en-US" w:eastAsia="zh-CN" w:bidi="ar-SA"/>
    </w:rPr>
  </w:style>
  <w:style w:type="paragraph" w:customStyle="1" w:styleId="265">
    <w:name w:val="标题 31"/>
    <w:basedOn w:val="1"/>
    <w:next w:val="1"/>
    <w:link w:val="264"/>
    <w:autoRedefine/>
    <w:qFormat/>
    <w:uiPriority w:val="9"/>
    <w:pPr>
      <w:keepNext/>
      <w:keepLines/>
      <w:spacing w:beforeLines="50" w:afterLines="50"/>
      <w:ind w:firstLine="880" w:firstLineChars="200"/>
      <w:outlineLvl w:val="2"/>
    </w:pPr>
    <w:rPr>
      <w:rFonts w:eastAsia="黑体"/>
    </w:rPr>
  </w:style>
  <w:style w:type="table" w:customStyle="1" w:styleId="266">
    <w:name w:val="表格样式1"/>
    <w:basedOn w:val="88"/>
    <w:autoRedefine/>
    <w:qFormat/>
    <w:uiPriority w:val="0"/>
  </w:style>
  <w:style w:type="paragraph" w:customStyle="1" w:styleId="267">
    <w:name w:val="1级标题"/>
    <w:basedOn w:val="3"/>
    <w:autoRedefine/>
    <w:semiHidden/>
    <w:qFormat/>
    <w:uiPriority w:val="0"/>
    <w:pPr>
      <w:keepNext w:val="0"/>
      <w:keepLines w:val="0"/>
      <w:jc w:val="both"/>
      <w:textAlignment w:val="auto"/>
    </w:pPr>
    <w:rPr>
      <w:rFonts w:ascii="黑体"/>
      <w:color w:val="auto"/>
      <w:szCs w:val="30"/>
    </w:rPr>
  </w:style>
  <w:style w:type="character" w:customStyle="1" w:styleId="268">
    <w:name w:val="Char Char3"/>
    <w:autoRedefine/>
    <w:qFormat/>
    <w:locked/>
    <w:uiPriority w:val="0"/>
    <w:rPr>
      <w:rFonts w:eastAsia="宋体"/>
      <w:kern w:val="2"/>
      <w:sz w:val="18"/>
      <w:szCs w:val="18"/>
      <w:lang w:val="en-US" w:eastAsia="zh-CN" w:bidi="ar-SA"/>
    </w:rPr>
  </w:style>
  <w:style w:type="paragraph" w:customStyle="1" w:styleId="269">
    <w:name w:val="Char1"/>
    <w:basedOn w:val="1"/>
    <w:autoRedefine/>
    <w:qFormat/>
    <w:uiPriority w:val="0"/>
    <w:pPr>
      <w:spacing w:line="240" w:lineRule="auto"/>
      <w:ind w:firstLine="0"/>
    </w:pPr>
    <w:rPr>
      <w:rFonts w:ascii="宋体" w:hAnsi="宋体" w:cs="Courier New"/>
      <w:sz w:val="32"/>
      <w:szCs w:val="32"/>
    </w:rPr>
  </w:style>
  <w:style w:type="paragraph" w:customStyle="1" w:styleId="270">
    <w:name w:val="正文(首行缩进)宋旭峰"/>
    <w:basedOn w:val="21"/>
    <w:link w:val="271"/>
    <w:autoRedefine/>
    <w:qFormat/>
    <w:uiPriority w:val="0"/>
    <w:pPr>
      <w:spacing w:beforeLines="50" w:afterLines="50"/>
      <w:ind w:firstLine="480"/>
      <w:contextualSpacing/>
    </w:pPr>
    <w:rPr>
      <w:snapToGrid w:val="0"/>
      <w:kern w:val="0"/>
    </w:rPr>
  </w:style>
  <w:style w:type="character" w:customStyle="1" w:styleId="271">
    <w:name w:val="正文(首行缩进)宋旭峰 Char Char"/>
    <w:link w:val="270"/>
    <w:autoRedefine/>
    <w:qFormat/>
    <w:uiPriority w:val="0"/>
    <w:rPr>
      <w:rFonts w:ascii="Times New Roman" w:hAnsi="Times New Roman" w:eastAsia="宋体" w:cs="Times New Roman"/>
      <w:snapToGrid w:val="0"/>
      <w:kern w:val="0"/>
      <w:sz w:val="24"/>
      <w:szCs w:val="24"/>
    </w:rPr>
  </w:style>
  <w:style w:type="paragraph" w:customStyle="1" w:styleId="272">
    <w:name w:val="字元 字元1"/>
    <w:basedOn w:val="1"/>
    <w:autoRedefine/>
    <w:qFormat/>
    <w:uiPriority w:val="0"/>
    <w:pPr>
      <w:spacing w:line="240" w:lineRule="auto"/>
      <w:ind w:firstLine="0"/>
    </w:pPr>
    <w:rPr>
      <w:sz w:val="21"/>
    </w:rPr>
  </w:style>
  <w:style w:type="paragraph" w:customStyle="1" w:styleId="273">
    <w:name w:val="Char Char Char Char"/>
    <w:basedOn w:val="1"/>
    <w:autoRedefine/>
    <w:qFormat/>
    <w:uiPriority w:val="0"/>
    <w:pPr>
      <w:spacing w:line="240" w:lineRule="auto"/>
      <w:ind w:firstLine="0"/>
    </w:pPr>
    <w:rPr>
      <w:sz w:val="21"/>
    </w:rPr>
  </w:style>
  <w:style w:type="character" w:customStyle="1" w:styleId="274">
    <w:name w:val="批注文字 字符1"/>
    <w:basedOn w:val="102"/>
    <w:link w:val="28"/>
    <w:autoRedefine/>
    <w:qFormat/>
    <w:uiPriority w:val="0"/>
    <w:rPr>
      <w:rFonts w:ascii="Times New Roman" w:hAnsi="Times New Roman" w:eastAsia="宋体" w:cs="Times New Roman"/>
      <w:sz w:val="24"/>
      <w:szCs w:val="24"/>
    </w:rPr>
  </w:style>
  <w:style w:type="paragraph" w:customStyle="1" w:styleId="275">
    <w:name w:val="正文文本最新 Char Char Char Char1 Char Char Char Char Char Char1"/>
    <w:basedOn w:val="1"/>
    <w:link w:val="276"/>
    <w:autoRedefine/>
    <w:qFormat/>
    <w:uiPriority w:val="0"/>
    <w:pPr>
      <w:ind w:firstLine="200" w:firstLineChars="200"/>
    </w:pPr>
    <w:rPr>
      <w:bCs/>
      <w:sz w:val="28"/>
    </w:rPr>
  </w:style>
  <w:style w:type="character" w:customStyle="1" w:styleId="276">
    <w:name w:val="正文文本最新 Char Char Char Char1 Char Char Char Char Char Char1 Char"/>
    <w:link w:val="275"/>
    <w:autoRedefine/>
    <w:qFormat/>
    <w:uiPriority w:val="0"/>
    <w:rPr>
      <w:rFonts w:ascii="Times New Roman" w:hAnsi="Times New Roman" w:eastAsia="宋体" w:cs="Times New Roman"/>
      <w:bCs/>
      <w:sz w:val="28"/>
      <w:szCs w:val="24"/>
    </w:rPr>
  </w:style>
  <w:style w:type="paragraph" w:customStyle="1" w:styleId="277">
    <w:name w:val="正文文本最新 Char Char"/>
    <w:basedOn w:val="1"/>
    <w:autoRedefine/>
    <w:qFormat/>
    <w:uiPriority w:val="0"/>
    <w:pPr>
      <w:ind w:firstLine="200" w:firstLineChars="200"/>
    </w:pPr>
    <w:rPr>
      <w:bCs/>
      <w:sz w:val="28"/>
    </w:rPr>
  </w:style>
  <w:style w:type="character" w:customStyle="1" w:styleId="278">
    <w:name w:val="批注主题 字符1"/>
    <w:basedOn w:val="274"/>
    <w:link w:val="85"/>
    <w:autoRedefine/>
    <w:qFormat/>
    <w:uiPriority w:val="0"/>
    <w:rPr>
      <w:rFonts w:ascii="Times New Roman" w:hAnsi="Times New Roman" w:eastAsia="宋体" w:cs="Times New Roman"/>
      <w:b/>
      <w:bCs/>
      <w:sz w:val="24"/>
      <w:szCs w:val="24"/>
    </w:rPr>
  </w:style>
  <w:style w:type="character" w:customStyle="1" w:styleId="279">
    <w:name w:val="段落 Char"/>
    <w:link w:val="143"/>
    <w:autoRedefine/>
    <w:qFormat/>
    <w:uiPriority w:val="0"/>
    <w:rPr>
      <w:rFonts w:ascii="Times New Roman" w:hAnsi="Times New Roman" w:eastAsia="宋体" w:cs="Times New Roman"/>
      <w:sz w:val="24"/>
      <w:szCs w:val="24"/>
    </w:rPr>
  </w:style>
  <w:style w:type="character" w:customStyle="1" w:styleId="280">
    <w:name w:val="HBZW"/>
    <w:autoRedefine/>
    <w:qFormat/>
    <w:uiPriority w:val="0"/>
    <w:rPr>
      <w:rFonts w:ascii="宋体" w:hAnsi="宋体" w:eastAsia="宋体"/>
      <w:kern w:val="0"/>
      <w:sz w:val="24"/>
      <w:lang w:val="en-US" w:eastAsia="zh-CN" w:bidi="ar-SA"/>
    </w:rPr>
  </w:style>
  <w:style w:type="paragraph" w:customStyle="1" w:styleId="281">
    <w:name w:val="表尾1"/>
    <w:basedOn w:val="173"/>
    <w:autoRedefine/>
    <w:qFormat/>
    <w:uiPriority w:val="0"/>
    <w:pPr>
      <w:adjustRightInd w:val="0"/>
      <w:spacing w:line="240" w:lineRule="auto"/>
      <w:ind w:firstLine="270" w:firstLineChars="150"/>
      <w:jc w:val="left"/>
    </w:pPr>
    <w:rPr>
      <w:rFonts w:eastAsia="宋体"/>
      <w:b w:val="0"/>
      <w:bCs/>
      <w:kern w:val="0"/>
      <w:sz w:val="18"/>
      <w:szCs w:val="18"/>
      <w:lang w:val="zh-CN"/>
    </w:rPr>
  </w:style>
  <w:style w:type="paragraph" w:customStyle="1" w:styleId="282">
    <w:name w:val="正文#"/>
    <w:basedOn w:val="1"/>
    <w:link w:val="283"/>
    <w:autoRedefine/>
    <w:qFormat/>
    <w:uiPriority w:val="0"/>
    <w:pPr>
      <w:ind w:firstLine="480" w:firstLineChars="200"/>
    </w:pPr>
    <w:rPr>
      <w:rFonts w:cs="宋体"/>
      <w:szCs w:val="20"/>
    </w:rPr>
  </w:style>
  <w:style w:type="character" w:customStyle="1" w:styleId="283">
    <w:name w:val="正文# Char"/>
    <w:link w:val="282"/>
    <w:autoRedefine/>
    <w:qFormat/>
    <w:uiPriority w:val="0"/>
    <w:rPr>
      <w:rFonts w:ascii="Times New Roman" w:hAnsi="Times New Roman" w:eastAsia="宋体" w:cs="宋体"/>
      <w:sz w:val="24"/>
      <w:szCs w:val="20"/>
    </w:rPr>
  </w:style>
  <w:style w:type="paragraph" w:customStyle="1" w:styleId="284">
    <w:name w:val="wj样式"/>
    <w:basedOn w:val="1"/>
    <w:next w:val="1"/>
    <w:link w:val="285"/>
    <w:autoRedefine/>
    <w:qFormat/>
    <w:uiPriority w:val="0"/>
    <w:pPr>
      <w:ind w:firstLine="200" w:firstLineChars="200"/>
    </w:pPr>
    <w:rPr>
      <w:spacing w:val="14"/>
    </w:rPr>
  </w:style>
  <w:style w:type="character" w:customStyle="1" w:styleId="285">
    <w:name w:val="wj样式 Char"/>
    <w:link w:val="284"/>
    <w:autoRedefine/>
    <w:qFormat/>
    <w:uiPriority w:val="0"/>
    <w:rPr>
      <w:rFonts w:ascii="Times New Roman" w:hAnsi="Times New Roman" w:eastAsia="宋体" w:cs="Times New Roman"/>
      <w:spacing w:val="14"/>
      <w:sz w:val="24"/>
      <w:szCs w:val="24"/>
    </w:rPr>
  </w:style>
  <w:style w:type="character" w:customStyle="1" w:styleId="286">
    <w:name w:val="题注 字符1"/>
    <w:link w:val="22"/>
    <w:autoRedefine/>
    <w:qFormat/>
    <w:uiPriority w:val="0"/>
    <w:rPr>
      <w:rFonts w:ascii="Arial" w:hAnsi="Arial" w:eastAsia="黑体" w:cs="Arial"/>
      <w:sz w:val="20"/>
      <w:szCs w:val="20"/>
    </w:rPr>
  </w:style>
  <w:style w:type="paragraph" w:customStyle="1" w:styleId="287">
    <w:name w:val="报告正文"/>
    <w:basedOn w:val="1"/>
    <w:link w:val="288"/>
    <w:autoRedefine/>
    <w:qFormat/>
    <w:uiPriority w:val="0"/>
    <w:pPr>
      <w:ind w:firstLine="536" w:firstLineChars="200"/>
    </w:pPr>
    <w:rPr>
      <w:spacing w:val="14"/>
      <w:szCs w:val="20"/>
    </w:rPr>
  </w:style>
  <w:style w:type="character" w:customStyle="1" w:styleId="288">
    <w:name w:val="报告正文 Char1"/>
    <w:link w:val="287"/>
    <w:autoRedefine/>
    <w:qFormat/>
    <w:uiPriority w:val="0"/>
    <w:rPr>
      <w:rFonts w:ascii="Times New Roman" w:hAnsi="Times New Roman" w:eastAsia="宋体" w:cs="Times New Roman"/>
      <w:spacing w:val="14"/>
      <w:sz w:val="24"/>
      <w:szCs w:val="20"/>
    </w:rPr>
  </w:style>
  <w:style w:type="paragraph" w:customStyle="1" w:styleId="289">
    <w:name w:val="表格体"/>
    <w:basedOn w:val="1"/>
    <w:autoRedefine/>
    <w:qFormat/>
    <w:uiPriority w:val="0"/>
    <w:pPr>
      <w:adjustRightInd w:val="0"/>
      <w:snapToGrid w:val="0"/>
      <w:spacing w:line="240" w:lineRule="auto"/>
      <w:ind w:firstLine="0"/>
      <w:jc w:val="center"/>
    </w:pPr>
    <w:rPr>
      <w:sz w:val="21"/>
      <w:szCs w:val="20"/>
    </w:rPr>
  </w:style>
  <w:style w:type="paragraph" w:customStyle="1" w:styleId="290">
    <w:name w:val="sb-正文"/>
    <w:basedOn w:val="1"/>
    <w:autoRedefine/>
    <w:qFormat/>
    <w:uiPriority w:val="0"/>
    <w:pPr>
      <w:adjustRightInd w:val="0"/>
      <w:snapToGrid w:val="0"/>
      <w:ind w:firstLine="480" w:firstLineChars="200"/>
      <w:jc w:val="left"/>
    </w:pPr>
    <w:rPr>
      <w:rFonts w:cs="宋体"/>
      <w:szCs w:val="20"/>
    </w:rPr>
  </w:style>
  <w:style w:type="character" w:customStyle="1" w:styleId="291">
    <w:name w:val="标题一 Char"/>
    <w:autoRedefine/>
    <w:qFormat/>
    <w:uiPriority w:val="0"/>
    <w:rPr>
      <w:rFonts w:eastAsia="黑体"/>
      <w:bCs/>
      <w:color w:val="000000"/>
      <w:kern w:val="44"/>
      <w:sz w:val="30"/>
      <w:lang w:val="en-US" w:eastAsia="zh-CN" w:bidi="ar-SA"/>
    </w:rPr>
  </w:style>
  <w:style w:type="character" w:customStyle="1" w:styleId="292">
    <w:name w:val="标题二 Char"/>
    <w:autoRedefine/>
    <w:qFormat/>
    <w:uiPriority w:val="0"/>
    <w:rPr>
      <w:rFonts w:eastAsia="黑体"/>
      <w:sz w:val="28"/>
      <w:lang w:val="en-US" w:eastAsia="zh-CN" w:bidi="ar-SA"/>
    </w:rPr>
  </w:style>
  <w:style w:type="character" w:customStyle="1" w:styleId="293">
    <w:name w:val="标题三 Char"/>
    <w:autoRedefine/>
    <w:qFormat/>
    <w:uiPriority w:val="0"/>
    <w:rPr>
      <w:rFonts w:eastAsia="黑体"/>
      <w:kern w:val="2"/>
      <w:sz w:val="24"/>
      <w:szCs w:val="24"/>
      <w:lang w:val="en-US" w:eastAsia="zh-CN" w:bidi="ar-SA"/>
    </w:rPr>
  </w:style>
  <w:style w:type="paragraph" w:customStyle="1" w:styleId="294">
    <w:name w:val="1正文"/>
    <w:basedOn w:val="1"/>
    <w:link w:val="298"/>
    <w:autoRedefine/>
    <w:qFormat/>
    <w:uiPriority w:val="0"/>
    <w:pPr>
      <w:spacing w:line="500" w:lineRule="exact"/>
      <w:ind w:firstLine="588" w:firstLineChars="196"/>
    </w:pPr>
    <w:rPr>
      <w:rFonts w:eastAsia="楷体_GB2312"/>
      <w:sz w:val="30"/>
      <w:szCs w:val="30"/>
    </w:rPr>
  </w:style>
  <w:style w:type="paragraph" w:customStyle="1" w:styleId="295">
    <w:name w:val="Char Char Char Char Char Char"/>
    <w:basedOn w:val="1"/>
    <w:next w:val="2"/>
    <w:autoRedefine/>
    <w:qFormat/>
    <w:uiPriority w:val="0"/>
    <w:pPr>
      <w:spacing w:line="240" w:lineRule="auto"/>
      <w:ind w:firstLine="0"/>
    </w:pPr>
    <w:rPr>
      <w:sz w:val="28"/>
      <w:szCs w:val="28"/>
    </w:rPr>
  </w:style>
  <w:style w:type="character" w:customStyle="1" w:styleId="296">
    <w:name w:val="宏文本 字符1"/>
    <w:basedOn w:val="102"/>
    <w:link w:val="2"/>
    <w:autoRedefine/>
    <w:qFormat/>
    <w:uiPriority w:val="0"/>
    <w:rPr>
      <w:rFonts w:ascii="Courier New" w:hAnsi="Courier New" w:eastAsia="宋体" w:cs="Times New Roman"/>
      <w:sz w:val="24"/>
      <w:szCs w:val="24"/>
    </w:rPr>
  </w:style>
  <w:style w:type="paragraph" w:customStyle="1" w:styleId="297">
    <w:name w:val="正文*"/>
    <w:basedOn w:val="294"/>
    <w:link w:val="299"/>
    <w:autoRedefine/>
    <w:qFormat/>
    <w:uiPriority w:val="0"/>
  </w:style>
  <w:style w:type="character" w:customStyle="1" w:styleId="298">
    <w:name w:val="1正文 Char"/>
    <w:link w:val="294"/>
    <w:autoRedefine/>
    <w:qFormat/>
    <w:uiPriority w:val="0"/>
    <w:rPr>
      <w:rFonts w:ascii="Times New Roman" w:hAnsi="Times New Roman" w:eastAsia="楷体_GB2312" w:cs="Times New Roman"/>
      <w:sz w:val="30"/>
      <w:szCs w:val="30"/>
    </w:rPr>
  </w:style>
  <w:style w:type="character" w:customStyle="1" w:styleId="299">
    <w:name w:val="正文* Char"/>
    <w:basedOn w:val="298"/>
    <w:link w:val="297"/>
    <w:autoRedefine/>
    <w:qFormat/>
    <w:uiPriority w:val="0"/>
    <w:rPr>
      <w:rFonts w:ascii="Times New Roman" w:hAnsi="Times New Roman" w:eastAsia="楷体_GB2312" w:cs="Times New Roman"/>
      <w:sz w:val="30"/>
      <w:szCs w:val="30"/>
    </w:rPr>
  </w:style>
  <w:style w:type="paragraph" w:customStyle="1" w:styleId="300">
    <w:name w:val="样式 标题 4标题 4 Char + 段前: 195.6 磅"/>
    <w:basedOn w:val="6"/>
    <w:autoRedefine/>
    <w:qFormat/>
    <w:uiPriority w:val="0"/>
    <w:pPr>
      <w:tabs>
        <w:tab w:val="left" w:pos="864"/>
      </w:tabs>
      <w:spacing w:before="160" w:after="160" w:line="240" w:lineRule="auto"/>
      <w:ind w:left="862" w:hanging="862"/>
    </w:pPr>
    <w:rPr>
      <w:rFonts w:ascii="Times New Roman" w:hAnsi="Times New Roman" w:eastAsia="宋体" w:cs="宋体"/>
      <w:b w:val="0"/>
      <w:bCs w:val="0"/>
      <w:szCs w:val="20"/>
    </w:rPr>
  </w:style>
  <w:style w:type="paragraph" w:customStyle="1" w:styleId="301">
    <w:name w:val="样式 标题 4 + Times New Roman 黑色"/>
    <w:basedOn w:val="6"/>
    <w:autoRedefine/>
    <w:qFormat/>
    <w:uiPriority w:val="0"/>
    <w:pPr>
      <w:widowControl/>
      <w:numPr>
        <w:ilvl w:val="3"/>
        <w:numId w:val="1"/>
      </w:numPr>
      <w:spacing w:before="0" w:after="0" w:line="240" w:lineRule="auto"/>
      <w:jc w:val="left"/>
    </w:pPr>
    <w:rPr>
      <w:rFonts w:ascii="Times New Roman" w:hAnsi="Times New Roman" w:eastAsia="宋体"/>
      <w:b w:val="0"/>
      <w:color w:val="000000"/>
      <w:kern w:val="0"/>
    </w:rPr>
  </w:style>
  <w:style w:type="paragraph" w:customStyle="1" w:styleId="302">
    <w:name w:val="样式 标题 1 + Times New Roman 加粗"/>
    <w:basedOn w:val="3"/>
    <w:autoRedefine/>
    <w:qFormat/>
    <w:uiPriority w:val="0"/>
    <w:pPr>
      <w:keepNext w:val="0"/>
      <w:keepLines w:val="0"/>
      <w:pageBreakBefore/>
      <w:spacing w:before="100" w:beforeAutospacing="1" w:after="320" w:line="240" w:lineRule="auto"/>
      <w:jc w:val="center"/>
      <w:textAlignment w:val="auto"/>
    </w:pPr>
    <w:rPr>
      <w:b/>
      <w:color w:val="auto"/>
      <w:sz w:val="44"/>
      <w:szCs w:val="44"/>
    </w:rPr>
  </w:style>
  <w:style w:type="paragraph" w:customStyle="1" w:styleId="303">
    <w:name w:val="样式 标题 2 + Times New Roman 黑色"/>
    <w:basedOn w:val="4"/>
    <w:autoRedefine/>
    <w:qFormat/>
    <w:uiPriority w:val="0"/>
    <w:pPr>
      <w:widowControl/>
      <w:numPr>
        <w:ilvl w:val="1"/>
        <w:numId w:val="1"/>
      </w:numPr>
      <w:spacing w:before="240" w:after="240" w:line="240" w:lineRule="auto"/>
      <w:textAlignment w:val="auto"/>
    </w:pPr>
    <w:rPr>
      <w:bCs/>
      <w:color w:val="000000"/>
      <w:sz w:val="32"/>
      <w:szCs w:val="32"/>
    </w:rPr>
  </w:style>
  <w:style w:type="paragraph" w:customStyle="1" w:styleId="304">
    <w:name w:val="样式 标题 3 + 小三 非加粗 黑色"/>
    <w:basedOn w:val="5"/>
    <w:autoRedefine/>
    <w:qFormat/>
    <w:uiPriority w:val="0"/>
    <w:pPr>
      <w:keepNext/>
      <w:keepLines/>
      <w:widowControl/>
      <w:numPr>
        <w:ilvl w:val="2"/>
        <w:numId w:val="1"/>
      </w:numPr>
      <w:spacing w:before="120" w:after="120" w:line="240" w:lineRule="auto"/>
    </w:pPr>
    <w:rPr>
      <w:color w:val="000000"/>
      <w:kern w:val="0"/>
      <w:sz w:val="30"/>
      <w:szCs w:val="30"/>
    </w:rPr>
  </w:style>
  <w:style w:type="paragraph" w:customStyle="1" w:styleId="305">
    <w:name w:val="样式 标题 4 + 非加粗 段前: 6 磅 段后: 6 磅 行距: 单倍行距"/>
    <w:basedOn w:val="6"/>
    <w:autoRedefine/>
    <w:qFormat/>
    <w:uiPriority w:val="0"/>
    <w:pPr>
      <w:widowControl/>
      <w:spacing w:before="120" w:after="120" w:line="240" w:lineRule="auto"/>
      <w:ind w:firstLine="0"/>
      <w:jc w:val="left"/>
    </w:pPr>
    <w:rPr>
      <w:rFonts w:cs="宋体"/>
      <w:b w:val="0"/>
      <w:bCs w:val="0"/>
      <w:kern w:val="0"/>
    </w:rPr>
  </w:style>
  <w:style w:type="paragraph" w:customStyle="1" w:styleId="306">
    <w:name w:val="已访问的超链接1"/>
    <w:autoRedefine/>
    <w:qFormat/>
    <w:uiPriority w:val="99"/>
    <w:pPr>
      <w:widowControl w:val="0"/>
      <w:spacing w:line="360" w:lineRule="auto"/>
      <w:ind w:firstLine="420"/>
      <w:jc w:val="both"/>
    </w:pPr>
    <w:rPr>
      <w:rFonts w:ascii="Times New Roman" w:hAnsi="Times New Roman" w:eastAsia="宋体" w:cs="Times New Roman"/>
      <w:kern w:val="2"/>
      <w:sz w:val="24"/>
      <w:szCs w:val="24"/>
      <w:lang w:val="en-US" w:eastAsia="zh-CN" w:bidi="ar-SA"/>
    </w:rPr>
  </w:style>
  <w:style w:type="paragraph" w:customStyle="1" w:styleId="307">
    <w:name w:val="正文tab"/>
    <w:basedOn w:val="1"/>
    <w:autoRedefine/>
    <w:qFormat/>
    <w:uiPriority w:val="0"/>
    <w:pPr>
      <w:spacing w:beforeLines="20" w:afterLines="20" w:line="360" w:lineRule="atLeast"/>
      <w:ind w:firstLine="0"/>
      <w:jc w:val="center"/>
    </w:pPr>
    <w:rPr>
      <w:sz w:val="21"/>
      <w:szCs w:val="28"/>
    </w:rPr>
  </w:style>
  <w:style w:type="paragraph" w:customStyle="1" w:styleId="308">
    <w:name w:val="样式2"/>
    <w:basedOn w:val="57"/>
    <w:link w:val="1429"/>
    <w:autoRedefine/>
    <w:qFormat/>
    <w:uiPriority w:val="0"/>
    <w:pPr>
      <w:widowControl/>
      <w:pBdr>
        <w:bottom w:val="none" w:color="auto" w:sz="0" w:space="0"/>
      </w:pBdr>
    </w:pPr>
    <w:rPr>
      <w:kern w:val="0"/>
    </w:rPr>
  </w:style>
  <w:style w:type="paragraph" w:customStyle="1" w:styleId="309">
    <w:name w:val="样式3"/>
    <w:basedOn w:val="5"/>
    <w:link w:val="391"/>
    <w:autoRedefine/>
    <w:qFormat/>
    <w:uiPriority w:val="0"/>
    <w:pPr>
      <w:keepNext/>
      <w:keepLines/>
      <w:widowControl/>
      <w:numPr>
        <w:ilvl w:val="2"/>
        <w:numId w:val="2"/>
      </w:numPr>
      <w:spacing w:before="260" w:after="260" w:line="415" w:lineRule="auto"/>
    </w:pPr>
    <w:rPr>
      <w:rFonts w:ascii="宋体" w:hAnsi="宋体" w:eastAsia="宋体"/>
      <w:b/>
      <w:bCs/>
      <w:color w:val="000000"/>
      <w:kern w:val="0"/>
      <w:sz w:val="30"/>
      <w:szCs w:val="30"/>
    </w:rPr>
  </w:style>
  <w:style w:type="paragraph" w:customStyle="1" w:styleId="310">
    <w:name w:val="样式 标题 1 + 加粗"/>
    <w:basedOn w:val="3"/>
    <w:autoRedefine/>
    <w:qFormat/>
    <w:uiPriority w:val="0"/>
    <w:pPr>
      <w:widowControl/>
      <w:spacing w:before="340" w:after="330" w:line="578" w:lineRule="auto"/>
      <w:textAlignment w:val="auto"/>
    </w:pPr>
    <w:rPr>
      <w:rFonts w:ascii="宋体" w:hAnsi="宋体" w:eastAsia="宋体"/>
      <w:b/>
      <w:color w:val="auto"/>
      <w:sz w:val="36"/>
      <w:szCs w:val="36"/>
    </w:rPr>
  </w:style>
  <w:style w:type="paragraph" w:customStyle="1" w:styleId="311">
    <w:name w:val="样式 标题 1 + 加粗 黑色 两端对齐"/>
    <w:basedOn w:val="3"/>
    <w:autoRedefine/>
    <w:qFormat/>
    <w:uiPriority w:val="0"/>
    <w:pPr>
      <w:widowControl/>
      <w:numPr>
        <w:ilvl w:val="0"/>
        <w:numId w:val="3"/>
      </w:numPr>
      <w:spacing w:before="340" w:after="330" w:line="578" w:lineRule="auto"/>
      <w:jc w:val="both"/>
      <w:textAlignment w:val="auto"/>
    </w:pPr>
    <w:rPr>
      <w:rFonts w:ascii="宋体" w:hAnsi="宋体" w:eastAsia="宋体" w:cs="宋体"/>
      <w:b/>
      <w:sz w:val="36"/>
    </w:rPr>
  </w:style>
  <w:style w:type="paragraph" w:customStyle="1" w:styleId="312">
    <w:name w:val="样式 标题 1 + 加粗 黑色 两端对齐1"/>
    <w:basedOn w:val="3"/>
    <w:autoRedefine/>
    <w:qFormat/>
    <w:uiPriority w:val="0"/>
    <w:pPr>
      <w:widowControl/>
      <w:numPr>
        <w:ilvl w:val="0"/>
        <w:numId w:val="4"/>
      </w:numPr>
      <w:spacing w:before="340" w:after="330" w:line="578" w:lineRule="auto"/>
      <w:jc w:val="both"/>
      <w:textAlignment w:val="auto"/>
    </w:pPr>
    <w:rPr>
      <w:rFonts w:ascii="宋体" w:hAnsi="宋体" w:eastAsia="宋体" w:cs="宋体"/>
      <w:b/>
      <w:sz w:val="36"/>
    </w:rPr>
  </w:style>
  <w:style w:type="paragraph" w:customStyle="1" w:styleId="313">
    <w:name w:val="样式 宋体 四号 首行缩进:  2.07 字符"/>
    <w:basedOn w:val="1"/>
    <w:autoRedefine/>
    <w:qFormat/>
    <w:uiPriority w:val="0"/>
    <w:pPr>
      <w:widowControl/>
      <w:spacing w:line="240" w:lineRule="auto"/>
      <w:ind w:firstLine="580" w:firstLineChars="207"/>
      <w:jc w:val="left"/>
    </w:pPr>
    <w:rPr>
      <w:rFonts w:cs="宋体"/>
      <w:kern w:val="0"/>
      <w:sz w:val="28"/>
      <w:szCs w:val="28"/>
    </w:rPr>
  </w:style>
  <w:style w:type="paragraph" w:customStyle="1" w:styleId="314">
    <w:name w:val="样式 宋体 四号 首行缩进:  26.25 磅"/>
    <w:basedOn w:val="1"/>
    <w:autoRedefine/>
    <w:qFormat/>
    <w:uiPriority w:val="0"/>
    <w:pPr>
      <w:widowControl/>
      <w:spacing w:line="240" w:lineRule="auto"/>
      <w:ind w:firstLine="525"/>
      <w:jc w:val="left"/>
    </w:pPr>
    <w:rPr>
      <w:rFonts w:cs="宋体"/>
      <w:kern w:val="0"/>
      <w:sz w:val="28"/>
      <w:szCs w:val="28"/>
    </w:rPr>
  </w:style>
  <w:style w:type="paragraph" w:customStyle="1" w:styleId="315">
    <w:name w:val="样式 宋体 四号 两端对齐 首行缩进:  2 字符"/>
    <w:basedOn w:val="1"/>
    <w:autoRedefine/>
    <w:qFormat/>
    <w:uiPriority w:val="0"/>
    <w:pPr>
      <w:widowControl/>
      <w:spacing w:line="240" w:lineRule="auto"/>
      <w:ind w:firstLine="560" w:firstLineChars="200"/>
    </w:pPr>
    <w:rPr>
      <w:rFonts w:cs="宋体"/>
      <w:kern w:val="0"/>
      <w:sz w:val="28"/>
      <w:szCs w:val="28"/>
    </w:rPr>
  </w:style>
  <w:style w:type="paragraph" w:customStyle="1" w:styleId="316">
    <w:name w:val="样式 正文缩进正文（首行缩进两字）首行缩进 + 宋体 四号 两端对齐 Char Char"/>
    <w:basedOn w:val="21"/>
    <w:link w:val="330"/>
    <w:autoRedefine/>
    <w:qFormat/>
    <w:uiPriority w:val="0"/>
    <w:pPr>
      <w:widowControl/>
      <w:spacing w:line="240" w:lineRule="auto"/>
      <w:ind w:firstLine="420"/>
    </w:pPr>
    <w:rPr>
      <w:rFonts w:cs="宋体"/>
      <w:kern w:val="0"/>
      <w:sz w:val="28"/>
      <w:szCs w:val="28"/>
    </w:rPr>
  </w:style>
  <w:style w:type="paragraph" w:customStyle="1" w:styleId="317">
    <w:name w:val="样式 宋体 四号 两端对齐 首行缩进:  2 字符1"/>
    <w:basedOn w:val="1"/>
    <w:autoRedefine/>
    <w:qFormat/>
    <w:uiPriority w:val="0"/>
    <w:pPr>
      <w:widowControl/>
      <w:spacing w:line="240" w:lineRule="auto"/>
      <w:ind w:firstLine="650" w:firstLineChars="200"/>
    </w:pPr>
    <w:rPr>
      <w:rFonts w:cs="宋体"/>
      <w:kern w:val="0"/>
      <w:sz w:val="28"/>
      <w:szCs w:val="28"/>
    </w:rPr>
  </w:style>
  <w:style w:type="paragraph" w:customStyle="1" w:styleId="318">
    <w:name w:val="样式 宋体 四号 黑色 两端对齐 首行缩进:  2 字符"/>
    <w:basedOn w:val="1"/>
    <w:link w:val="333"/>
    <w:autoRedefine/>
    <w:qFormat/>
    <w:uiPriority w:val="0"/>
    <w:pPr>
      <w:widowControl/>
      <w:spacing w:line="240" w:lineRule="auto"/>
      <w:ind w:firstLine="650" w:firstLineChars="200"/>
    </w:pPr>
    <w:rPr>
      <w:rFonts w:cs="宋体"/>
      <w:color w:val="000000"/>
      <w:kern w:val="0"/>
      <w:sz w:val="28"/>
      <w:szCs w:val="28"/>
    </w:rPr>
  </w:style>
  <w:style w:type="character" w:customStyle="1" w:styleId="319">
    <w:name w:val="样式 宋体 四号"/>
    <w:autoRedefine/>
    <w:qFormat/>
    <w:uiPriority w:val="0"/>
    <w:rPr>
      <w:rFonts w:ascii="Times New Roman" w:hAnsi="Times New Roman"/>
      <w:sz w:val="28"/>
      <w:szCs w:val="28"/>
    </w:rPr>
  </w:style>
  <w:style w:type="paragraph" w:customStyle="1" w:styleId="320">
    <w:name w:val="样式 宋体 四号 黑色 两端对齐 首行缩进:  2 字符1"/>
    <w:basedOn w:val="1"/>
    <w:autoRedefine/>
    <w:qFormat/>
    <w:uiPriority w:val="0"/>
    <w:pPr>
      <w:widowControl/>
      <w:spacing w:line="240" w:lineRule="auto"/>
      <w:ind w:firstLine="560" w:firstLineChars="200"/>
    </w:pPr>
    <w:rPr>
      <w:rFonts w:cs="宋体"/>
      <w:color w:val="000000"/>
      <w:kern w:val="0"/>
      <w:sz w:val="28"/>
      <w:szCs w:val="28"/>
    </w:rPr>
  </w:style>
  <w:style w:type="paragraph" w:customStyle="1" w:styleId="321">
    <w:name w:val="样式 标题 4 + Times New Roman 黑色1"/>
    <w:basedOn w:val="6"/>
    <w:autoRedefine/>
    <w:qFormat/>
    <w:uiPriority w:val="0"/>
    <w:pPr>
      <w:widowControl/>
      <w:spacing w:after="200" w:line="377" w:lineRule="auto"/>
      <w:ind w:firstLine="0"/>
      <w:jc w:val="left"/>
    </w:pPr>
    <w:rPr>
      <w:rFonts w:ascii="Times New Roman" w:hAnsi="Times New Roman"/>
      <w:color w:val="000000"/>
      <w:kern w:val="0"/>
    </w:rPr>
  </w:style>
  <w:style w:type="paragraph" w:customStyle="1" w:styleId="322">
    <w:name w:val="样式 标题 4 + Times New Roman 黑色2"/>
    <w:basedOn w:val="6"/>
    <w:autoRedefine/>
    <w:qFormat/>
    <w:uiPriority w:val="0"/>
    <w:pPr>
      <w:widowControl/>
      <w:spacing w:line="240" w:lineRule="auto"/>
      <w:ind w:firstLine="0"/>
      <w:jc w:val="left"/>
    </w:pPr>
    <w:rPr>
      <w:rFonts w:ascii="Times New Roman" w:hAnsi="Times New Roman"/>
      <w:color w:val="000000"/>
      <w:kern w:val="0"/>
    </w:rPr>
  </w:style>
  <w:style w:type="paragraph" w:customStyle="1" w:styleId="323">
    <w:name w:val="样式 标题 1 + Times New Roman 加粗 黑色 两端对齐"/>
    <w:basedOn w:val="3"/>
    <w:autoRedefine/>
    <w:qFormat/>
    <w:uiPriority w:val="0"/>
    <w:pPr>
      <w:widowControl/>
      <w:spacing w:before="340" w:after="330"/>
      <w:jc w:val="both"/>
      <w:textAlignment w:val="auto"/>
    </w:pPr>
    <w:rPr>
      <w:rFonts w:eastAsia="宋体" w:cs="宋体"/>
      <w:b/>
      <w:sz w:val="36"/>
    </w:rPr>
  </w:style>
  <w:style w:type="paragraph" w:customStyle="1" w:styleId="324">
    <w:name w:val="样式 标题 1 + Times New Roman 加粗 黑色 两端对齐1"/>
    <w:basedOn w:val="3"/>
    <w:autoRedefine/>
    <w:qFormat/>
    <w:uiPriority w:val="0"/>
    <w:pPr>
      <w:widowControl/>
      <w:spacing w:before="340" w:after="330" w:line="480" w:lineRule="auto"/>
      <w:jc w:val="both"/>
      <w:textAlignment w:val="auto"/>
    </w:pPr>
    <w:rPr>
      <w:rFonts w:eastAsia="宋体" w:cs="宋体"/>
      <w:b/>
      <w:sz w:val="36"/>
    </w:rPr>
  </w:style>
  <w:style w:type="paragraph" w:customStyle="1" w:styleId="325">
    <w:name w:val="样式 标题 1 + Times New Roman 加粗 黑色 两端对齐2"/>
    <w:basedOn w:val="3"/>
    <w:autoRedefine/>
    <w:qFormat/>
    <w:uiPriority w:val="0"/>
    <w:pPr>
      <w:widowControl/>
      <w:spacing w:before="340" w:after="330"/>
      <w:jc w:val="both"/>
      <w:textAlignment w:val="auto"/>
    </w:pPr>
    <w:rPr>
      <w:rFonts w:eastAsia="宋体" w:cs="宋体"/>
      <w:b/>
      <w:sz w:val="36"/>
    </w:rPr>
  </w:style>
  <w:style w:type="paragraph" w:customStyle="1" w:styleId="326">
    <w:name w:val="样式 两端对齐 右侧:  1.3 磅"/>
    <w:basedOn w:val="1"/>
    <w:autoRedefine/>
    <w:qFormat/>
    <w:uiPriority w:val="0"/>
    <w:pPr>
      <w:widowControl/>
      <w:spacing w:line="240" w:lineRule="auto"/>
      <w:ind w:firstLine="200" w:firstLineChars="200"/>
    </w:pPr>
    <w:rPr>
      <w:rFonts w:cs="宋体"/>
      <w:kern w:val="0"/>
      <w:sz w:val="28"/>
      <w:szCs w:val="20"/>
    </w:rPr>
  </w:style>
  <w:style w:type="paragraph" w:customStyle="1" w:styleId="327">
    <w:name w:val="样式 样式 两端对齐 右侧:  1.3 磅 + 首行缩进:  2 字符"/>
    <w:basedOn w:val="326"/>
    <w:autoRedefine/>
    <w:qFormat/>
    <w:uiPriority w:val="0"/>
    <w:pPr>
      <w:adjustRightInd w:val="0"/>
    </w:pPr>
  </w:style>
  <w:style w:type="paragraph" w:customStyle="1" w:styleId="328">
    <w:name w:val="样式 标题 1 + 加粗 两端对齐"/>
    <w:basedOn w:val="3"/>
    <w:autoRedefine/>
    <w:qFormat/>
    <w:uiPriority w:val="0"/>
    <w:pPr>
      <w:widowControl/>
      <w:spacing w:before="340" w:after="330"/>
      <w:jc w:val="both"/>
      <w:textAlignment w:val="auto"/>
    </w:pPr>
    <w:rPr>
      <w:rFonts w:ascii="宋体" w:hAnsi="宋体" w:eastAsia="宋体" w:cs="宋体"/>
      <w:b/>
      <w:color w:val="auto"/>
      <w:sz w:val="36"/>
    </w:rPr>
  </w:style>
  <w:style w:type="paragraph" w:customStyle="1" w:styleId="329">
    <w:name w:val="样式 标题 1 + Times New Roman 加粗1"/>
    <w:basedOn w:val="3"/>
    <w:autoRedefine/>
    <w:qFormat/>
    <w:uiPriority w:val="0"/>
    <w:pPr>
      <w:widowControl/>
      <w:spacing w:before="340" w:after="330" w:line="240" w:lineRule="auto"/>
      <w:textAlignment w:val="auto"/>
    </w:pPr>
    <w:rPr>
      <w:rFonts w:eastAsia="宋体"/>
      <w:b/>
      <w:color w:val="auto"/>
      <w:sz w:val="36"/>
      <w:szCs w:val="36"/>
    </w:rPr>
  </w:style>
  <w:style w:type="character" w:customStyle="1" w:styleId="330">
    <w:name w:val="样式 正文缩进正文（首行缩进两字）首行缩进 + 宋体 四号 两端对齐 Char Char Char"/>
    <w:link w:val="316"/>
    <w:autoRedefine/>
    <w:qFormat/>
    <w:uiPriority w:val="0"/>
    <w:rPr>
      <w:rFonts w:ascii="Times New Roman" w:hAnsi="Times New Roman" w:eastAsia="宋体" w:cs="宋体"/>
      <w:kern w:val="0"/>
      <w:sz w:val="28"/>
      <w:szCs w:val="28"/>
    </w:rPr>
  </w:style>
  <w:style w:type="paragraph" w:customStyle="1" w:styleId="331">
    <w:name w:val="样式 样式 宋体 四号 黑色 两端对齐 首行缩进:  2 字符 + 首行缩进:  2 字符"/>
    <w:basedOn w:val="318"/>
    <w:autoRedefine/>
    <w:qFormat/>
    <w:uiPriority w:val="0"/>
    <w:pPr>
      <w:ind w:firstLine="560"/>
    </w:pPr>
    <w:rPr>
      <w:color w:val="auto"/>
    </w:rPr>
  </w:style>
  <w:style w:type="character" w:customStyle="1" w:styleId="332">
    <w:name w:val="样式 黑色"/>
    <w:autoRedefine/>
    <w:qFormat/>
    <w:uiPriority w:val="0"/>
    <w:rPr>
      <w:rFonts w:eastAsia="宋体"/>
      <w:color w:val="auto"/>
      <w:sz w:val="28"/>
      <w:szCs w:val="28"/>
    </w:rPr>
  </w:style>
  <w:style w:type="character" w:customStyle="1" w:styleId="333">
    <w:name w:val="样式 宋体 四号 黑色 两端对齐 首行缩进:  2 字符 Char"/>
    <w:link w:val="318"/>
    <w:autoRedefine/>
    <w:qFormat/>
    <w:uiPriority w:val="0"/>
    <w:rPr>
      <w:rFonts w:ascii="Times New Roman" w:hAnsi="Times New Roman" w:eastAsia="宋体" w:cs="宋体"/>
      <w:color w:val="000000"/>
      <w:kern w:val="0"/>
      <w:sz w:val="28"/>
      <w:szCs w:val="28"/>
    </w:rPr>
  </w:style>
  <w:style w:type="paragraph" w:customStyle="1" w:styleId="334">
    <w:name w:val="样式 两端对齐 首行缩进:  2 字符"/>
    <w:basedOn w:val="1"/>
    <w:link w:val="512"/>
    <w:autoRedefine/>
    <w:qFormat/>
    <w:uiPriority w:val="0"/>
    <w:pPr>
      <w:widowControl/>
      <w:spacing w:line="240" w:lineRule="auto"/>
      <w:ind w:firstLine="560" w:firstLineChars="200"/>
    </w:pPr>
    <w:rPr>
      <w:rFonts w:cs="宋体"/>
      <w:kern w:val="0"/>
      <w:sz w:val="28"/>
      <w:szCs w:val="28"/>
    </w:rPr>
  </w:style>
  <w:style w:type="paragraph" w:customStyle="1" w:styleId="335">
    <w:name w:val="正文a"/>
    <w:basedOn w:val="34"/>
    <w:autoRedefine/>
    <w:qFormat/>
    <w:uiPriority w:val="0"/>
    <w:pPr>
      <w:spacing w:after="0" w:line="20" w:lineRule="atLeast"/>
      <w:ind w:firstLine="567" w:firstLineChars="200"/>
      <w:outlineLvl w:val="0"/>
    </w:pPr>
    <w:rPr>
      <w:rFonts w:ascii="宋体" w:hAnsi="宋体"/>
      <w:spacing w:val="20"/>
      <w:position w:val="6"/>
      <w:sz w:val="28"/>
    </w:rPr>
  </w:style>
  <w:style w:type="paragraph" w:customStyle="1" w:styleId="336">
    <w:name w:val="表一+ 小四号居中对齐"/>
    <w:basedOn w:val="51"/>
    <w:link w:val="337"/>
    <w:autoRedefine/>
    <w:qFormat/>
    <w:uiPriority w:val="0"/>
    <w:pPr>
      <w:spacing w:after="0" w:line="20" w:lineRule="atLeast"/>
      <w:ind w:left="0" w:leftChars="0"/>
      <w:jc w:val="center"/>
    </w:pPr>
    <w:rPr>
      <w:rFonts w:ascii="宋体" w:hAnsi="宋体"/>
      <w:kern w:val="0"/>
      <w:sz w:val="21"/>
      <w:szCs w:val="21"/>
    </w:rPr>
  </w:style>
  <w:style w:type="character" w:customStyle="1" w:styleId="337">
    <w:name w:val="表一+ 小四号居中对齐 Char"/>
    <w:link w:val="336"/>
    <w:autoRedefine/>
    <w:qFormat/>
    <w:uiPriority w:val="0"/>
    <w:rPr>
      <w:rFonts w:ascii="宋体" w:hAnsi="宋体" w:eastAsia="宋体" w:cs="Times New Roman"/>
      <w:kern w:val="0"/>
      <w:szCs w:val="21"/>
    </w:rPr>
  </w:style>
  <w:style w:type="paragraph" w:customStyle="1" w:styleId="338">
    <w:name w:val="表+小四左对齐"/>
    <w:basedOn w:val="51"/>
    <w:autoRedefine/>
    <w:qFormat/>
    <w:uiPriority w:val="0"/>
    <w:pPr>
      <w:spacing w:after="0" w:line="0" w:lineRule="atLeast"/>
      <w:ind w:left="0" w:leftChars="0"/>
      <w:jc w:val="left"/>
    </w:pPr>
    <w:rPr>
      <w:rFonts w:ascii="宋体" w:hAnsi="宋体"/>
      <w:spacing w:val="-12"/>
      <w:kern w:val="0"/>
    </w:rPr>
  </w:style>
  <w:style w:type="paragraph" w:customStyle="1" w:styleId="339">
    <w:name w:val="TableText"/>
    <w:basedOn w:val="1"/>
    <w:autoRedefine/>
    <w:qFormat/>
    <w:uiPriority w:val="0"/>
    <w:pPr>
      <w:spacing w:line="360" w:lineRule="atLeast"/>
      <w:ind w:firstLine="0"/>
    </w:pPr>
    <w:rPr>
      <w:sz w:val="21"/>
    </w:rPr>
  </w:style>
  <w:style w:type="paragraph" w:customStyle="1" w:styleId="340">
    <w:name w:val="样式 样式 标题 4 + Times New Roman 黑色 + 段前: 6 行 段后: 6 行"/>
    <w:basedOn w:val="301"/>
    <w:autoRedefine/>
    <w:qFormat/>
    <w:uiPriority w:val="0"/>
    <w:pPr>
      <w:keepNext w:val="0"/>
      <w:keepLines w:val="0"/>
      <w:widowControl w:val="0"/>
      <w:numPr>
        <w:ilvl w:val="0"/>
        <w:numId w:val="0"/>
      </w:numPr>
      <w:tabs>
        <w:tab w:val="left" w:pos="1680"/>
      </w:tabs>
      <w:spacing w:before="120" w:after="120"/>
      <w:ind w:left="1680" w:hanging="420"/>
    </w:pPr>
    <w:rPr>
      <w:rFonts w:cs="宋体"/>
      <w:bCs w:val="0"/>
      <w:szCs w:val="20"/>
    </w:rPr>
  </w:style>
  <w:style w:type="paragraph" w:customStyle="1" w:styleId="341">
    <w:name w:val="样式 样式 标题 4 + Times New Roman 黑色 + 段前: 158.1 磅 段后: 158.1 磅"/>
    <w:basedOn w:val="301"/>
    <w:autoRedefine/>
    <w:qFormat/>
    <w:uiPriority w:val="0"/>
    <w:pPr>
      <w:keepNext w:val="0"/>
      <w:keepLines w:val="0"/>
      <w:widowControl w:val="0"/>
      <w:numPr>
        <w:ilvl w:val="0"/>
        <w:numId w:val="0"/>
      </w:numPr>
      <w:tabs>
        <w:tab w:val="left" w:pos="1680"/>
      </w:tabs>
      <w:spacing w:before="120" w:after="120"/>
      <w:ind w:left="1680" w:hanging="420"/>
    </w:pPr>
    <w:rPr>
      <w:rFonts w:cs="宋体"/>
      <w:bCs w:val="0"/>
      <w:szCs w:val="20"/>
    </w:rPr>
  </w:style>
  <w:style w:type="paragraph" w:customStyle="1" w:styleId="342">
    <w:name w:val="样式 样式 标题 4 + Times New Roman 黑色 + 自动设置 段前: 158.1 磅 段后: 158.1 磅"/>
    <w:basedOn w:val="301"/>
    <w:autoRedefine/>
    <w:qFormat/>
    <w:uiPriority w:val="0"/>
    <w:pPr>
      <w:numPr>
        <w:ilvl w:val="0"/>
        <w:numId w:val="0"/>
      </w:numPr>
      <w:tabs>
        <w:tab w:val="left" w:pos="1680"/>
      </w:tabs>
      <w:spacing w:before="120" w:after="120"/>
      <w:ind w:left="1680" w:hanging="420"/>
    </w:pPr>
    <w:rPr>
      <w:rFonts w:cs="宋体"/>
      <w:bCs w:val="0"/>
      <w:color w:val="auto"/>
      <w:szCs w:val="20"/>
    </w:rPr>
  </w:style>
  <w:style w:type="paragraph" w:customStyle="1" w:styleId="343">
    <w:name w:val="样式 样式 标题 4 + Times New Roman 黑色 + 段前: 179.1 磅 段后: 179.1 磅"/>
    <w:basedOn w:val="301"/>
    <w:autoRedefine/>
    <w:qFormat/>
    <w:uiPriority w:val="0"/>
    <w:pPr>
      <w:keepNext w:val="0"/>
      <w:keepLines w:val="0"/>
      <w:widowControl w:val="0"/>
      <w:numPr>
        <w:ilvl w:val="0"/>
        <w:numId w:val="0"/>
      </w:numPr>
      <w:tabs>
        <w:tab w:val="left" w:pos="1680"/>
      </w:tabs>
      <w:spacing w:before="120" w:after="120"/>
      <w:ind w:left="1680" w:hanging="420"/>
    </w:pPr>
    <w:rPr>
      <w:rFonts w:cs="宋体"/>
      <w:bCs w:val="0"/>
      <w:szCs w:val="20"/>
    </w:rPr>
  </w:style>
  <w:style w:type="paragraph" w:customStyle="1" w:styleId="344">
    <w:name w:val="样式 样式 标题 4 + Times New Roman 黑色 + 宋体 段前: 179.1 磅 段后: 179.1 磅"/>
    <w:basedOn w:val="301"/>
    <w:autoRedefine/>
    <w:qFormat/>
    <w:uiPriority w:val="0"/>
    <w:pPr>
      <w:numPr>
        <w:ilvl w:val="0"/>
        <w:numId w:val="0"/>
      </w:numPr>
      <w:tabs>
        <w:tab w:val="left" w:pos="1680"/>
      </w:tabs>
      <w:spacing w:before="120" w:after="120"/>
      <w:ind w:left="1680" w:hanging="420"/>
    </w:pPr>
    <w:rPr>
      <w:rFonts w:ascii="宋体" w:hAnsi="宋体" w:cs="宋体"/>
      <w:bCs w:val="0"/>
      <w:szCs w:val="20"/>
    </w:rPr>
  </w:style>
  <w:style w:type="paragraph" w:customStyle="1" w:styleId="345">
    <w:name w:val="1.1.1"/>
    <w:basedOn w:val="1"/>
    <w:next w:val="1"/>
    <w:autoRedefine/>
    <w:qFormat/>
    <w:uiPriority w:val="0"/>
    <w:pPr>
      <w:adjustRightInd w:val="0"/>
      <w:spacing w:before="120" w:after="120" w:line="240" w:lineRule="auto"/>
      <w:ind w:firstLine="0"/>
      <w:outlineLvl w:val="2"/>
    </w:pPr>
    <w:rPr>
      <w:rFonts w:ascii="宋体" w:hAnsi="宋体"/>
      <w:b/>
      <w:sz w:val="30"/>
      <w:szCs w:val="30"/>
    </w:rPr>
  </w:style>
  <w:style w:type="paragraph" w:customStyle="1" w:styleId="346">
    <w:name w:val="font5"/>
    <w:basedOn w:val="1"/>
    <w:autoRedefine/>
    <w:qFormat/>
    <w:uiPriority w:val="0"/>
    <w:pPr>
      <w:widowControl/>
      <w:spacing w:before="100" w:beforeAutospacing="1" w:after="100" w:afterAutospacing="1" w:line="240" w:lineRule="auto"/>
      <w:ind w:firstLine="0"/>
      <w:jc w:val="left"/>
    </w:pPr>
    <w:rPr>
      <w:rFonts w:ascii="仿宋_GB2312" w:hAnsi="宋体" w:eastAsia="仿宋_GB2312" w:cs="宋体"/>
      <w:kern w:val="0"/>
      <w:sz w:val="18"/>
      <w:szCs w:val="18"/>
    </w:rPr>
  </w:style>
  <w:style w:type="paragraph" w:customStyle="1" w:styleId="347">
    <w:name w:val="font6"/>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paragraph" w:customStyle="1" w:styleId="348">
    <w:name w:val="font7"/>
    <w:basedOn w:val="1"/>
    <w:autoRedefine/>
    <w:qFormat/>
    <w:uiPriority w:val="0"/>
    <w:pPr>
      <w:widowControl/>
      <w:spacing w:before="100" w:beforeAutospacing="1" w:after="100" w:afterAutospacing="1" w:line="240" w:lineRule="auto"/>
      <w:ind w:firstLine="0"/>
      <w:jc w:val="left"/>
    </w:pPr>
    <w:rPr>
      <w:rFonts w:ascii="宋体" w:hAnsi="宋体" w:cs="宋体"/>
      <w:kern w:val="0"/>
      <w:sz w:val="18"/>
      <w:szCs w:val="18"/>
    </w:rPr>
  </w:style>
  <w:style w:type="paragraph" w:customStyle="1" w:styleId="349">
    <w:name w:val="font8"/>
    <w:basedOn w:val="1"/>
    <w:autoRedefine/>
    <w:qFormat/>
    <w:uiPriority w:val="0"/>
    <w:pPr>
      <w:widowControl/>
      <w:spacing w:before="100" w:beforeAutospacing="1" w:after="100" w:afterAutospacing="1" w:line="240" w:lineRule="auto"/>
      <w:ind w:firstLine="0"/>
      <w:jc w:val="left"/>
    </w:pPr>
    <w:rPr>
      <w:rFonts w:ascii="楷体_GB2312" w:hAnsi="宋体" w:eastAsia="楷体_GB2312" w:cs="宋体"/>
      <w:kern w:val="0"/>
      <w:sz w:val="18"/>
      <w:szCs w:val="18"/>
    </w:rPr>
  </w:style>
  <w:style w:type="paragraph" w:customStyle="1" w:styleId="350">
    <w:name w:val="font9"/>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character" w:customStyle="1" w:styleId="351">
    <w:name w:val="样式 宋体 小四"/>
    <w:autoRedefine/>
    <w:qFormat/>
    <w:uiPriority w:val="0"/>
    <w:rPr>
      <w:rFonts w:ascii="Times New Roman" w:hAnsi="Times New Roman" w:eastAsia="宋体"/>
      <w:sz w:val="24"/>
      <w:szCs w:val="24"/>
    </w:rPr>
  </w:style>
  <w:style w:type="paragraph" w:customStyle="1" w:styleId="352">
    <w:name w:val="正文f"/>
    <w:basedOn w:val="1"/>
    <w:link w:val="353"/>
    <w:autoRedefine/>
    <w:qFormat/>
    <w:uiPriority w:val="0"/>
    <w:pPr>
      <w:spacing w:line="240" w:lineRule="auto"/>
      <w:ind w:firstLine="626" w:firstLineChars="200"/>
    </w:pPr>
    <w:rPr>
      <w:rFonts w:ascii="宋体" w:hAnsi="宋体" w:cs="宋体"/>
      <w:color w:val="000000"/>
      <w:kern w:val="0"/>
      <w:sz w:val="28"/>
      <w:szCs w:val="28"/>
    </w:rPr>
  </w:style>
  <w:style w:type="character" w:customStyle="1" w:styleId="353">
    <w:name w:val="正文f Char"/>
    <w:link w:val="352"/>
    <w:autoRedefine/>
    <w:qFormat/>
    <w:uiPriority w:val="0"/>
    <w:rPr>
      <w:rFonts w:ascii="宋体" w:hAnsi="宋体" w:eastAsia="宋体" w:cs="宋体"/>
      <w:color w:val="000000"/>
      <w:kern w:val="0"/>
      <w:sz w:val="28"/>
      <w:szCs w:val="28"/>
    </w:rPr>
  </w:style>
  <w:style w:type="paragraph" w:customStyle="1" w:styleId="354">
    <w:name w:val="样式 宋体 小四 红色 两端对齐"/>
    <w:basedOn w:val="1"/>
    <w:autoRedefine/>
    <w:qFormat/>
    <w:uiPriority w:val="0"/>
    <w:pPr>
      <w:widowControl/>
      <w:spacing w:line="240" w:lineRule="auto"/>
      <w:ind w:firstLine="0"/>
    </w:pPr>
    <w:rPr>
      <w:rFonts w:ascii="宋体" w:hAnsi="宋体" w:cs="宋体"/>
      <w:color w:val="FF0000"/>
      <w:kern w:val="0"/>
      <w:szCs w:val="20"/>
    </w:rPr>
  </w:style>
  <w:style w:type="paragraph" w:customStyle="1" w:styleId="355">
    <w:name w:val="样式 宋体 三号 红色 两端对齐"/>
    <w:basedOn w:val="1"/>
    <w:autoRedefine/>
    <w:qFormat/>
    <w:uiPriority w:val="0"/>
    <w:pPr>
      <w:widowControl/>
      <w:spacing w:line="240" w:lineRule="auto"/>
      <w:ind w:firstLine="0"/>
    </w:pPr>
    <w:rPr>
      <w:rFonts w:ascii="宋体" w:hAnsi="宋体" w:cs="宋体"/>
      <w:color w:val="FF0000"/>
      <w:kern w:val="0"/>
      <w:sz w:val="32"/>
      <w:szCs w:val="20"/>
    </w:rPr>
  </w:style>
  <w:style w:type="paragraph" w:customStyle="1" w:styleId="356">
    <w:name w:val="样式 正文首行缩进"/>
    <w:basedOn w:val="21"/>
    <w:link w:val="361"/>
    <w:autoRedefine/>
    <w:qFormat/>
    <w:uiPriority w:val="0"/>
    <w:pPr>
      <w:spacing w:line="240" w:lineRule="auto"/>
      <w:ind w:firstLine="546"/>
    </w:pPr>
    <w:rPr>
      <w:rFonts w:cs="宋体"/>
      <w:szCs w:val="20"/>
    </w:rPr>
  </w:style>
  <w:style w:type="character" w:customStyle="1" w:styleId="357">
    <w:name w:val="标题4 Char"/>
    <w:autoRedefine/>
    <w:qFormat/>
    <w:uiPriority w:val="0"/>
    <w:rPr>
      <w:rFonts w:ascii="Times New Roman" w:hAnsi="Times New Roman" w:eastAsia="宋体"/>
      <w:kern w:val="2"/>
      <w:sz w:val="28"/>
      <w:szCs w:val="28"/>
      <w:lang w:val="sq-AL" w:eastAsia="zh-CN" w:bidi="ar-SA"/>
    </w:rPr>
  </w:style>
  <w:style w:type="character" w:customStyle="1" w:styleId="358">
    <w:name w:val="HTML 预设格式 字符1"/>
    <w:basedOn w:val="102"/>
    <w:link w:val="80"/>
    <w:autoRedefine/>
    <w:qFormat/>
    <w:uiPriority w:val="99"/>
    <w:rPr>
      <w:rFonts w:ascii="黑体" w:hAnsi="Courier New" w:eastAsia="黑体" w:cs="Times New Roman"/>
      <w:kern w:val="0"/>
      <w:sz w:val="20"/>
      <w:szCs w:val="20"/>
    </w:rPr>
  </w:style>
  <w:style w:type="paragraph" w:customStyle="1" w:styleId="359">
    <w:name w:val="标题1#"/>
    <w:basedOn w:val="4"/>
    <w:autoRedefine/>
    <w:qFormat/>
    <w:uiPriority w:val="0"/>
    <w:pPr>
      <w:adjustRightInd w:val="0"/>
      <w:snapToGrid w:val="0"/>
      <w:spacing w:beforeLines="50" w:afterLines="50"/>
      <w:jc w:val="both"/>
      <w:textAlignment w:val="auto"/>
    </w:pPr>
    <w:rPr>
      <w:rFonts w:ascii="宋体" w:hAnsi="宋体" w:eastAsia="宋体"/>
      <w:b/>
      <w:bCs/>
      <w:kern w:val="2"/>
      <w:szCs w:val="28"/>
    </w:rPr>
  </w:style>
  <w:style w:type="paragraph" w:customStyle="1" w:styleId="360">
    <w:name w:val="标题2#"/>
    <w:basedOn w:val="5"/>
    <w:autoRedefine/>
    <w:qFormat/>
    <w:uiPriority w:val="0"/>
    <w:pPr>
      <w:keepNext/>
      <w:keepLines/>
      <w:tabs>
        <w:tab w:val="left" w:pos="720"/>
      </w:tabs>
      <w:adjustRightInd w:val="0"/>
      <w:snapToGrid w:val="0"/>
      <w:spacing w:beforeLines="50" w:after="120"/>
      <w:ind w:left="720" w:hanging="720"/>
      <w:jc w:val="both"/>
    </w:pPr>
    <w:rPr>
      <w:rFonts w:ascii="宋体" w:hAnsi="宋体" w:eastAsia="宋体"/>
      <w:b/>
      <w:bCs/>
    </w:rPr>
  </w:style>
  <w:style w:type="character" w:customStyle="1" w:styleId="361">
    <w:name w:val="样式 正文首行缩进 Char"/>
    <w:link w:val="356"/>
    <w:autoRedefine/>
    <w:qFormat/>
    <w:uiPriority w:val="0"/>
    <w:rPr>
      <w:rFonts w:ascii="Times New Roman" w:hAnsi="Times New Roman" w:eastAsia="宋体" w:cs="宋体"/>
      <w:sz w:val="24"/>
      <w:szCs w:val="20"/>
    </w:rPr>
  </w:style>
  <w:style w:type="paragraph" w:customStyle="1" w:styleId="362">
    <w:name w:val="表格＃"/>
    <w:basedOn w:val="35"/>
    <w:autoRedefine/>
    <w:qFormat/>
    <w:uiPriority w:val="0"/>
    <w:pPr>
      <w:adjustRightInd w:val="0"/>
      <w:snapToGrid w:val="0"/>
      <w:spacing w:after="120"/>
      <w:ind w:firstLine="0" w:firstLineChars="0"/>
      <w:jc w:val="center"/>
    </w:pPr>
    <w:rPr>
      <w:rFonts w:ascii="宋体" w:hAnsi="宋体"/>
    </w:rPr>
  </w:style>
  <w:style w:type="paragraph" w:customStyle="1" w:styleId="363">
    <w:name w:val="标题a1"/>
    <w:basedOn w:val="4"/>
    <w:autoRedefine/>
    <w:qFormat/>
    <w:uiPriority w:val="0"/>
    <w:pPr>
      <w:adjustRightInd w:val="0"/>
      <w:snapToGrid w:val="0"/>
      <w:spacing w:beforeLines="50" w:afterLines="50"/>
      <w:jc w:val="both"/>
      <w:textAlignment w:val="auto"/>
      <w:outlineLvl w:val="0"/>
    </w:pPr>
    <w:rPr>
      <w:rFonts w:ascii="宋体" w:hAnsi="宋体" w:eastAsia="宋体"/>
      <w:b/>
      <w:bCs/>
      <w:kern w:val="2"/>
      <w:szCs w:val="28"/>
    </w:rPr>
  </w:style>
  <w:style w:type="paragraph" w:customStyle="1" w:styleId="364">
    <w:name w:val="标题a2"/>
    <w:basedOn w:val="4"/>
    <w:autoRedefine/>
    <w:qFormat/>
    <w:uiPriority w:val="0"/>
    <w:pPr>
      <w:adjustRightInd w:val="0"/>
      <w:snapToGrid w:val="0"/>
      <w:spacing w:before="156" w:after="156"/>
      <w:jc w:val="both"/>
      <w:textAlignment w:val="auto"/>
    </w:pPr>
    <w:rPr>
      <w:rFonts w:ascii="宋体" w:hAnsi="宋体" w:eastAsia="宋体"/>
      <w:b/>
      <w:bCs/>
      <w:kern w:val="2"/>
      <w:sz w:val="24"/>
      <w:szCs w:val="24"/>
    </w:rPr>
  </w:style>
  <w:style w:type="paragraph" w:customStyle="1" w:styleId="365">
    <w:name w:val="Char Char Char Char Char Char Char Char Char"/>
    <w:basedOn w:val="1"/>
    <w:next w:val="2"/>
    <w:autoRedefine/>
    <w:qFormat/>
    <w:uiPriority w:val="0"/>
    <w:pPr>
      <w:spacing w:line="240" w:lineRule="auto"/>
      <w:ind w:firstLine="0"/>
    </w:pPr>
    <w:rPr>
      <w:sz w:val="28"/>
      <w:szCs w:val="28"/>
    </w:rPr>
  </w:style>
  <w:style w:type="paragraph" w:customStyle="1" w:styleId="366">
    <w:name w:val="报告表格"/>
    <w:basedOn w:val="173"/>
    <w:autoRedefine/>
    <w:qFormat/>
    <w:uiPriority w:val="0"/>
    <w:pPr>
      <w:adjustRightInd w:val="0"/>
      <w:snapToGrid w:val="0"/>
      <w:spacing w:line="240" w:lineRule="auto"/>
    </w:pPr>
    <w:rPr>
      <w:rFonts w:eastAsia="宋体" w:cs="宋体"/>
      <w:b w:val="0"/>
      <w:kern w:val="0"/>
      <w:sz w:val="21"/>
      <w:szCs w:val="20"/>
    </w:rPr>
  </w:style>
  <w:style w:type="paragraph" w:customStyle="1" w:styleId="367">
    <w:name w:val="正文样式1"/>
    <w:basedOn w:val="1"/>
    <w:autoRedefine/>
    <w:qFormat/>
    <w:uiPriority w:val="0"/>
    <w:pPr>
      <w:adjustRightInd w:val="0"/>
      <w:snapToGrid w:val="0"/>
      <w:ind w:firstLine="482"/>
      <w:textAlignment w:val="baseline"/>
    </w:pPr>
    <w:rPr>
      <w:snapToGrid w:val="0"/>
      <w:spacing w:val="10"/>
      <w:kern w:val="0"/>
    </w:rPr>
  </w:style>
  <w:style w:type="paragraph" w:customStyle="1" w:styleId="368">
    <w:name w:val="Char Char Char Char Char Char Char Char Char Char Char Char"/>
    <w:basedOn w:val="1"/>
    <w:next w:val="2"/>
    <w:autoRedefine/>
    <w:qFormat/>
    <w:uiPriority w:val="0"/>
    <w:pPr>
      <w:spacing w:line="240" w:lineRule="auto"/>
      <w:ind w:firstLine="0"/>
    </w:pPr>
    <w:rPr>
      <w:sz w:val="28"/>
      <w:szCs w:val="28"/>
    </w:rPr>
  </w:style>
  <w:style w:type="paragraph" w:customStyle="1" w:styleId="369">
    <w:name w:val="样式 标题 3标题 3XW3h33rd levelH3l3CT标题 3 Char Char标题 3 Char ..."/>
    <w:basedOn w:val="5"/>
    <w:autoRedefine/>
    <w:qFormat/>
    <w:uiPriority w:val="0"/>
    <w:pPr>
      <w:keepNext/>
      <w:keepLines/>
      <w:tabs>
        <w:tab w:val="left" w:pos="1140"/>
      </w:tabs>
      <w:adjustRightInd w:val="0"/>
      <w:snapToGrid w:val="0"/>
      <w:spacing w:beforeLines="50"/>
      <w:ind w:left="1140" w:hanging="720"/>
    </w:pPr>
    <w:rPr>
      <w:rFonts w:ascii="宋体" w:hAnsi="Arial" w:eastAsia="宋体" w:cs="宋体"/>
      <w:b/>
      <w:bCs/>
      <w:spacing w:val="14"/>
      <w:szCs w:val="20"/>
    </w:rPr>
  </w:style>
  <w:style w:type="paragraph" w:customStyle="1" w:styleId="370">
    <w:name w:val="Char Char Char1 Char"/>
    <w:basedOn w:val="1"/>
    <w:autoRedefine/>
    <w:qFormat/>
    <w:uiPriority w:val="0"/>
    <w:pPr>
      <w:spacing w:line="240" w:lineRule="auto"/>
      <w:ind w:firstLine="0"/>
    </w:pPr>
    <w:rPr>
      <w:sz w:val="21"/>
    </w:rPr>
  </w:style>
  <w:style w:type="paragraph" w:customStyle="1" w:styleId="371">
    <w:name w:val="方案正文样式"/>
    <w:basedOn w:val="1"/>
    <w:link w:val="372"/>
    <w:autoRedefine/>
    <w:qFormat/>
    <w:uiPriority w:val="0"/>
    <w:pPr>
      <w:adjustRightInd w:val="0"/>
      <w:snapToGrid w:val="0"/>
      <w:spacing w:line="408" w:lineRule="auto"/>
      <w:ind w:firstLine="454"/>
      <w:textAlignment w:val="baseline"/>
    </w:pPr>
    <w:rPr>
      <w:rFonts w:ascii="宋体" w:hAnsi="宋体"/>
      <w:snapToGrid w:val="0"/>
      <w:spacing w:val="10"/>
      <w:kern w:val="0"/>
    </w:rPr>
  </w:style>
  <w:style w:type="character" w:customStyle="1" w:styleId="372">
    <w:name w:val="方案正文样式 Char"/>
    <w:link w:val="371"/>
    <w:autoRedefine/>
    <w:qFormat/>
    <w:uiPriority w:val="0"/>
    <w:rPr>
      <w:rFonts w:ascii="宋体" w:hAnsi="宋体" w:eastAsia="宋体" w:cs="Times New Roman"/>
      <w:snapToGrid w:val="0"/>
      <w:spacing w:val="10"/>
      <w:kern w:val="0"/>
      <w:sz w:val="24"/>
      <w:szCs w:val="24"/>
    </w:rPr>
  </w:style>
  <w:style w:type="paragraph" w:customStyle="1" w:styleId="373">
    <w:name w:val="方案标题4 + 段前: 1 行 段后: 0.5 行"/>
    <w:basedOn w:val="1"/>
    <w:autoRedefine/>
    <w:qFormat/>
    <w:uiPriority w:val="0"/>
    <w:pPr>
      <w:keepNext/>
      <w:keepLines/>
      <w:adjustRightInd w:val="0"/>
      <w:snapToGrid w:val="0"/>
      <w:spacing w:before="240"/>
      <w:ind w:firstLine="0"/>
      <w:outlineLvl w:val="3"/>
    </w:pPr>
    <w:rPr>
      <w:rFonts w:ascii="Arial" w:hAnsi="Arial" w:eastAsia="华文楷体" w:cs="宋体"/>
      <w:spacing w:val="12"/>
      <w:szCs w:val="20"/>
    </w:rPr>
  </w:style>
  <w:style w:type="paragraph" w:customStyle="1" w:styleId="374">
    <w:name w:val="font0"/>
    <w:basedOn w:val="1"/>
    <w:autoRedefine/>
    <w:qFormat/>
    <w:uiPriority w:val="99"/>
    <w:pPr>
      <w:widowControl/>
      <w:spacing w:before="100" w:beforeAutospacing="1" w:after="100" w:afterAutospacing="1" w:line="240" w:lineRule="auto"/>
      <w:ind w:firstLine="0"/>
      <w:jc w:val="left"/>
    </w:pPr>
    <w:rPr>
      <w:rFonts w:ascii="宋体" w:hAnsi="宋体" w:cs="宋体"/>
      <w:kern w:val="0"/>
    </w:rPr>
  </w:style>
  <w:style w:type="paragraph" w:customStyle="1" w:styleId="375">
    <w:name w:val="font10"/>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paragraph" w:customStyle="1" w:styleId="376">
    <w:name w:val="样式经"/>
    <w:basedOn w:val="1"/>
    <w:autoRedefine/>
    <w:qFormat/>
    <w:uiPriority w:val="0"/>
    <w:pPr>
      <w:adjustRightInd w:val="0"/>
      <w:snapToGrid w:val="0"/>
      <w:ind w:firstLine="536" w:firstLineChars="200"/>
      <w:jc w:val="center"/>
    </w:pPr>
    <w:rPr>
      <w:rFonts w:ascii="宋体" w:hAnsi="宋体" w:cs="宋体"/>
      <w:spacing w:val="14"/>
      <w:kern w:val="28"/>
    </w:rPr>
  </w:style>
  <w:style w:type="paragraph" w:customStyle="1" w:styleId="377">
    <w:name w:val="样式-图"/>
    <w:basedOn w:val="282"/>
    <w:autoRedefine/>
    <w:qFormat/>
    <w:uiPriority w:val="0"/>
    <w:pPr>
      <w:adjustRightInd w:val="0"/>
      <w:snapToGrid w:val="0"/>
      <w:ind w:firstLine="536"/>
      <w:jc w:val="center"/>
    </w:pPr>
    <w:rPr>
      <w:rFonts w:ascii="宋体" w:hAnsi="宋体"/>
      <w:spacing w:val="14"/>
      <w:kern w:val="28"/>
      <w:szCs w:val="24"/>
    </w:rPr>
  </w:style>
  <w:style w:type="paragraph" w:customStyle="1" w:styleId="378">
    <w:name w:val="xl6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jc w:val="center"/>
    </w:pPr>
    <w:rPr>
      <w:rFonts w:ascii="Arial Unicode MS" w:hAnsi="Arial Unicode MS" w:eastAsia="Arial Unicode MS"/>
      <w:kern w:val="0"/>
    </w:rPr>
  </w:style>
  <w:style w:type="paragraph" w:customStyle="1" w:styleId="379">
    <w:name w:val="xl6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Arial Unicode MS" w:hAnsi="Arial Unicode MS" w:eastAsia="Arial Unicode MS"/>
      <w:kern w:val="0"/>
      <w:sz w:val="20"/>
      <w:szCs w:val="20"/>
    </w:rPr>
  </w:style>
  <w:style w:type="paragraph" w:customStyle="1" w:styleId="380">
    <w:name w:val="普通文字"/>
    <w:basedOn w:val="1"/>
    <w:next w:val="1"/>
    <w:autoRedefine/>
    <w:qFormat/>
    <w:uiPriority w:val="0"/>
    <w:pPr>
      <w:spacing w:line="240" w:lineRule="auto"/>
      <w:ind w:firstLine="0"/>
    </w:pPr>
  </w:style>
  <w:style w:type="paragraph" w:customStyle="1" w:styleId="381">
    <w:name w:val="Char Char Char Char Char Char Char Char Char1"/>
    <w:basedOn w:val="1"/>
    <w:autoRedefine/>
    <w:qFormat/>
    <w:uiPriority w:val="0"/>
    <w:pPr>
      <w:spacing w:line="240" w:lineRule="auto"/>
      <w:ind w:firstLine="0"/>
    </w:pPr>
    <w:rPr>
      <w:sz w:val="21"/>
    </w:rPr>
  </w:style>
  <w:style w:type="character" w:customStyle="1" w:styleId="382">
    <w:name w:val="highlight1"/>
    <w:autoRedefine/>
    <w:qFormat/>
    <w:uiPriority w:val="0"/>
    <w:rPr>
      <w:sz w:val="25"/>
      <w:szCs w:val="25"/>
    </w:rPr>
  </w:style>
  <w:style w:type="paragraph" w:customStyle="1" w:styleId="383">
    <w:name w:val="Char Char Char Char Char Char Char Char Char1 Char Char Char Char"/>
    <w:basedOn w:val="1"/>
    <w:autoRedefine/>
    <w:semiHidden/>
    <w:qFormat/>
    <w:uiPriority w:val="0"/>
    <w:pPr>
      <w:ind w:firstLine="200" w:firstLineChars="200"/>
    </w:pPr>
    <w:rPr>
      <w:rFonts w:ascii="宋体" w:hAnsi="宋体" w:cs="宋体"/>
      <w:szCs w:val="26"/>
    </w:rPr>
  </w:style>
  <w:style w:type="character" w:customStyle="1" w:styleId="384">
    <w:name w:val="style141"/>
    <w:autoRedefine/>
    <w:qFormat/>
    <w:uiPriority w:val="0"/>
    <w:rPr>
      <w:sz w:val="27"/>
      <w:szCs w:val="27"/>
    </w:rPr>
  </w:style>
  <w:style w:type="paragraph" w:customStyle="1" w:styleId="385">
    <w:name w:val="样式 小表 + 两端对齐"/>
    <w:basedOn w:val="1"/>
    <w:autoRedefine/>
    <w:qFormat/>
    <w:uiPriority w:val="0"/>
    <w:pPr>
      <w:adjustRightInd w:val="0"/>
      <w:snapToGrid w:val="0"/>
      <w:spacing w:line="331" w:lineRule="auto"/>
      <w:ind w:firstLine="0"/>
    </w:pPr>
    <w:rPr>
      <w:rFonts w:ascii="宋体" w:hAnsi="宋体"/>
      <w:snapToGrid w:val="0"/>
      <w:sz w:val="18"/>
      <w:szCs w:val="20"/>
    </w:rPr>
  </w:style>
  <w:style w:type="paragraph" w:customStyle="1" w:styleId="386">
    <w:name w:val="Char Char Char1 Char1"/>
    <w:basedOn w:val="1"/>
    <w:autoRedefine/>
    <w:semiHidden/>
    <w:qFormat/>
    <w:uiPriority w:val="0"/>
    <w:pPr>
      <w:spacing w:line="240" w:lineRule="auto"/>
      <w:ind w:firstLine="0"/>
    </w:pPr>
    <w:rPr>
      <w:sz w:val="21"/>
    </w:rPr>
  </w:style>
  <w:style w:type="character" w:customStyle="1" w:styleId="387">
    <w:name w:val="表文 Char"/>
    <w:link w:val="388"/>
    <w:autoRedefine/>
    <w:qFormat/>
    <w:locked/>
    <w:uiPriority w:val="0"/>
    <w:rPr>
      <w:rFonts w:ascii="宋体" w:hAnsi="宋体" w:eastAsia="宋体"/>
    </w:rPr>
  </w:style>
  <w:style w:type="paragraph" w:customStyle="1" w:styleId="388">
    <w:name w:val="表文"/>
    <w:basedOn w:val="1"/>
    <w:link w:val="387"/>
    <w:autoRedefine/>
    <w:qFormat/>
    <w:uiPriority w:val="0"/>
    <w:pPr>
      <w:overflowPunct w:val="0"/>
      <w:adjustRightInd w:val="0"/>
      <w:snapToGrid w:val="0"/>
      <w:spacing w:line="240" w:lineRule="auto"/>
      <w:ind w:firstLine="0"/>
      <w:jc w:val="center"/>
    </w:pPr>
    <w:rPr>
      <w:rFonts w:ascii="宋体" w:hAnsi="宋体" w:cstheme="minorBidi"/>
      <w:sz w:val="21"/>
      <w:szCs w:val="22"/>
    </w:rPr>
  </w:style>
  <w:style w:type="paragraph" w:customStyle="1" w:styleId="389">
    <w:name w:val="表数字"/>
    <w:basedOn w:val="251"/>
    <w:autoRedefine/>
    <w:qFormat/>
    <w:uiPriority w:val="0"/>
    <w:pPr>
      <w:overflowPunct/>
      <w:autoSpaceDE/>
      <w:autoSpaceDN/>
      <w:spacing w:line="320" w:lineRule="exact"/>
      <w:textAlignment w:val="auto"/>
    </w:pPr>
    <w:rPr>
      <w:rFonts w:ascii="Arial" w:hAnsi="Arial" w:eastAsia="Times New Roman"/>
      <w:color w:val="000000"/>
      <w:kern w:val="2"/>
      <w:sz w:val="21"/>
      <w:szCs w:val="21"/>
    </w:rPr>
  </w:style>
  <w:style w:type="paragraph" w:customStyle="1" w:styleId="390">
    <w:name w:val="Char Char Char Char1"/>
    <w:basedOn w:val="1"/>
    <w:autoRedefine/>
    <w:qFormat/>
    <w:uiPriority w:val="0"/>
    <w:pPr>
      <w:spacing w:line="240" w:lineRule="auto"/>
      <w:ind w:firstLine="0"/>
    </w:pPr>
    <w:rPr>
      <w:sz w:val="21"/>
    </w:rPr>
  </w:style>
  <w:style w:type="character" w:customStyle="1" w:styleId="391">
    <w:name w:val="样式3 Char"/>
    <w:link w:val="309"/>
    <w:autoRedefine/>
    <w:qFormat/>
    <w:uiPriority w:val="0"/>
    <w:rPr>
      <w:rFonts w:ascii="宋体" w:hAnsi="宋体"/>
      <w:b/>
      <w:bCs/>
      <w:color w:val="000000"/>
      <w:sz w:val="30"/>
      <w:szCs w:val="30"/>
    </w:rPr>
  </w:style>
  <w:style w:type="paragraph" w:customStyle="1" w:styleId="392">
    <w:name w:val="Char Char Char Char Char Char1 Char1 Char Char Char Char Char Char1"/>
    <w:basedOn w:val="1"/>
    <w:autoRedefine/>
    <w:semiHidden/>
    <w:qFormat/>
    <w:uiPriority w:val="0"/>
    <w:pPr>
      <w:spacing w:line="240" w:lineRule="auto"/>
      <w:ind w:left="510" w:firstLine="0"/>
    </w:pPr>
    <w:rPr>
      <w:sz w:val="21"/>
      <w:szCs w:val="21"/>
    </w:rPr>
  </w:style>
  <w:style w:type="paragraph" w:customStyle="1" w:styleId="393">
    <w:name w:val="样式-表格"/>
    <w:basedOn w:val="1"/>
    <w:link w:val="394"/>
    <w:autoRedefine/>
    <w:qFormat/>
    <w:uiPriority w:val="0"/>
    <w:pPr>
      <w:adjustRightInd w:val="0"/>
      <w:snapToGrid w:val="0"/>
      <w:ind w:firstLine="528" w:firstLineChars="200"/>
      <w:jc w:val="center"/>
    </w:pPr>
    <w:rPr>
      <w:rFonts w:ascii="宋体" w:hAnsi="宋体" w:cs="宋体"/>
      <w:spacing w:val="12"/>
      <w:kern w:val="28"/>
    </w:rPr>
  </w:style>
  <w:style w:type="character" w:customStyle="1" w:styleId="394">
    <w:name w:val="样式-表格 Char"/>
    <w:link w:val="393"/>
    <w:autoRedefine/>
    <w:qFormat/>
    <w:uiPriority w:val="0"/>
    <w:rPr>
      <w:rFonts w:ascii="宋体" w:hAnsi="宋体" w:eastAsia="宋体" w:cs="宋体"/>
      <w:spacing w:val="12"/>
      <w:kern w:val="28"/>
      <w:sz w:val="24"/>
      <w:szCs w:val="24"/>
    </w:rPr>
  </w:style>
  <w:style w:type="paragraph" w:customStyle="1" w:styleId="395">
    <w:name w:val="样式 样式 标题 3 + 首行缩进:  2 字符 + 首行缩进:  0.85 厘米"/>
    <w:basedOn w:val="1"/>
    <w:autoRedefine/>
    <w:qFormat/>
    <w:uiPriority w:val="0"/>
    <w:pPr>
      <w:keepNext/>
      <w:keepLines/>
      <w:widowControl/>
      <w:tabs>
        <w:tab w:val="left" w:pos="709"/>
      </w:tabs>
      <w:ind w:left="709" w:hanging="709"/>
      <w:outlineLvl w:val="2"/>
    </w:pPr>
    <w:rPr>
      <w:rFonts w:ascii="黑体" w:eastAsia="黑体" w:cs="宋体"/>
      <w:b/>
      <w:bCs/>
      <w:kern w:val="0"/>
      <w:sz w:val="28"/>
      <w:szCs w:val="28"/>
    </w:rPr>
  </w:style>
  <w:style w:type="paragraph" w:customStyle="1" w:styleId="396">
    <w:name w:val="款"/>
    <w:basedOn w:val="1"/>
    <w:autoRedefine/>
    <w:qFormat/>
    <w:uiPriority w:val="0"/>
    <w:pPr>
      <w:adjustRightInd w:val="0"/>
      <w:snapToGrid w:val="0"/>
      <w:ind w:firstLine="480" w:firstLineChars="200"/>
    </w:pPr>
    <w:rPr>
      <w:snapToGrid w:val="0"/>
      <w:lang w:val="zh-CN"/>
    </w:rPr>
  </w:style>
  <w:style w:type="paragraph" w:customStyle="1" w:styleId="397">
    <w:name w:val="条"/>
    <w:basedOn w:val="1"/>
    <w:next w:val="396"/>
    <w:autoRedefine/>
    <w:qFormat/>
    <w:uiPriority w:val="0"/>
    <w:pPr>
      <w:spacing w:after="160"/>
      <w:ind w:firstLine="0"/>
    </w:pPr>
    <w:rPr>
      <w:rFonts w:ascii="宋体" w:hAnsi="Verdana"/>
      <w:b/>
      <w:sz w:val="28"/>
      <w:szCs w:val="28"/>
    </w:rPr>
  </w:style>
  <w:style w:type="character" w:customStyle="1" w:styleId="398">
    <w:name w:val="宋工 Char Char"/>
    <w:autoRedefine/>
    <w:qFormat/>
    <w:uiPriority w:val="0"/>
    <w:rPr>
      <w:kern w:val="2"/>
      <w:sz w:val="18"/>
      <w:szCs w:val="18"/>
    </w:rPr>
  </w:style>
  <w:style w:type="paragraph" w:customStyle="1" w:styleId="399">
    <w:name w:val="Char Char Char Char Char Char1"/>
    <w:basedOn w:val="1"/>
    <w:next w:val="2"/>
    <w:autoRedefine/>
    <w:qFormat/>
    <w:uiPriority w:val="0"/>
    <w:pPr>
      <w:spacing w:line="240" w:lineRule="auto"/>
      <w:ind w:firstLine="200" w:firstLineChars="200"/>
    </w:pPr>
    <w:rPr>
      <w:rFonts w:ascii="楷体_GB2312" w:eastAsia="楷体_GB2312"/>
      <w:sz w:val="28"/>
      <w:szCs w:val="28"/>
    </w:rPr>
  </w:style>
  <w:style w:type="paragraph" w:customStyle="1" w:styleId="400">
    <w:name w:val="三级"/>
    <w:basedOn w:val="5"/>
    <w:link w:val="401"/>
    <w:autoRedefine/>
    <w:qFormat/>
    <w:uiPriority w:val="0"/>
    <w:pPr>
      <w:keepNext/>
      <w:keepLines/>
      <w:spacing w:line="480" w:lineRule="auto"/>
      <w:jc w:val="both"/>
    </w:pPr>
    <w:rPr>
      <w:bCs/>
      <w:szCs w:val="20"/>
    </w:rPr>
  </w:style>
  <w:style w:type="character" w:customStyle="1" w:styleId="401">
    <w:name w:val="三级 Char Char"/>
    <w:link w:val="400"/>
    <w:autoRedefine/>
    <w:qFormat/>
    <w:uiPriority w:val="0"/>
    <w:rPr>
      <w:rFonts w:ascii="Times New Roman" w:hAnsi="Times New Roman" w:eastAsia="黑体" w:cs="Times New Roman"/>
      <w:bCs/>
      <w:sz w:val="24"/>
      <w:szCs w:val="20"/>
    </w:rPr>
  </w:style>
  <w:style w:type="table" w:customStyle="1" w:styleId="402">
    <w:name w:val="yk520"/>
    <w:basedOn w:val="88"/>
    <w:autoRedefine/>
    <w:qFormat/>
    <w:uiPriority w:val="0"/>
    <w:pPr>
      <w:jc w:val="center"/>
    </w:p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cPr>
      <w:vAlign w:val="center"/>
    </w:tcPr>
  </w:style>
  <w:style w:type="paragraph" w:customStyle="1" w:styleId="403">
    <w:name w:val="Char1 Char Char Char"/>
    <w:basedOn w:val="1"/>
    <w:autoRedefine/>
    <w:qFormat/>
    <w:uiPriority w:val="0"/>
    <w:pPr>
      <w:spacing w:line="240" w:lineRule="auto"/>
      <w:ind w:firstLine="0"/>
    </w:pPr>
    <w:rPr>
      <w:rFonts w:ascii="Tahoma" w:hAnsi="Tahoma"/>
      <w:sz w:val="21"/>
    </w:rPr>
  </w:style>
  <w:style w:type="paragraph" w:customStyle="1" w:styleId="404">
    <w:name w:val="正文首行缩进 2 + Times New Roman"/>
    <w:basedOn w:val="1"/>
    <w:link w:val="405"/>
    <w:autoRedefine/>
    <w:qFormat/>
    <w:uiPriority w:val="0"/>
    <w:pPr>
      <w:tabs>
        <w:tab w:val="left" w:pos="0"/>
        <w:tab w:val="left" w:pos="870"/>
        <w:tab w:val="left" w:pos="3150"/>
      </w:tabs>
      <w:autoSpaceDE w:val="0"/>
      <w:autoSpaceDN w:val="0"/>
      <w:spacing w:beforeLines="50" w:afterLines="50" w:line="540" w:lineRule="exact"/>
      <w:ind w:firstLine="0"/>
      <w:jc w:val="center"/>
    </w:pPr>
    <w:rPr>
      <w:rFonts w:eastAsia="黑体"/>
      <w:sz w:val="28"/>
      <w:szCs w:val="28"/>
    </w:rPr>
  </w:style>
  <w:style w:type="character" w:customStyle="1" w:styleId="405">
    <w:name w:val="正文首行缩进 2 + Times New Roman Char"/>
    <w:link w:val="404"/>
    <w:autoRedefine/>
    <w:qFormat/>
    <w:uiPriority w:val="0"/>
    <w:rPr>
      <w:rFonts w:ascii="Times New Roman" w:hAnsi="Times New Roman" w:eastAsia="黑体" w:cs="Times New Roman"/>
      <w:sz w:val="28"/>
      <w:szCs w:val="28"/>
    </w:rPr>
  </w:style>
  <w:style w:type="character" w:customStyle="1" w:styleId="406">
    <w:name w:val="正文文字 Char"/>
    <w:autoRedefine/>
    <w:qFormat/>
    <w:uiPriority w:val="0"/>
    <w:rPr>
      <w:rFonts w:ascii="宋体"/>
      <w:color w:val="000000"/>
      <w:sz w:val="28"/>
    </w:rPr>
  </w:style>
  <w:style w:type="character" w:customStyle="1" w:styleId="407">
    <w:name w:val="123YJ Char Char"/>
    <w:autoRedefine/>
    <w:qFormat/>
    <w:uiPriority w:val="0"/>
    <w:rPr>
      <w:kern w:val="2"/>
      <w:sz w:val="18"/>
      <w:szCs w:val="18"/>
    </w:rPr>
  </w:style>
  <w:style w:type="paragraph" w:customStyle="1" w:styleId="408">
    <w:name w:val="表名"/>
    <w:basedOn w:val="45"/>
    <w:link w:val="1326"/>
    <w:autoRedefine/>
    <w:qFormat/>
    <w:uiPriority w:val="0"/>
    <w:pPr>
      <w:ind w:firstLine="0"/>
      <w:jc w:val="center"/>
    </w:pPr>
    <w:rPr>
      <w:rFonts w:eastAsia="仿宋_GB2312"/>
      <w:b/>
      <w:sz w:val="28"/>
      <w:szCs w:val="21"/>
    </w:rPr>
  </w:style>
  <w:style w:type="paragraph" w:customStyle="1" w:styleId="409">
    <w:name w:val="Char Char Char"/>
    <w:basedOn w:val="1"/>
    <w:autoRedefine/>
    <w:qFormat/>
    <w:uiPriority w:val="0"/>
    <w:pPr>
      <w:ind w:firstLine="200" w:firstLineChars="200"/>
    </w:pPr>
    <w:rPr>
      <w:rFonts w:ascii="宋体" w:hAnsi="宋体" w:cs="宋体"/>
    </w:rPr>
  </w:style>
  <w:style w:type="paragraph" w:customStyle="1" w:styleId="410">
    <w:name w:val="Char Char Char2 Char"/>
    <w:basedOn w:val="1"/>
    <w:autoRedefine/>
    <w:qFormat/>
    <w:uiPriority w:val="0"/>
    <w:pPr>
      <w:tabs>
        <w:tab w:val="left" w:pos="969"/>
      </w:tabs>
      <w:spacing w:line="240" w:lineRule="auto"/>
      <w:ind w:left="969" w:hanging="435"/>
    </w:pPr>
    <w:rPr>
      <w:sz w:val="21"/>
    </w:rPr>
  </w:style>
  <w:style w:type="paragraph" w:customStyle="1" w:styleId="411">
    <w:name w:val="正文LA"/>
    <w:autoRedefine/>
    <w:qFormat/>
    <w:uiPriority w:val="0"/>
    <w:pPr>
      <w:tabs>
        <w:tab w:val="left" w:pos="0"/>
      </w:tabs>
      <w:adjustRightInd w:val="0"/>
      <w:spacing w:beforeLines="50" w:line="360" w:lineRule="auto"/>
      <w:ind w:firstLine="225" w:firstLineChars="225"/>
      <w:jc w:val="both"/>
    </w:pPr>
    <w:rPr>
      <w:rFonts w:ascii="宋体" w:hAnsi="宋体" w:eastAsia="宋体" w:cs="Times New Roman"/>
      <w:snapToGrid w:val="0"/>
      <w:sz w:val="24"/>
      <w:lang w:val="en-US" w:eastAsia="zh-CN" w:bidi="ar-SA"/>
    </w:rPr>
  </w:style>
  <w:style w:type="character" w:customStyle="1" w:styleId="412">
    <w:name w:val="尾注文本 字符1"/>
    <w:basedOn w:val="102"/>
    <w:link w:val="52"/>
    <w:autoRedefine/>
    <w:qFormat/>
    <w:uiPriority w:val="0"/>
    <w:rPr>
      <w:rFonts w:ascii="Times New Roman" w:hAnsi="Times New Roman" w:eastAsia="宋体" w:cs="Times New Roman"/>
      <w:szCs w:val="24"/>
    </w:rPr>
  </w:style>
  <w:style w:type="paragraph" w:customStyle="1" w:styleId="413">
    <w:name w:val="样式 宋体 四号 行距: 固定值 25 磅"/>
    <w:basedOn w:val="1"/>
    <w:autoRedefine/>
    <w:qFormat/>
    <w:uiPriority w:val="0"/>
    <w:pPr>
      <w:spacing w:line="500" w:lineRule="exact"/>
      <w:ind w:firstLine="560" w:firstLineChars="200"/>
    </w:pPr>
    <w:rPr>
      <w:rFonts w:ascii="宋体" w:hAnsi="宋体" w:cs="宋体"/>
    </w:rPr>
  </w:style>
  <w:style w:type="character" w:customStyle="1" w:styleId="414">
    <w:name w:val="HTML 地址 字符1"/>
    <w:basedOn w:val="102"/>
    <w:link w:val="41"/>
    <w:autoRedefine/>
    <w:qFormat/>
    <w:uiPriority w:val="0"/>
    <w:rPr>
      <w:rFonts w:ascii="Times New Roman" w:hAnsi="Times New Roman" w:eastAsia="宋体" w:cs="Times New Roman"/>
      <w:i/>
      <w:iCs/>
      <w:szCs w:val="24"/>
    </w:rPr>
  </w:style>
  <w:style w:type="character" w:customStyle="1" w:styleId="415">
    <w:name w:val="称呼 字符1"/>
    <w:basedOn w:val="102"/>
    <w:link w:val="30"/>
    <w:autoRedefine/>
    <w:qFormat/>
    <w:uiPriority w:val="0"/>
    <w:rPr>
      <w:rFonts w:ascii="Times New Roman" w:hAnsi="Times New Roman" w:eastAsia="宋体" w:cs="Times New Roman"/>
      <w:szCs w:val="24"/>
    </w:rPr>
  </w:style>
  <w:style w:type="character" w:customStyle="1" w:styleId="416">
    <w:name w:val="电子邮件签名 字符1"/>
    <w:basedOn w:val="102"/>
    <w:link w:val="19"/>
    <w:autoRedefine/>
    <w:qFormat/>
    <w:uiPriority w:val="0"/>
    <w:rPr>
      <w:rFonts w:ascii="Times New Roman" w:hAnsi="Times New Roman" w:eastAsia="宋体" w:cs="Times New Roman"/>
      <w:szCs w:val="24"/>
    </w:rPr>
  </w:style>
  <w:style w:type="character" w:customStyle="1" w:styleId="417">
    <w:name w:val="副标题 字符1"/>
    <w:basedOn w:val="102"/>
    <w:link w:val="64"/>
    <w:autoRedefine/>
    <w:qFormat/>
    <w:uiPriority w:val="0"/>
    <w:rPr>
      <w:rFonts w:ascii="Arial" w:hAnsi="Arial" w:eastAsia="宋体" w:cs="Times New Roman"/>
      <w:b/>
      <w:bCs/>
      <w:kern w:val="28"/>
      <w:sz w:val="32"/>
      <w:szCs w:val="32"/>
    </w:rPr>
  </w:style>
  <w:style w:type="character" w:customStyle="1" w:styleId="418">
    <w:name w:val="脚注文本 字符1"/>
    <w:basedOn w:val="102"/>
    <w:link w:val="67"/>
    <w:autoRedefine/>
    <w:qFormat/>
    <w:uiPriority w:val="0"/>
    <w:rPr>
      <w:rFonts w:ascii="Times New Roman" w:hAnsi="Times New Roman" w:eastAsia="宋体" w:cs="Times New Roman"/>
      <w:sz w:val="18"/>
      <w:szCs w:val="18"/>
    </w:rPr>
  </w:style>
  <w:style w:type="character" w:customStyle="1" w:styleId="419">
    <w:name w:val="结束语 字符1"/>
    <w:basedOn w:val="102"/>
    <w:link w:val="32"/>
    <w:autoRedefine/>
    <w:qFormat/>
    <w:uiPriority w:val="0"/>
    <w:rPr>
      <w:rFonts w:ascii="Times New Roman" w:hAnsi="Times New Roman" w:eastAsia="宋体" w:cs="Times New Roman"/>
      <w:szCs w:val="24"/>
    </w:rPr>
  </w:style>
  <w:style w:type="character" w:customStyle="1" w:styleId="420">
    <w:name w:val="Char Char21"/>
    <w:autoRedefine/>
    <w:qFormat/>
    <w:uiPriority w:val="0"/>
    <w:rPr>
      <w:sz w:val="18"/>
      <w:szCs w:val="18"/>
    </w:rPr>
  </w:style>
  <w:style w:type="character" w:customStyle="1" w:styleId="421">
    <w:name w:val="签名 字符1"/>
    <w:basedOn w:val="102"/>
    <w:link w:val="58"/>
    <w:autoRedefine/>
    <w:qFormat/>
    <w:uiPriority w:val="0"/>
    <w:rPr>
      <w:rFonts w:ascii="Times New Roman" w:hAnsi="Times New Roman" w:eastAsia="宋体" w:cs="Times New Roman"/>
      <w:szCs w:val="24"/>
    </w:rPr>
  </w:style>
  <w:style w:type="character" w:customStyle="1" w:styleId="422">
    <w:name w:val="sb-表头 Char"/>
    <w:autoRedefine/>
    <w:qFormat/>
    <w:uiPriority w:val="0"/>
    <w:rPr>
      <w:rFonts w:eastAsia="宋体" w:cs="Arial"/>
      <w:sz w:val="24"/>
    </w:rPr>
  </w:style>
  <w:style w:type="character" w:customStyle="1" w:styleId="423">
    <w:name w:val="信息标题 字符1"/>
    <w:basedOn w:val="102"/>
    <w:link w:val="79"/>
    <w:autoRedefine/>
    <w:qFormat/>
    <w:uiPriority w:val="0"/>
    <w:rPr>
      <w:rFonts w:ascii="Arial" w:hAnsi="Arial" w:eastAsia="宋体" w:cs="Times New Roman"/>
      <w:sz w:val="24"/>
      <w:szCs w:val="24"/>
      <w:shd w:val="pct20" w:color="auto" w:fill="auto"/>
    </w:rPr>
  </w:style>
  <w:style w:type="character" w:customStyle="1" w:styleId="424">
    <w:name w:val="正文文字缩进 Char1"/>
    <w:autoRedefine/>
    <w:qFormat/>
    <w:uiPriority w:val="0"/>
    <w:rPr>
      <w:kern w:val="2"/>
      <w:sz w:val="21"/>
      <w:szCs w:val="24"/>
    </w:rPr>
  </w:style>
  <w:style w:type="character" w:customStyle="1" w:styleId="425">
    <w:name w:val="Char Char4"/>
    <w:basedOn w:val="424"/>
    <w:autoRedefine/>
    <w:qFormat/>
    <w:uiPriority w:val="0"/>
    <w:rPr>
      <w:kern w:val="2"/>
      <w:sz w:val="21"/>
      <w:szCs w:val="24"/>
    </w:rPr>
  </w:style>
  <w:style w:type="character" w:customStyle="1" w:styleId="426">
    <w:name w:val="正文文本 3 字符1"/>
    <w:basedOn w:val="102"/>
    <w:link w:val="31"/>
    <w:autoRedefine/>
    <w:qFormat/>
    <w:uiPriority w:val="0"/>
    <w:rPr>
      <w:rFonts w:ascii="Times New Roman" w:hAnsi="Times New Roman" w:eastAsia="宋体" w:cs="Times New Roman"/>
      <w:sz w:val="16"/>
      <w:szCs w:val="16"/>
    </w:rPr>
  </w:style>
  <w:style w:type="character" w:customStyle="1" w:styleId="427">
    <w:name w:val="注释标题 字符1"/>
    <w:basedOn w:val="102"/>
    <w:link w:val="16"/>
    <w:autoRedefine/>
    <w:qFormat/>
    <w:uiPriority w:val="0"/>
    <w:rPr>
      <w:rFonts w:ascii="Times New Roman" w:hAnsi="Times New Roman" w:eastAsia="宋体" w:cs="Times New Roman"/>
      <w:szCs w:val="24"/>
    </w:rPr>
  </w:style>
  <w:style w:type="character" w:customStyle="1" w:styleId="428">
    <w:name w:val="正文样式 Char"/>
    <w:autoRedefine/>
    <w:qFormat/>
    <w:uiPriority w:val="0"/>
    <w:rPr>
      <w:rFonts w:ascii="宋体" w:hAnsi="宋体" w:eastAsia="宋体"/>
      <w:kern w:val="2"/>
      <w:sz w:val="24"/>
      <w:szCs w:val="24"/>
      <w:lang w:val="en-US" w:eastAsia="zh-CN" w:bidi="ar-SA"/>
    </w:rPr>
  </w:style>
  <w:style w:type="paragraph" w:customStyle="1" w:styleId="429">
    <w:name w:val="正文 + (西文) 华文细黑"/>
    <w:basedOn w:val="1"/>
    <w:autoRedefine/>
    <w:qFormat/>
    <w:uiPriority w:val="0"/>
    <w:pPr>
      <w:overflowPunct w:val="0"/>
      <w:adjustRightInd w:val="0"/>
      <w:ind w:firstLine="0"/>
      <w:jc w:val="center"/>
      <w:textAlignment w:val="baseline"/>
    </w:pPr>
    <w:rPr>
      <w:rFonts w:ascii="华文细黑" w:hAnsi="华文细黑"/>
      <w:b/>
      <w:kern w:val="0"/>
    </w:rPr>
  </w:style>
  <w:style w:type="paragraph" w:customStyle="1" w:styleId="430">
    <w:name w:val="内蒙官矿正文"/>
    <w:basedOn w:val="1"/>
    <w:autoRedefine/>
    <w:qFormat/>
    <w:uiPriority w:val="0"/>
    <w:pPr>
      <w:spacing w:line="240" w:lineRule="auto"/>
      <w:ind w:firstLine="560" w:firstLineChars="200"/>
    </w:pPr>
    <w:rPr>
      <w:rFonts w:ascii="宋体" w:hAnsi="宋体"/>
      <w:sz w:val="28"/>
    </w:rPr>
  </w:style>
  <w:style w:type="paragraph" w:customStyle="1" w:styleId="431">
    <w:name w:val="表5号字"/>
    <w:autoRedefine/>
    <w:qFormat/>
    <w:uiPriority w:val="0"/>
    <w:pPr>
      <w:keepNext/>
      <w:widowControl w:val="0"/>
      <w:adjustRightInd w:val="0"/>
      <w:spacing w:before="120" w:line="60" w:lineRule="atLeast"/>
      <w:jc w:val="center"/>
    </w:pPr>
    <w:rPr>
      <w:rFonts w:ascii="Times New Roman" w:hAnsi="Times New Roman" w:eastAsia="宋体" w:cs="Times New Roman"/>
      <w:sz w:val="21"/>
      <w:lang w:val="en-US" w:eastAsia="zh-CN" w:bidi="ar-SA"/>
    </w:rPr>
  </w:style>
  <w:style w:type="paragraph" w:customStyle="1" w:styleId="432">
    <w:name w:val="li-表-标题"/>
    <w:basedOn w:val="1"/>
    <w:autoRedefine/>
    <w:qFormat/>
    <w:uiPriority w:val="0"/>
    <w:pPr>
      <w:ind w:firstLine="480" w:firstLineChars="200"/>
      <w:jc w:val="center"/>
    </w:pPr>
    <w:rPr>
      <w:rFonts w:ascii="黑体" w:hAnsi="宋体" w:eastAsia="黑体" w:cs="宋体"/>
      <w:szCs w:val="20"/>
    </w:rPr>
  </w:style>
  <w:style w:type="character" w:customStyle="1" w:styleId="433">
    <w:name w:val="样式 正文1 + 首行缩进:  2 字符 Char3"/>
    <w:link w:val="434"/>
    <w:autoRedefine/>
    <w:qFormat/>
    <w:uiPriority w:val="0"/>
    <w:rPr>
      <w:rFonts w:ascii="宋体"/>
      <w:sz w:val="24"/>
    </w:rPr>
  </w:style>
  <w:style w:type="paragraph" w:customStyle="1" w:styleId="434">
    <w:name w:val="样式 正文1 + 首行缩进:  2 字符"/>
    <w:basedOn w:val="1"/>
    <w:link w:val="433"/>
    <w:autoRedefine/>
    <w:qFormat/>
    <w:uiPriority w:val="0"/>
    <w:pPr>
      <w:ind w:firstLine="200" w:firstLineChars="200"/>
    </w:pPr>
    <w:rPr>
      <w:rFonts w:ascii="宋体" w:hAnsiTheme="minorHAnsi" w:eastAsiaTheme="minorEastAsia" w:cstheme="minorBidi"/>
      <w:szCs w:val="22"/>
    </w:rPr>
  </w:style>
  <w:style w:type="paragraph" w:customStyle="1" w:styleId="435">
    <w:name w:val="样式 样式 小四 段前: 7.8 磅 段后: 7.8 磅 行距: 1.5 倍行距 + 首行缩进:  2 字符"/>
    <w:basedOn w:val="1"/>
    <w:link w:val="436"/>
    <w:autoRedefine/>
    <w:qFormat/>
    <w:uiPriority w:val="0"/>
    <w:pPr>
      <w:ind w:firstLine="480" w:firstLineChars="200"/>
    </w:pPr>
    <w:rPr>
      <w:rFonts w:hAnsi="宋体"/>
      <w:color w:val="000000"/>
    </w:rPr>
  </w:style>
  <w:style w:type="character" w:customStyle="1" w:styleId="436">
    <w:name w:val="样式 样式 小四 段前: 7.8 磅 段后: 7.8 磅 行距: 1.5 倍行距 + 首行缩进:  2 字符 Char"/>
    <w:link w:val="435"/>
    <w:autoRedefine/>
    <w:qFormat/>
    <w:uiPriority w:val="0"/>
    <w:rPr>
      <w:rFonts w:ascii="Times New Roman" w:hAnsi="宋体" w:eastAsia="宋体" w:cs="Times New Roman"/>
      <w:color w:val="000000"/>
      <w:sz w:val="24"/>
      <w:szCs w:val="24"/>
    </w:rPr>
  </w:style>
  <w:style w:type="paragraph" w:customStyle="1" w:styleId="437">
    <w:name w:val="样式 样式 正文1 + 首行缩进:  2 字符 + 首行缩进:  2 字符"/>
    <w:basedOn w:val="434"/>
    <w:link w:val="438"/>
    <w:autoRedefine/>
    <w:qFormat/>
    <w:uiPriority w:val="0"/>
    <w:pPr>
      <w:ind w:firstLine="480"/>
    </w:pPr>
  </w:style>
  <w:style w:type="character" w:customStyle="1" w:styleId="438">
    <w:name w:val="样式 样式 正文1 + 首行缩进:  2 字符 + 首行缩进:  2 字符 Char"/>
    <w:link w:val="437"/>
    <w:autoRedefine/>
    <w:qFormat/>
    <w:uiPriority w:val="0"/>
    <w:rPr>
      <w:rFonts w:ascii="宋体"/>
      <w:sz w:val="24"/>
    </w:rPr>
  </w:style>
  <w:style w:type="paragraph" w:customStyle="1" w:styleId="439">
    <w:name w:val="a"/>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paragraph" w:customStyle="1" w:styleId="440">
    <w:name w:val="Char Char Char Char Char Char1 Char"/>
    <w:basedOn w:val="1"/>
    <w:autoRedefine/>
    <w:qFormat/>
    <w:uiPriority w:val="0"/>
    <w:pPr>
      <w:spacing w:line="240" w:lineRule="auto"/>
      <w:ind w:firstLine="0"/>
    </w:pPr>
    <w:rPr>
      <w:sz w:val="21"/>
    </w:rPr>
  </w:style>
  <w:style w:type="paragraph" w:customStyle="1" w:styleId="441">
    <w:name w:val="正文1"/>
    <w:basedOn w:val="1"/>
    <w:link w:val="590"/>
    <w:autoRedefine/>
    <w:qFormat/>
    <w:uiPriority w:val="0"/>
    <w:pPr>
      <w:tabs>
        <w:tab w:val="left" w:pos="5327"/>
        <w:tab w:val="left" w:pos="6326"/>
        <w:tab w:val="left" w:pos="7230"/>
        <w:tab w:val="left" w:pos="9301"/>
      </w:tabs>
      <w:autoSpaceDE w:val="0"/>
      <w:autoSpaceDN w:val="0"/>
      <w:adjustRightInd w:val="0"/>
      <w:snapToGrid w:val="0"/>
      <w:spacing w:line="560" w:lineRule="exact"/>
      <w:ind w:firstLine="480" w:firstLineChars="200"/>
      <w:textAlignment w:val="baseline"/>
    </w:pPr>
    <w:rPr>
      <w:rFonts w:ascii="Arial Narrow" w:hAnsi="Arial Narrow" w:eastAsia="华文细黑"/>
      <w:color w:val="000000"/>
    </w:rPr>
  </w:style>
  <w:style w:type="paragraph" w:customStyle="1" w:styleId="442">
    <w:name w:val="表头 Char"/>
    <w:basedOn w:val="1"/>
    <w:link w:val="443"/>
    <w:autoRedefine/>
    <w:qFormat/>
    <w:uiPriority w:val="0"/>
    <w:pPr>
      <w:widowControl/>
      <w:adjustRightInd w:val="0"/>
      <w:spacing w:beforeLines="50" w:line="400" w:lineRule="exact"/>
      <w:ind w:firstLine="0"/>
      <w:textAlignment w:val="baseline"/>
    </w:pPr>
    <w:rPr>
      <w:rFonts w:ascii="Arial Narrow" w:hAnsi="Arial Narrow" w:eastAsia="华文细黑"/>
      <w:b/>
      <w:bCs/>
      <w:color w:val="000000"/>
      <w:kern w:val="0"/>
      <w:sz w:val="30"/>
      <w:szCs w:val="30"/>
    </w:rPr>
  </w:style>
  <w:style w:type="character" w:customStyle="1" w:styleId="443">
    <w:name w:val="表头 Char Char"/>
    <w:link w:val="442"/>
    <w:autoRedefine/>
    <w:qFormat/>
    <w:uiPriority w:val="0"/>
    <w:rPr>
      <w:rFonts w:ascii="Arial Narrow" w:hAnsi="Arial Narrow" w:eastAsia="华文细黑" w:cs="Times New Roman"/>
      <w:b/>
      <w:bCs/>
      <w:color w:val="000000"/>
      <w:kern w:val="0"/>
      <w:sz w:val="30"/>
      <w:szCs w:val="30"/>
    </w:rPr>
  </w:style>
  <w:style w:type="character" w:customStyle="1" w:styleId="444">
    <w:name w:val="表格内容 Char"/>
    <w:link w:val="135"/>
    <w:autoRedefine/>
    <w:qFormat/>
    <w:uiPriority w:val="0"/>
    <w:rPr>
      <w:rFonts w:ascii="Times New Roman" w:hAnsi="Times New Roman" w:eastAsia="宋体" w:cs="Times New Roman"/>
      <w:sz w:val="18"/>
      <w:szCs w:val="18"/>
    </w:rPr>
  </w:style>
  <w:style w:type="character" w:customStyle="1" w:styleId="445">
    <w:name w:val="表格文字 Char Char"/>
    <w:autoRedefine/>
    <w:qFormat/>
    <w:uiPriority w:val="0"/>
    <w:rPr>
      <w:rFonts w:ascii="Arial Narrow" w:hAnsi="Arial Narrow" w:eastAsia="华文细黑" w:cs="宋体"/>
      <w:sz w:val="24"/>
      <w:szCs w:val="21"/>
    </w:rPr>
  </w:style>
  <w:style w:type="paragraph" w:customStyle="1" w:styleId="446">
    <w:name w:val="样式 小四 段前: 7.8 磅 段后: 7.8 磅 行距: 1.5 倍行距"/>
    <w:basedOn w:val="1"/>
    <w:link w:val="447"/>
    <w:autoRedefine/>
    <w:qFormat/>
    <w:uiPriority w:val="0"/>
    <w:pPr>
      <w:spacing w:before="156" w:after="156"/>
      <w:ind w:firstLine="560" w:firstLineChars="200"/>
    </w:pPr>
    <w:rPr>
      <w:spacing w:val="20"/>
    </w:rPr>
  </w:style>
  <w:style w:type="character" w:customStyle="1" w:styleId="447">
    <w:name w:val="样式 小四 段前: 7.8 磅 段后: 7.8 磅 行距: 1.5 倍行距 Char"/>
    <w:link w:val="446"/>
    <w:autoRedefine/>
    <w:qFormat/>
    <w:uiPriority w:val="0"/>
    <w:rPr>
      <w:rFonts w:ascii="Times New Roman" w:hAnsi="Times New Roman" w:eastAsia="宋体" w:cs="Times New Roman"/>
      <w:spacing w:val="20"/>
      <w:sz w:val="24"/>
      <w:szCs w:val="24"/>
    </w:rPr>
  </w:style>
  <w:style w:type="paragraph" w:customStyle="1" w:styleId="448">
    <w:name w:val="样式 正文文本缩进 2 + (中文) 宋体"/>
    <w:basedOn w:val="1"/>
    <w:link w:val="449"/>
    <w:autoRedefine/>
    <w:qFormat/>
    <w:uiPriority w:val="0"/>
    <w:pPr>
      <w:spacing w:beforeLines="50"/>
      <w:ind w:firstLine="536" w:firstLineChars="200"/>
    </w:pPr>
    <w:rPr>
      <w:spacing w:val="14"/>
    </w:rPr>
  </w:style>
  <w:style w:type="character" w:customStyle="1" w:styleId="449">
    <w:name w:val="样式 正文文本缩进 2 + (中文) 宋体 Char"/>
    <w:link w:val="448"/>
    <w:autoRedefine/>
    <w:qFormat/>
    <w:uiPriority w:val="0"/>
    <w:rPr>
      <w:rFonts w:ascii="Times New Roman" w:hAnsi="Times New Roman" w:eastAsia="宋体" w:cs="Times New Roman"/>
      <w:spacing w:val="14"/>
      <w:sz w:val="24"/>
      <w:szCs w:val="24"/>
    </w:rPr>
  </w:style>
  <w:style w:type="paragraph" w:customStyle="1" w:styleId="450">
    <w:name w:val="Char Char Char Char1 Char Char Char Char Char"/>
    <w:basedOn w:val="1"/>
    <w:autoRedefine/>
    <w:semiHidden/>
    <w:qFormat/>
    <w:uiPriority w:val="0"/>
    <w:pPr>
      <w:spacing w:line="240" w:lineRule="auto"/>
      <w:ind w:firstLine="0"/>
    </w:pPr>
    <w:rPr>
      <w:rFonts w:ascii="Arial" w:hAnsi="Arial"/>
      <w:sz w:val="32"/>
      <w:szCs w:val="32"/>
    </w:rPr>
  </w:style>
  <w:style w:type="paragraph" w:customStyle="1" w:styleId="451">
    <w:name w:val="样式 样式 正文缩进s4 + 首行缩进:  2 字符 + 首行缩进:  2 字符"/>
    <w:basedOn w:val="1"/>
    <w:autoRedefine/>
    <w:qFormat/>
    <w:uiPriority w:val="0"/>
    <w:pPr>
      <w:adjustRightInd w:val="0"/>
      <w:snapToGrid w:val="0"/>
      <w:spacing w:line="490" w:lineRule="exact"/>
      <w:ind w:firstLine="480" w:firstLineChars="200"/>
    </w:pPr>
    <w:rPr>
      <w:rFonts w:ascii="宋体" w:hAnsi="宋体"/>
      <w:szCs w:val="20"/>
    </w:rPr>
  </w:style>
  <w:style w:type="paragraph" w:customStyle="1" w:styleId="452">
    <w:name w:val="zyy样式"/>
    <w:basedOn w:val="1"/>
    <w:autoRedefine/>
    <w:semiHidden/>
    <w:qFormat/>
    <w:uiPriority w:val="0"/>
    <w:pPr>
      <w:ind w:firstLine="536" w:firstLineChars="200"/>
    </w:pPr>
    <w:rPr>
      <w:spacing w:val="14"/>
    </w:rPr>
  </w:style>
  <w:style w:type="paragraph" w:customStyle="1" w:styleId="453">
    <w:name w:val="Char Char Char1 Char1 Char Char Char"/>
    <w:basedOn w:val="1"/>
    <w:autoRedefine/>
    <w:qFormat/>
    <w:uiPriority w:val="0"/>
    <w:pPr>
      <w:spacing w:line="240" w:lineRule="auto"/>
      <w:ind w:firstLine="0"/>
    </w:pPr>
    <w:rPr>
      <w:sz w:val="21"/>
      <w:szCs w:val="20"/>
    </w:rPr>
  </w:style>
  <w:style w:type="paragraph" w:customStyle="1" w:styleId="454">
    <w:name w:val="样式 表格 + 段后: 0.25 行"/>
    <w:basedOn w:val="1"/>
    <w:autoRedefine/>
    <w:qFormat/>
    <w:uiPriority w:val="0"/>
    <w:pPr>
      <w:adjustRightInd w:val="0"/>
      <w:spacing w:line="240" w:lineRule="auto"/>
      <w:ind w:firstLine="0"/>
      <w:jc w:val="center"/>
    </w:pPr>
    <w:rPr>
      <w:rFonts w:ascii="宋体" w:hAnsi="宋体"/>
      <w:kern w:val="0"/>
      <w:sz w:val="21"/>
      <w:szCs w:val="20"/>
    </w:rPr>
  </w:style>
  <w:style w:type="paragraph" w:customStyle="1" w:styleId="455">
    <w:name w:val="wj样式 + 首行缩进:  2 字符"/>
    <w:basedOn w:val="284"/>
    <w:next w:val="284"/>
    <w:autoRedefine/>
    <w:qFormat/>
    <w:uiPriority w:val="0"/>
    <w:pPr>
      <w:ind w:firstLine="536"/>
    </w:pPr>
    <w:rPr>
      <w:rFonts w:cs="宋体"/>
      <w:szCs w:val="20"/>
    </w:rPr>
  </w:style>
  <w:style w:type="paragraph" w:customStyle="1" w:styleId="456">
    <w:name w:val="样式 样式 左侧:  0.98 厘米 + 首行缩进:  2 字符"/>
    <w:basedOn w:val="1"/>
    <w:autoRedefine/>
    <w:qFormat/>
    <w:uiPriority w:val="0"/>
    <w:pPr>
      <w:adjustRightInd w:val="0"/>
      <w:snapToGrid w:val="0"/>
      <w:spacing w:line="490" w:lineRule="exact"/>
      <w:ind w:firstLine="480" w:firstLineChars="200"/>
    </w:pPr>
    <w:rPr>
      <w:rFonts w:ascii="宋体" w:hAnsi="宋体"/>
      <w:szCs w:val="20"/>
    </w:rPr>
  </w:style>
  <w:style w:type="paragraph" w:customStyle="1" w:styleId="457">
    <w:name w:val="gyy正文文字"/>
    <w:basedOn w:val="1"/>
    <w:autoRedefine/>
    <w:qFormat/>
    <w:uiPriority w:val="0"/>
    <w:pPr>
      <w:ind w:firstLine="471"/>
    </w:pPr>
    <w:rPr>
      <w:rFonts w:cs="宋体"/>
      <w:color w:val="000000"/>
      <w:spacing w:val="14"/>
    </w:rPr>
  </w:style>
  <w:style w:type="paragraph" w:customStyle="1" w:styleId="458">
    <w:name w:val="HZZH正文"/>
    <w:basedOn w:val="1"/>
    <w:link w:val="459"/>
    <w:autoRedefine/>
    <w:qFormat/>
    <w:uiPriority w:val="0"/>
    <w:pPr>
      <w:spacing w:before="240"/>
      <w:ind w:firstLine="480" w:firstLineChars="200"/>
    </w:pPr>
    <w:rPr>
      <w:rFonts w:hAnsi="宋体"/>
      <w:color w:val="3366FF"/>
    </w:rPr>
  </w:style>
  <w:style w:type="character" w:customStyle="1" w:styleId="459">
    <w:name w:val="HZZH正文 Char"/>
    <w:link w:val="458"/>
    <w:autoRedefine/>
    <w:qFormat/>
    <w:uiPriority w:val="0"/>
    <w:rPr>
      <w:rFonts w:ascii="Times New Roman" w:hAnsi="宋体" w:eastAsia="宋体" w:cs="Times New Roman"/>
      <w:color w:val="3366FF"/>
      <w:sz w:val="24"/>
      <w:szCs w:val="24"/>
    </w:rPr>
  </w:style>
  <w:style w:type="paragraph" w:customStyle="1" w:styleId="460">
    <w:name w:val="font1"/>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paragraph" w:customStyle="1" w:styleId="461">
    <w:name w:val="A4页面"/>
    <w:basedOn w:val="1"/>
    <w:autoRedefine/>
    <w:qFormat/>
    <w:uiPriority w:val="0"/>
    <w:pPr>
      <w:spacing w:line="560" w:lineRule="exact"/>
      <w:ind w:firstLine="640" w:firstLineChars="200"/>
    </w:pPr>
    <w:rPr>
      <w:rFonts w:eastAsia="仿宋_GB2312"/>
      <w:sz w:val="32"/>
      <w:szCs w:val="20"/>
    </w:rPr>
  </w:style>
  <w:style w:type="character" w:customStyle="1" w:styleId="462">
    <w:name w:val="表内文字 Char Char"/>
    <w:autoRedefine/>
    <w:qFormat/>
    <w:uiPriority w:val="0"/>
    <w:rPr>
      <w:rFonts w:ascii="宋体" w:hAnsi="Courier New" w:eastAsia="宋体" w:cs="Courier New"/>
      <w:kern w:val="2"/>
      <w:sz w:val="21"/>
      <w:szCs w:val="21"/>
      <w:lang w:val="en-US" w:eastAsia="zh-CN" w:bidi="ar-SA"/>
    </w:rPr>
  </w:style>
  <w:style w:type="character" w:customStyle="1" w:styleId="463">
    <w:name w:val="表文字 Char"/>
    <w:link w:val="251"/>
    <w:autoRedefine/>
    <w:qFormat/>
    <w:uiPriority w:val="0"/>
    <w:rPr>
      <w:rFonts w:ascii="Times New Roman" w:hAnsi="Times New Roman" w:eastAsia="宋体" w:cs="Times New Roman"/>
      <w:kern w:val="0"/>
      <w:sz w:val="24"/>
      <w:szCs w:val="20"/>
    </w:rPr>
  </w:style>
  <w:style w:type="paragraph" w:customStyle="1" w:styleId="464">
    <w:name w:val="HZZH表格内容"/>
    <w:basedOn w:val="1"/>
    <w:autoRedefine/>
    <w:qFormat/>
    <w:uiPriority w:val="0"/>
    <w:pPr>
      <w:widowControl/>
      <w:spacing w:line="240" w:lineRule="auto"/>
      <w:ind w:firstLine="0"/>
      <w:jc w:val="center"/>
    </w:pPr>
    <w:rPr>
      <w:kern w:val="0"/>
      <w:sz w:val="20"/>
      <w:szCs w:val="20"/>
    </w:rPr>
  </w:style>
  <w:style w:type="paragraph" w:customStyle="1" w:styleId="465">
    <w:name w:val="SB正文"/>
    <w:basedOn w:val="1"/>
    <w:autoRedefine/>
    <w:qFormat/>
    <w:uiPriority w:val="0"/>
    <w:pPr>
      <w:spacing w:before="62" w:after="62"/>
      <w:ind w:firstLine="480" w:firstLineChars="200"/>
    </w:pPr>
    <w:rPr>
      <w:rFonts w:cs="宋体"/>
      <w:szCs w:val="20"/>
    </w:rPr>
  </w:style>
  <w:style w:type="paragraph" w:customStyle="1" w:styleId="466">
    <w:name w:val="正文000"/>
    <w:basedOn w:val="45"/>
    <w:link w:val="547"/>
    <w:autoRedefine/>
    <w:qFormat/>
    <w:uiPriority w:val="0"/>
    <w:pPr>
      <w:adjustRightInd w:val="0"/>
      <w:snapToGrid w:val="0"/>
      <w:spacing w:beforeLines="50" w:afterLines="50" w:line="360" w:lineRule="auto"/>
      <w:ind w:firstLine="200" w:firstLineChars="200"/>
    </w:pPr>
    <w:rPr>
      <w:rFonts w:ascii="Times New Roman" w:hAnsi="Times New Roman"/>
      <w:color w:val="000000"/>
      <w:spacing w:val="14"/>
      <w:sz w:val="24"/>
    </w:rPr>
  </w:style>
  <w:style w:type="paragraph" w:customStyle="1" w:styleId="467">
    <w:name w:val="wangxy"/>
    <w:basedOn w:val="1"/>
    <w:link w:val="468"/>
    <w:autoRedefine/>
    <w:qFormat/>
    <w:uiPriority w:val="0"/>
    <w:pPr>
      <w:spacing w:beforeLines="50" w:afterLines="50"/>
      <w:ind w:firstLine="200" w:firstLineChars="200"/>
    </w:pPr>
    <w:rPr>
      <w:spacing w:val="14"/>
    </w:rPr>
  </w:style>
  <w:style w:type="character" w:customStyle="1" w:styleId="468">
    <w:name w:val="wangxy Char"/>
    <w:link w:val="467"/>
    <w:autoRedefine/>
    <w:qFormat/>
    <w:uiPriority w:val="0"/>
    <w:rPr>
      <w:rFonts w:ascii="Times New Roman" w:hAnsi="Times New Roman" w:eastAsia="宋体" w:cs="Times New Roman"/>
      <w:spacing w:val="14"/>
      <w:sz w:val="24"/>
      <w:szCs w:val="24"/>
    </w:rPr>
  </w:style>
  <w:style w:type="paragraph" w:customStyle="1" w:styleId="469">
    <w:name w:val="样式 样式 样式 正文1 + 首行缩进:  2 字符 + (符号) 宋体 首行缩进:  2 字符 + 首行缩进:  2 字符"/>
    <w:basedOn w:val="1"/>
    <w:link w:val="470"/>
    <w:autoRedefine/>
    <w:qFormat/>
    <w:uiPriority w:val="0"/>
    <w:pPr>
      <w:ind w:firstLine="480" w:firstLineChars="200"/>
    </w:pPr>
    <w:rPr>
      <w:rFonts w:ascii="宋体" w:hAnsi="宋体"/>
      <w:snapToGrid w:val="0"/>
    </w:rPr>
  </w:style>
  <w:style w:type="character" w:customStyle="1" w:styleId="470">
    <w:name w:val="样式 样式 样式 正文1 + 首行缩进:  2 字符 + (符号) 宋体 首行缩进:  2 字符 + 首行缩进:  2 字符 Char"/>
    <w:link w:val="469"/>
    <w:autoRedefine/>
    <w:qFormat/>
    <w:uiPriority w:val="0"/>
    <w:rPr>
      <w:rFonts w:ascii="宋体" w:hAnsi="宋体" w:eastAsia="宋体" w:cs="Times New Roman"/>
      <w:snapToGrid w:val="0"/>
      <w:sz w:val="24"/>
      <w:szCs w:val="24"/>
    </w:rPr>
  </w:style>
  <w:style w:type="character" w:customStyle="1" w:styleId="471">
    <w:name w:val="方案正文 Char"/>
    <w:link w:val="472"/>
    <w:autoRedefine/>
    <w:qFormat/>
    <w:uiPriority w:val="0"/>
    <w:rPr>
      <w:spacing w:val="14"/>
      <w:sz w:val="24"/>
    </w:rPr>
  </w:style>
  <w:style w:type="paragraph" w:customStyle="1" w:styleId="472">
    <w:name w:val="方案正文"/>
    <w:basedOn w:val="1"/>
    <w:link w:val="471"/>
    <w:autoRedefine/>
    <w:qFormat/>
    <w:uiPriority w:val="0"/>
    <w:pPr>
      <w:spacing w:beforeLines="50" w:afterLines="50"/>
      <w:ind w:firstLine="200" w:firstLineChars="200"/>
    </w:pPr>
    <w:rPr>
      <w:rFonts w:asciiTheme="minorHAnsi" w:hAnsiTheme="minorHAnsi" w:eastAsiaTheme="minorEastAsia" w:cstheme="minorBidi"/>
      <w:spacing w:val="14"/>
      <w:szCs w:val="22"/>
    </w:rPr>
  </w:style>
  <w:style w:type="paragraph" w:customStyle="1" w:styleId="473">
    <w:name w:val="7"/>
    <w:basedOn w:val="1"/>
    <w:autoRedefine/>
    <w:qFormat/>
    <w:uiPriority w:val="0"/>
    <w:pPr>
      <w:widowControl/>
      <w:tabs>
        <w:tab w:val="left" w:pos="425"/>
      </w:tabs>
      <w:spacing w:beforeLines="100" w:after="160" w:line="240" w:lineRule="exact"/>
      <w:ind w:left="425" w:hanging="425"/>
      <w:jc w:val="left"/>
    </w:pPr>
    <w:rPr>
      <w:sz w:val="21"/>
      <w:szCs w:val="20"/>
    </w:rPr>
  </w:style>
  <w:style w:type="paragraph" w:customStyle="1" w:styleId="474">
    <w:name w:val="Char Char1 Char"/>
    <w:basedOn w:val="1"/>
    <w:autoRedefine/>
    <w:qFormat/>
    <w:uiPriority w:val="0"/>
    <w:pPr>
      <w:spacing w:line="240" w:lineRule="auto"/>
      <w:ind w:firstLine="0"/>
    </w:pPr>
    <w:rPr>
      <w:sz w:val="21"/>
    </w:rPr>
  </w:style>
  <w:style w:type="character" w:customStyle="1" w:styleId="475">
    <w:name w:val="图标题 Char"/>
    <w:link w:val="476"/>
    <w:autoRedefine/>
    <w:qFormat/>
    <w:uiPriority w:val="0"/>
    <w:rPr>
      <w:rFonts w:eastAsia="宋体"/>
      <w:b/>
      <w:sz w:val="24"/>
      <w:szCs w:val="28"/>
      <w:lang w:val="en-US" w:eastAsia="zh-CN" w:bidi="ar-SA"/>
    </w:rPr>
  </w:style>
  <w:style w:type="paragraph" w:customStyle="1" w:styleId="476">
    <w:name w:val="图标题"/>
    <w:basedOn w:val="1"/>
    <w:link w:val="475"/>
    <w:autoRedefine/>
    <w:qFormat/>
    <w:uiPriority w:val="0"/>
    <w:pPr>
      <w:spacing w:line="240" w:lineRule="auto"/>
      <w:ind w:firstLine="0"/>
      <w:jc w:val="center"/>
      <w:textAlignment w:val="baseline"/>
    </w:pPr>
    <w:rPr>
      <w:rFonts w:asciiTheme="minorHAnsi" w:hAnsiTheme="minorHAnsi" w:cstheme="minorBidi"/>
      <w:b/>
      <w:kern w:val="0"/>
      <w:szCs w:val="28"/>
    </w:rPr>
  </w:style>
  <w:style w:type="paragraph" w:customStyle="1" w:styleId="477">
    <w:name w:val="SB标题1"/>
    <w:basedOn w:val="1"/>
    <w:autoRedefine/>
    <w:qFormat/>
    <w:uiPriority w:val="0"/>
    <w:pPr>
      <w:spacing w:before="156" w:after="156"/>
      <w:ind w:left="288" w:firstLine="0"/>
      <w:jc w:val="center"/>
      <w:outlineLvl w:val="0"/>
    </w:pPr>
    <w:rPr>
      <w:rFonts w:eastAsia="黑体" w:cs="宋体"/>
      <w:sz w:val="30"/>
    </w:rPr>
  </w:style>
  <w:style w:type="paragraph" w:customStyle="1" w:styleId="478">
    <w:name w:val="SB标题2"/>
    <w:basedOn w:val="1"/>
    <w:autoRedefine/>
    <w:qFormat/>
    <w:uiPriority w:val="0"/>
    <w:pPr>
      <w:spacing w:before="93" w:after="93"/>
      <w:ind w:firstLine="0"/>
      <w:jc w:val="left"/>
      <w:outlineLvl w:val="1"/>
    </w:pPr>
    <w:rPr>
      <w:rFonts w:cs="宋体"/>
      <w:b/>
      <w:bCs/>
      <w:sz w:val="28"/>
      <w:szCs w:val="20"/>
    </w:rPr>
  </w:style>
  <w:style w:type="paragraph" w:customStyle="1" w:styleId="479">
    <w:name w:val="SB标题3"/>
    <w:basedOn w:val="1"/>
    <w:autoRedefine/>
    <w:qFormat/>
    <w:uiPriority w:val="0"/>
    <w:pPr>
      <w:spacing w:before="93" w:after="93"/>
      <w:ind w:firstLine="0"/>
      <w:jc w:val="left"/>
      <w:outlineLvl w:val="2"/>
    </w:pPr>
    <w:rPr>
      <w:rFonts w:cs="宋体"/>
      <w:b/>
      <w:bCs/>
      <w:szCs w:val="20"/>
    </w:rPr>
  </w:style>
  <w:style w:type="paragraph" w:customStyle="1" w:styleId="480">
    <w:name w:val="SB标题4"/>
    <w:basedOn w:val="1"/>
    <w:autoRedefine/>
    <w:qFormat/>
    <w:uiPriority w:val="0"/>
    <w:pPr>
      <w:adjustRightInd w:val="0"/>
      <w:snapToGrid w:val="0"/>
      <w:ind w:firstLine="0"/>
      <w:jc w:val="left"/>
      <w:outlineLvl w:val="3"/>
    </w:pPr>
    <w:rPr>
      <w:rFonts w:cs="宋体"/>
      <w:szCs w:val="20"/>
    </w:rPr>
  </w:style>
  <w:style w:type="paragraph" w:customStyle="1" w:styleId="481">
    <w:name w:val="sb*表格内容"/>
    <w:basedOn w:val="1"/>
    <w:autoRedefine/>
    <w:qFormat/>
    <w:uiPriority w:val="0"/>
    <w:pPr>
      <w:spacing w:line="240" w:lineRule="auto"/>
      <w:ind w:left="-53" w:leftChars="-25" w:right="-53" w:rightChars="-25" w:firstLine="0"/>
      <w:jc w:val="center"/>
    </w:pPr>
    <w:rPr>
      <w:rFonts w:hAnsi="宋体"/>
      <w:color w:val="333333"/>
      <w:kern w:val="0"/>
      <w:sz w:val="18"/>
      <w:szCs w:val="18"/>
    </w:rPr>
  </w:style>
  <w:style w:type="paragraph" w:customStyle="1" w:styleId="482">
    <w:name w:val="sb-页眉"/>
    <w:basedOn w:val="57"/>
    <w:autoRedefine/>
    <w:qFormat/>
    <w:uiPriority w:val="0"/>
    <w:rPr>
      <w:rFonts w:ascii="Calibri" w:hAnsi="Calibri"/>
    </w:rPr>
  </w:style>
  <w:style w:type="paragraph" w:customStyle="1" w:styleId="483">
    <w:name w:val="水保正文"/>
    <w:basedOn w:val="1"/>
    <w:autoRedefine/>
    <w:qFormat/>
    <w:uiPriority w:val="0"/>
    <w:pPr>
      <w:ind w:firstLine="480" w:firstLineChars="200"/>
      <w:jc w:val="left"/>
    </w:pPr>
    <w:rPr>
      <w:snapToGrid w:val="0"/>
      <w:szCs w:val="20"/>
    </w:rPr>
  </w:style>
  <w:style w:type="character" w:customStyle="1" w:styleId="484">
    <w:name w:val="apple-style-span"/>
    <w:autoRedefine/>
    <w:qFormat/>
    <w:uiPriority w:val="0"/>
  </w:style>
  <w:style w:type="paragraph" w:customStyle="1" w:styleId="485">
    <w:name w:val="列出段落1"/>
    <w:basedOn w:val="1"/>
    <w:autoRedefine/>
    <w:qFormat/>
    <w:uiPriority w:val="0"/>
    <w:pPr>
      <w:spacing w:line="240" w:lineRule="auto"/>
      <w:ind w:firstLine="200" w:firstLineChars="200"/>
    </w:pPr>
    <w:rPr>
      <w:rFonts w:ascii="Calibri" w:hAnsi="Calibri"/>
      <w:sz w:val="21"/>
      <w:szCs w:val="22"/>
    </w:rPr>
  </w:style>
  <w:style w:type="character" w:customStyle="1" w:styleId="486">
    <w:name w:val="报告正文 Char"/>
    <w:autoRedefine/>
    <w:qFormat/>
    <w:uiPriority w:val="0"/>
    <w:rPr>
      <w:rFonts w:ascii="Times New Roman" w:hAnsi="Times New Roman" w:eastAsia="宋体" w:cs="Times New Roman"/>
      <w:sz w:val="24"/>
      <w:szCs w:val="24"/>
    </w:rPr>
  </w:style>
  <w:style w:type="paragraph" w:customStyle="1" w:styleId="487">
    <w:name w:val="样式 表格文字 +"/>
    <w:basedOn w:val="1"/>
    <w:autoRedefine/>
    <w:qFormat/>
    <w:uiPriority w:val="0"/>
    <w:pPr>
      <w:snapToGrid w:val="0"/>
      <w:spacing w:line="40" w:lineRule="atLeast"/>
      <w:ind w:firstLine="0"/>
      <w:jc w:val="center"/>
    </w:pPr>
    <w:rPr>
      <w:color w:val="000000"/>
      <w:position w:val="-24"/>
      <w:sz w:val="21"/>
      <w:szCs w:val="21"/>
    </w:rPr>
  </w:style>
  <w:style w:type="paragraph" w:customStyle="1" w:styleId="488">
    <w:name w:val="报告书正文 Char Char"/>
    <w:basedOn w:val="1"/>
    <w:autoRedefine/>
    <w:qFormat/>
    <w:uiPriority w:val="0"/>
    <w:pPr>
      <w:spacing w:line="300" w:lineRule="auto"/>
      <w:ind w:firstLine="480" w:firstLineChars="200"/>
    </w:pPr>
  </w:style>
  <w:style w:type="paragraph" w:customStyle="1" w:styleId="489">
    <w:name w:val="表格注释"/>
    <w:basedOn w:val="1"/>
    <w:link w:val="492"/>
    <w:autoRedefine/>
    <w:qFormat/>
    <w:uiPriority w:val="0"/>
    <w:pPr>
      <w:autoSpaceDE w:val="0"/>
      <w:autoSpaceDN w:val="0"/>
      <w:adjustRightInd w:val="0"/>
      <w:snapToGrid w:val="0"/>
      <w:spacing w:before="40" w:after="40"/>
      <w:ind w:firstLine="408" w:firstLineChars="200"/>
    </w:pPr>
    <w:rPr>
      <w:rFonts w:ascii="宋体" w:hAnsi="宋体"/>
      <w:spacing w:val="12"/>
      <w:kern w:val="28"/>
      <w:sz w:val="18"/>
      <w:szCs w:val="20"/>
    </w:rPr>
  </w:style>
  <w:style w:type="character" w:customStyle="1" w:styleId="490">
    <w:name w:val="表头ok Char"/>
    <w:link w:val="491"/>
    <w:autoRedefine/>
    <w:qFormat/>
    <w:uiPriority w:val="0"/>
    <w:rPr>
      <w:sz w:val="24"/>
    </w:rPr>
  </w:style>
  <w:style w:type="paragraph" w:customStyle="1" w:styleId="491">
    <w:name w:val="表头ok"/>
    <w:basedOn w:val="1"/>
    <w:link w:val="490"/>
    <w:autoRedefine/>
    <w:qFormat/>
    <w:uiPriority w:val="0"/>
    <w:pPr>
      <w:autoSpaceDE w:val="0"/>
      <w:autoSpaceDN w:val="0"/>
      <w:adjustRightInd w:val="0"/>
      <w:snapToGrid w:val="0"/>
      <w:spacing w:beforeLines="50" w:afterLines="50" w:line="240" w:lineRule="auto"/>
      <w:ind w:firstLine="0"/>
      <w:jc w:val="center"/>
    </w:pPr>
    <w:rPr>
      <w:rFonts w:asciiTheme="minorHAnsi" w:hAnsiTheme="minorHAnsi" w:eastAsiaTheme="minorEastAsia" w:cstheme="minorBidi"/>
      <w:szCs w:val="22"/>
    </w:rPr>
  </w:style>
  <w:style w:type="character" w:customStyle="1" w:styleId="492">
    <w:name w:val="表格注释 Char"/>
    <w:link w:val="489"/>
    <w:autoRedefine/>
    <w:qFormat/>
    <w:uiPriority w:val="0"/>
    <w:rPr>
      <w:rFonts w:ascii="宋体" w:hAnsi="宋体" w:eastAsia="宋体" w:cs="Times New Roman"/>
      <w:spacing w:val="12"/>
      <w:kern w:val="28"/>
      <w:sz w:val="18"/>
      <w:szCs w:val="20"/>
    </w:rPr>
  </w:style>
  <w:style w:type="paragraph" w:customStyle="1" w:styleId="493">
    <w:name w:val="SB表标题"/>
    <w:basedOn w:val="465"/>
    <w:autoRedefine/>
    <w:qFormat/>
    <w:uiPriority w:val="0"/>
    <w:pPr>
      <w:spacing w:beforeLines="20" w:afterLines="20"/>
      <w:ind w:firstLine="200"/>
      <w:jc w:val="center"/>
    </w:pPr>
  </w:style>
  <w:style w:type="table" w:customStyle="1" w:styleId="494">
    <w:name w:val="网格型1"/>
    <w:basedOn w:val="8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5">
    <w:name w:val="网格型2"/>
    <w:basedOn w:val="8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6">
    <w:name w:val="网格型3"/>
    <w:basedOn w:val="8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7">
    <w:name w:val="网格型4"/>
    <w:basedOn w:val="8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98">
    <w:name w:val="headline-content"/>
    <w:autoRedefine/>
    <w:qFormat/>
    <w:uiPriority w:val="0"/>
  </w:style>
  <w:style w:type="paragraph" w:customStyle="1" w:styleId="499">
    <w:name w:val="pic-info"/>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paragraph" w:customStyle="1" w:styleId="500">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jc w:val="center"/>
    </w:pPr>
    <w:rPr>
      <w:rFonts w:ascii="宋体" w:hAnsi="宋体" w:cs="宋体"/>
      <w:color w:val="000000"/>
      <w:kern w:val="0"/>
      <w:sz w:val="18"/>
      <w:szCs w:val="18"/>
    </w:rPr>
  </w:style>
  <w:style w:type="paragraph" w:customStyle="1" w:styleId="501">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jc w:val="center"/>
    </w:pPr>
    <w:rPr>
      <w:rFonts w:ascii="宋体" w:hAnsi="宋体" w:cs="宋体"/>
      <w:color w:val="000000"/>
      <w:kern w:val="0"/>
      <w:sz w:val="18"/>
      <w:szCs w:val="18"/>
    </w:rPr>
  </w:style>
  <w:style w:type="paragraph" w:customStyle="1" w:styleId="502">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jc w:val="center"/>
    </w:pPr>
    <w:rPr>
      <w:rFonts w:ascii="宋体" w:hAnsi="宋体" w:cs="宋体"/>
      <w:color w:val="000000"/>
      <w:kern w:val="0"/>
      <w:sz w:val="18"/>
      <w:szCs w:val="18"/>
    </w:rPr>
  </w:style>
  <w:style w:type="paragraph" w:customStyle="1" w:styleId="503">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jc w:val="center"/>
    </w:pPr>
    <w:rPr>
      <w:rFonts w:ascii="宋体" w:hAnsi="宋体" w:cs="宋体"/>
      <w:color w:val="000000"/>
      <w:kern w:val="0"/>
      <w:sz w:val="18"/>
      <w:szCs w:val="18"/>
    </w:rPr>
  </w:style>
  <w:style w:type="paragraph" w:customStyle="1" w:styleId="504">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left"/>
    </w:pPr>
    <w:rPr>
      <w:rFonts w:ascii="宋体" w:hAnsi="宋体" w:cs="宋体"/>
      <w:kern w:val="0"/>
    </w:rPr>
  </w:style>
  <w:style w:type="paragraph" w:customStyle="1" w:styleId="505">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宋体" w:hAnsi="宋体" w:cs="宋体"/>
      <w:kern w:val="0"/>
      <w:sz w:val="16"/>
      <w:szCs w:val="16"/>
    </w:rPr>
  </w:style>
  <w:style w:type="paragraph" w:customStyle="1" w:styleId="506">
    <w:name w:val="xl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jc w:val="center"/>
    </w:pPr>
    <w:rPr>
      <w:rFonts w:ascii="宋体" w:hAnsi="宋体" w:cs="宋体"/>
      <w:color w:val="000000"/>
      <w:kern w:val="0"/>
      <w:sz w:val="18"/>
      <w:szCs w:val="18"/>
    </w:rPr>
  </w:style>
  <w:style w:type="paragraph" w:customStyle="1" w:styleId="507">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宋体" w:hAnsi="宋体" w:cs="宋体"/>
      <w:kern w:val="0"/>
      <w:sz w:val="18"/>
      <w:szCs w:val="18"/>
    </w:rPr>
  </w:style>
  <w:style w:type="paragraph" w:customStyle="1" w:styleId="508">
    <w:name w:val="4级"/>
    <w:basedOn w:val="6"/>
    <w:link w:val="510"/>
    <w:autoRedefine/>
    <w:semiHidden/>
    <w:qFormat/>
    <w:uiPriority w:val="0"/>
    <w:pPr>
      <w:spacing w:before="0" w:after="0" w:line="360" w:lineRule="auto"/>
    </w:pPr>
    <w:rPr>
      <w:rFonts w:ascii="Times New Roman" w:hAnsi="Times New Roman" w:cs="宋体"/>
      <w:b w:val="0"/>
      <w:sz w:val="24"/>
      <w:szCs w:val="20"/>
    </w:rPr>
  </w:style>
  <w:style w:type="paragraph" w:customStyle="1" w:styleId="509">
    <w:name w:val="二级"/>
    <w:basedOn w:val="4"/>
    <w:link w:val="511"/>
    <w:autoRedefine/>
    <w:semiHidden/>
    <w:qFormat/>
    <w:uiPriority w:val="0"/>
    <w:pPr>
      <w:adjustRightInd w:val="0"/>
      <w:spacing w:before="156" w:after="156" w:line="240" w:lineRule="auto"/>
      <w:jc w:val="both"/>
      <w:textAlignment w:val="auto"/>
    </w:pPr>
    <w:rPr>
      <w:rFonts w:eastAsia="宋体" w:cs="宋体"/>
      <w:b/>
      <w:bCs/>
      <w:kern w:val="2"/>
      <w:sz w:val="30"/>
      <w:lang w:bidi="ar-SA"/>
    </w:rPr>
  </w:style>
  <w:style w:type="character" w:customStyle="1" w:styleId="510">
    <w:name w:val="4级 Char"/>
    <w:link w:val="508"/>
    <w:autoRedefine/>
    <w:semiHidden/>
    <w:qFormat/>
    <w:uiPriority w:val="0"/>
    <w:rPr>
      <w:rFonts w:ascii="Times New Roman" w:hAnsi="Times New Roman" w:eastAsia="黑体" w:cs="宋体"/>
      <w:bCs/>
      <w:sz w:val="24"/>
      <w:szCs w:val="20"/>
    </w:rPr>
  </w:style>
  <w:style w:type="character" w:customStyle="1" w:styleId="511">
    <w:name w:val="二级 Char Char"/>
    <w:link w:val="509"/>
    <w:autoRedefine/>
    <w:semiHidden/>
    <w:qFormat/>
    <w:uiPriority w:val="0"/>
    <w:rPr>
      <w:rFonts w:ascii="Times New Roman" w:hAnsi="Times New Roman" w:eastAsia="宋体" w:cs="宋体"/>
      <w:b/>
      <w:bCs/>
      <w:sz w:val="30"/>
      <w:szCs w:val="20"/>
    </w:rPr>
  </w:style>
  <w:style w:type="character" w:customStyle="1" w:styleId="512">
    <w:name w:val="样式 两端对齐 首行缩进:  2 字符 Char"/>
    <w:link w:val="334"/>
    <w:autoRedefine/>
    <w:qFormat/>
    <w:uiPriority w:val="0"/>
    <w:rPr>
      <w:rFonts w:ascii="Times New Roman" w:hAnsi="Times New Roman" w:eastAsia="宋体" w:cs="宋体"/>
      <w:kern w:val="0"/>
      <w:sz w:val="28"/>
      <w:szCs w:val="28"/>
    </w:rPr>
  </w:style>
  <w:style w:type="paragraph" w:customStyle="1" w:styleId="513">
    <w:name w:val="Char Char Char Char Char Char Char"/>
    <w:basedOn w:val="1"/>
    <w:autoRedefine/>
    <w:qFormat/>
    <w:uiPriority w:val="0"/>
    <w:pPr>
      <w:widowControl/>
      <w:spacing w:after="160" w:line="240" w:lineRule="exact"/>
      <w:ind w:firstLine="0"/>
      <w:jc w:val="left"/>
    </w:pPr>
    <w:rPr>
      <w:rFonts w:ascii="Verdana" w:hAnsi="Verdana"/>
      <w:kern w:val="0"/>
      <w:sz w:val="20"/>
      <w:szCs w:val="20"/>
      <w:lang w:eastAsia="en-US"/>
    </w:rPr>
  </w:style>
  <w:style w:type="paragraph" w:customStyle="1" w:styleId="514">
    <w:name w:val="SB正文.一行"/>
    <w:basedOn w:val="465"/>
    <w:autoRedefine/>
    <w:qFormat/>
    <w:uiPriority w:val="0"/>
    <w:pPr>
      <w:spacing w:before="0" w:after="0"/>
    </w:pPr>
  </w:style>
  <w:style w:type="table" w:customStyle="1" w:styleId="515">
    <w:name w:val="SBLZ网格1"/>
    <w:basedOn w:val="88"/>
    <w:autoRedefine/>
    <w:qFormat/>
    <w:uiPriority w:val="0"/>
    <w:pPr>
      <w:jc w:val="center"/>
    </w:pPr>
    <w:rPr>
      <w:sz w:val="18"/>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cPr>
      <w:vAlign w:val="center"/>
    </w:tcPr>
  </w:style>
  <w:style w:type="table" w:customStyle="1" w:styleId="516">
    <w:name w:val="SBLZ网格2"/>
    <w:basedOn w:val="88"/>
    <w:autoRedefine/>
    <w:qFormat/>
    <w:uiPriority w:val="0"/>
    <w:pPr>
      <w:jc w:val="center"/>
    </w:pPr>
    <w:rPr>
      <w:sz w:val="18"/>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cPr>
      <w:vAlign w:val="center"/>
    </w:tcPr>
  </w:style>
  <w:style w:type="paragraph" w:customStyle="1" w:styleId="517">
    <w:name w:val="正文使用"/>
    <w:basedOn w:val="1"/>
    <w:autoRedefine/>
    <w:qFormat/>
    <w:uiPriority w:val="0"/>
    <w:pPr>
      <w:ind w:firstLine="200" w:firstLineChars="200"/>
    </w:pPr>
  </w:style>
  <w:style w:type="paragraph" w:customStyle="1" w:styleId="518">
    <w:name w:val="TOC 标题1"/>
    <w:basedOn w:val="3"/>
    <w:next w:val="1"/>
    <w:autoRedefine/>
    <w:qFormat/>
    <w:uiPriority w:val="39"/>
    <w:pPr>
      <w:widowControl/>
      <w:spacing w:before="480" w:line="276" w:lineRule="auto"/>
      <w:textAlignment w:val="auto"/>
      <w:outlineLvl w:val="9"/>
    </w:pPr>
    <w:rPr>
      <w:rFonts w:ascii="Cambria" w:hAnsi="Cambria" w:eastAsia="宋体"/>
      <w:b/>
      <w:color w:val="365F91"/>
      <w:kern w:val="0"/>
      <w:sz w:val="28"/>
      <w:szCs w:val="28"/>
    </w:rPr>
  </w:style>
  <w:style w:type="paragraph" w:customStyle="1" w:styleId="519">
    <w:name w:val="Char Char Char Char Char Char Char Char Char Char Char Char Char Char Char Char Char Char"/>
    <w:basedOn w:val="1"/>
    <w:autoRedefine/>
    <w:qFormat/>
    <w:uiPriority w:val="0"/>
    <w:pPr>
      <w:spacing w:line="240" w:lineRule="auto"/>
      <w:ind w:firstLine="0"/>
    </w:pPr>
    <w:rPr>
      <w:sz w:val="21"/>
      <w:szCs w:val="20"/>
    </w:rPr>
  </w:style>
  <w:style w:type="paragraph" w:customStyle="1" w:styleId="520">
    <w:name w:val="标题4"/>
    <w:basedOn w:val="1"/>
    <w:next w:val="1"/>
    <w:autoRedefine/>
    <w:qFormat/>
    <w:uiPriority w:val="0"/>
    <w:pPr>
      <w:tabs>
        <w:tab w:val="left" w:pos="-170"/>
      </w:tabs>
      <w:spacing w:line="240" w:lineRule="auto"/>
      <w:ind w:left="-170" w:firstLine="170"/>
      <w:jc w:val="left"/>
    </w:pPr>
    <w:rPr>
      <w:b/>
      <w:sz w:val="28"/>
      <w:szCs w:val="28"/>
    </w:rPr>
  </w:style>
  <w:style w:type="paragraph" w:customStyle="1" w:styleId="521">
    <w:name w:val="Char Char Char1"/>
    <w:basedOn w:val="1"/>
    <w:autoRedefine/>
    <w:qFormat/>
    <w:uiPriority w:val="0"/>
    <w:pPr>
      <w:spacing w:line="240" w:lineRule="auto"/>
      <w:ind w:firstLine="0"/>
    </w:pPr>
    <w:rPr>
      <w:sz w:val="21"/>
      <w:szCs w:val="20"/>
    </w:rPr>
  </w:style>
  <w:style w:type="paragraph" w:customStyle="1" w:styleId="522">
    <w:name w:val="Char Char Char Char Char Char1 Char1"/>
    <w:basedOn w:val="1"/>
    <w:next w:val="1"/>
    <w:autoRedefine/>
    <w:qFormat/>
    <w:uiPriority w:val="0"/>
    <w:pPr>
      <w:ind w:firstLine="200" w:firstLineChars="200"/>
    </w:pPr>
    <w:rPr>
      <w:rFonts w:ascii="宋体" w:hAnsi="宋体" w:cs="宋体"/>
    </w:rPr>
  </w:style>
  <w:style w:type="paragraph" w:customStyle="1" w:styleId="523">
    <w:name w:val="3级标题"/>
    <w:basedOn w:val="5"/>
    <w:link w:val="1321"/>
    <w:autoRedefine/>
    <w:qFormat/>
    <w:uiPriority w:val="0"/>
    <w:rPr>
      <w:rFonts w:ascii="黑体"/>
      <w:kern w:val="0"/>
      <w:szCs w:val="32"/>
    </w:rPr>
  </w:style>
  <w:style w:type="paragraph" w:customStyle="1" w:styleId="524">
    <w:name w:val="7表后注"/>
    <w:basedOn w:val="1"/>
    <w:autoRedefine/>
    <w:qFormat/>
    <w:uiPriority w:val="0"/>
    <w:pPr>
      <w:snapToGrid w:val="0"/>
      <w:spacing w:line="240" w:lineRule="auto"/>
      <w:ind w:firstLine="0"/>
    </w:pPr>
    <w:rPr>
      <w:color w:val="000000"/>
      <w:sz w:val="21"/>
      <w:szCs w:val="21"/>
    </w:rPr>
  </w:style>
  <w:style w:type="paragraph" w:customStyle="1" w:styleId="525">
    <w:name w:val="正文格式"/>
    <w:basedOn w:val="1"/>
    <w:link w:val="526"/>
    <w:autoRedefine/>
    <w:qFormat/>
    <w:uiPriority w:val="0"/>
    <w:pPr>
      <w:ind w:firstLine="482"/>
    </w:pPr>
    <w:rPr>
      <w:rFonts w:ascii="宋体"/>
    </w:rPr>
  </w:style>
  <w:style w:type="character" w:customStyle="1" w:styleId="526">
    <w:name w:val="正文格式 Char"/>
    <w:link w:val="525"/>
    <w:autoRedefine/>
    <w:qFormat/>
    <w:uiPriority w:val="0"/>
    <w:rPr>
      <w:rFonts w:ascii="宋体" w:hAnsi="Times New Roman" w:eastAsia="宋体" w:cs="Times New Roman"/>
      <w:sz w:val="24"/>
      <w:szCs w:val="24"/>
    </w:rPr>
  </w:style>
  <w:style w:type="paragraph" w:customStyle="1" w:styleId="527">
    <w:name w:val="Char Char2 Char"/>
    <w:basedOn w:val="1"/>
    <w:autoRedefine/>
    <w:qFormat/>
    <w:uiPriority w:val="0"/>
    <w:pPr>
      <w:spacing w:line="240" w:lineRule="auto"/>
      <w:ind w:firstLine="0"/>
    </w:pPr>
    <w:rPr>
      <w:kern w:val="0"/>
      <w:sz w:val="21"/>
      <w:szCs w:val="20"/>
    </w:rPr>
  </w:style>
  <w:style w:type="character" w:customStyle="1" w:styleId="528">
    <w:name w:val="identication Char2"/>
    <w:autoRedefine/>
    <w:qFormat/>
    <w:uiPriority w:val="0"/>
    <w:rPr>
      <w:rFonts w:eastAsia="宋体"/>
      <w:kern w:val="2"/>
      <w:sz w:val="21"/>
      <w:szCs w:val="24"/>
      <w:lang w:val="en-US" w:eastAsia="zh-CN" w:bidi="ar-SA"/>
    </w:rPr>
  </w:style>
  <w:style w:type="paragraph" w:customStyle="1" w:styleId="529">
    <w:name w:val="样式 首行缩进:  2 字符"/>
    <w:basedOn w:val="1"/>
    <w:link w:val="530"/>
    <w:autoRedefine/>
    <w:qFormat/>
    <w:uiPriority w:val="0"/>
    <w:pPr>
      <w:spacing w:line="480" w:lineRule="exact"/>
      <w:ind w:firstLine="480" w:firstLineChars="200"/>
    </w:pPr>
    <w:rPr>
      <w:rFonts w:cs="宋体"/>
      <w:szCs w:val="20"/>
    </w:rPr>
  </w:style>
  <w:style w:type="character" w:customStyle="1" w:styleId="530">
    <w:name w:val="样式 首行缩进:  2 字符 Char1"/>
    <w:link w:val="529"/>
    <w:autoRedefine/>
    <w:qFormat/>
    <w:uiPriority w:val="0"/>
    <w:rPr>
      <w:rFonts w:ascii="Times New Roman" w:hAnsi="Times New Roman" w:eastAsia="宋体" w:cs="宋体"/>
      <w:sz w:val="24"/>
      <w:szCs w:val="20"/>
    </w:rPr>
  </w:style>
  <w:style w:type="paragraph" w:customStyle="1" w:styleId="531">
    <w:name w:val="样式 样式 样式 首行缩进:  0.85 厘米 + 段前: 0.5 行 + 段前: 0.5 行"/>
    <w:basedOn w:val="1"/>
    <w:autoRedefine/>
    <w:qFormat/>
    <w:uiPriority w:val="0"/>
    <w:pPr>
      <w:ind w:firstLine="482"/>
    </w:pPr>
    <w:rPr>
      <w:rFonts w:cs="宋体"/>
    </w:rPr>
  </w:style>
  <w:style w:type="paragraph" w:customStyle="1" w:styleId="532">
    <w:name w:val="样式 正文部分 + 首行缩进:  2 字符 行距: 1.5 倍行距"/>
    <w:basedOn w:val="1"/>
    <w:autoRedefine/>
    <w:qFormat/>
    <w:uiPriority w:val="0"/>
    <w:pPr>
      <w:ind w:firstLine="200" w:firstLineChars="200"/>
    </w:pPr>
    <w:rPr>
      <w:rFonts w:cs="宋体"/>
      <w:szCs w:val="20"/>
    </w:rPr>
  </w:style>
  <w:style w:type="paragraph" w:customStyle="1" w:styleId="533">
    <w:name w:val="无间隔1"/>
    <w:link w:val="58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4">
    <w:name w:val="正缩1"/>
    <w:basedOn w:val="1"/>
    <w:link w:val="535"/>
    <w:autoRedefine/>
    <w:qFormat/>
    <w:uiPriority w:val="0"/>
    <w:pPr>
      <w:adjustRightInd w:val="0"/>
      <w:snapToGrid w:val="0"/>
      <w:spacing w:line="500" w:lineRule="exact"/>
      <w:ind w:firstLine="567"/>
    </w:pPr>
    <w:rPr>
      <w:rFonts w:eastAsia="仿宋_GB2312"/>
      <w:snapToGrid w:val="0"/>
      <w:color w:val="000000"/>
      <w:kern w:val="0"/>
      <w:sz w:val="28"/>
      <w:szCs w:val="20"/>
    </w:rPr>
  </w:style>
  <w:style w:type="character" w:customStyle="1" w:styleId="535">
    <w:name w:val="正缩1 Char"/>
    <w:link w:val="534"/>
    <w:autoRedefine/>
    <w:qFormat/>
    <w:uiPriority w:val="0"/>
    <w:rPr>
      <w:rFonts w:ascii="Times New Roman" w:hAnsi="Times New Roman" w:eastAsia="仿宋_GB2312" w:cs="Times New Roman"/>
      <w:snapToGrid w:val="0"/>
      <w:color w:val="000000"/>
      <w:kern w:val="0"/>
      <w:sz w:val="28"/>
      <w:szCs w:val="20"/>
    </w:rPr>
  </w:style>
  <w:style w:type="paragraph" w:customStyle="1" w:styleId="536">
    <w:name w:val="7 Char Char Char Char"/>
    <w:basedOn w:val="1"/>
    <w:autoRedefine/>
    <w:qFormat/>
    <w:uiPriority w:val="0"/>
    <w:pPr>
      <w:ind w:firstLine="200" w:firstLineChars="200"/>
    </w:pPr>
    <w:rPr>
      <w:rFonts w:ascii="宋体" w:hAnsi="宋体" w:cs="宋体"/>
    </w:rPr>
  </w:style>
  <w:style w:type="paragraph" w:customStyle="1" w:styleId="537">
    <w:name w:val="样式 小四 行距: 1.5 倍行距"/>
    <w:basedOn w:val="1"/>
    <w:autoRedefine/>
    <w:qFormat/>
    <w:uiPriority w:val="0"/>
    <w:pPr>
      <w:ind w:firstLine="200" w:firstLineChars="200"/>
    </w:pPr>
    <w:rPr>
      <w:rFonts w:cs="宋体"/>
      <w:szCs w:val="20"/>
    </w:rPr>
  </w:style>
  <w:style w:type="table" w:customStyle="1" w:styleId="538">
    <w:name w:val="灰度表格1"/>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9">
    <w:name w:val="浅色底纹1"/>
    <w:basedOn w:val="88"/>
    <w:autoRedefine/>
    <w:qFormat/>
    <w:uiPriority w:val="6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540">
    <w:name w:val="浅色底纹 - 强调文字颜色 11"/>
    <w:basedOn w:val="88"/>
    <w:autoRedefine/>
    <w:qFormat/>
    <w:uiPriority w:val="60"/>
    <w:rPr>
      <w:rFonts w:ascii="Calibri" w:hAnsi="Calibri"/>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paragraph" w:customStyle="1" w:styleId="541">
    <w:name w:val="正文01"/>
    <w:basedOn w:val="1"/>
    <w:link w:val="712"/>
    <w:autoRedefine/>
    <w:qFormat/>
    <w:uiPriority w:val="0"/>
    <w:pPr>
      <w:spacing w:before="60" w:line="460" w:lineRule="exact"/>
      <w:ind w:left="-6" w:firstLine="200" w:firstLineChars="200"/>
    </w:pPr>
    <w:rPr>
      <w:snapToGrid w:val="0"/>
      <w:kern w:val="0"/>
    </w:rPr>
  </w:style>
  <w:style w:type="character" w:customStyle="1" w:styleId="542">
    <w:name w:val="正文文本缩进 3 Char1"/>
    <w:link w:val="543"/>
    <w:autoRedefine/>
    <w:qFormat/>
    <w:uiPriority w:val="99"/>
    <w:rPr>
      <w:rFonts w:ascii="Times New Roman" w:hAnsi="Times New Roman" w:eastAsia="宋体" w:cs="Times New Roman"/>
      <w:sz w:val="16"/>
      <w:szCs w:val="16"/>
    </w:rPr>
  </w:style>
  <w:style w:type="paragraph" w:customStyle="1" w:styleId="543">
    <w:name w:val="正文文本缩进 31"/>
    <w:basedOn w:val="1"/>
    <w:link w:val="542"/>
    <w:autoRedefine/>
    <w:qFormat/>
    <w:uiPriority w:val="0"/>
    <w:pPr>
      <w:tabs>
        <w:tab w:val="left" w:pos="0"/>
      </w:tabs>
      <w:spacing w:line="420" w:lineRule="exact"/>
      <w:ind w:firstLine="405"/>
      <w:jc w:val="left"/>
    </w:pPr>
    <w:rPr>
      <w:kern w:val="0"/>
      <w:sz w:val="16"/>
      <w:szCs w:val="16"/>
    </w:rPr>
  </w:style>
  <w:style w:type="character" w:customStyle="1" w:styleId="544">
    <w:name w:val="样式 首行缩进:  2 字符 Char"/>
    <w:autoRedefine/>
    <w:qFormat/>
    <w:uiPriority w:val="0"/>
    <w:rPr>
      <w:sz w:val="24"/>
      <w:szCs w:val="24"/>
    </w:rPr>
  </w:style>
  <w:style w:type="paragraph" w:customStyle="1" w:styleId="545">
    <w:name w:val="表格下方正文"/>
    <w:basedOn w:val="1"/>
    <w:autoRedefine/>
    <w:qFormat/>
    <w:uiPriority w:val="0"/>
    <w:pPr>
      <w:spacing w:before="300" w:line="460" w:lineRule="exact"/>
      <w:ind w:left="-6" w:firstLine="200" w:firstLineChars="200"/>
    </w:pPr>
    <w:rPr>
      <w:szCs w:val="20"/>
    </w:rPr>
  </w:style>
  <w:style w:type="paragraph" w:customStyle="1" w:styleId="546">
    <w:name w:val="表格正文"/>
    <w:basedOn w:val="1"/>
    <w:autoRedefine/>
    <w:qFormat/>
    <w:uiPriority w:val="0"/>
    <w:pPr>
      <w:spacing w:line="360" w:lineRule="exact"/>
      <w:ind w:left="-6" w:firstLine="0"/>
      <w:jc w:val="center"/>
    </w:pPr>
    <w:rPr>
      <w:sz w:val="21"/>
    </w:rPr>
  </w:style>
  <w:style w:type="character" w:customStyle="1" w:styleId="547">
    <w:name w:val="正文000 Char"/>
    <w:link w:val="466"/>
    <w:autoRedefine/>
    <w:qFormat/>
    <w:uiPriority w:val="0"/>
    <w:rPr>
      <w:rFonts w:ascii="Times New Roman" w:hAnsi="Times New Roman" w:eastAsia="宋体" w:cs="Times New Roman"/>
      <w:color w:val="000000"/>
      <w:spacing w:val="14"/>
      <w:sz w:val="24"/>
      <w:szCs w:val="20"/>
    </w:rPr>
  </w:style>
  <w:style w:type="paragraph" w:customStyle="1" w:styleId="548">
    <w:name w:val="Char Char Char Char Char Char Char Char Char Char Char Char Char Char Char Char"/>
    <w:basedOn w:val="1"/>
    <w:autoRedefine/>
    <w:qFormat/>
    <w:uiPriority w:val="0"/>
    <w:pPr>
      <w:tabs>
        <w:tab w:val="left" w:pos="360"/>
      </w:tabs>
      <w:spacing w:line="240" w:lineRule="auto"/>
      <w:ind w:left="-6" w:firstLine="0"/>
    </w:pPr>
  </w:style>
  <w:style w:type="paragraph" w:customStyle="1" w:styleId="549">
    <w:name w:val="样式 小四 行距: 固定值 28 磅"/>
    <w:basedOn w:val="1"/>
    <w:autoRedefine/>
    <w:qFormat/>
    <w:uiPriority w:val="0"/>
    <w:pPr>
      <w:spacing w:line="560" w:lineRule="exact"/>
      <w:ind w:left="-6" w:firstLine="480" w:firstLineChars="200"/>
    </w:pPr>
    <w:rPr>
      <w:rFonts w:cs="宋体"/>
      <w:sz w:val="28"/>
      <w:szCs w:val="20"/>
    </w:rPr>
  </w:style>
  <w:style w:type="paragraph" w:customStyle="1" w:styleId="550">
    <w:name w:val="样式 样式 正文文字样式 + 楷体_GB2312 首行缩进:  2 字符 + 首行缩进:  3.52 厘米"/>
    <w:basedOn w:val="1"/>
    <w:autoRedefine/>
    <w:qFormat/>
    <w:uiPriority w:val="0"/>
    <w:pPr>
      <w:ind w:left="-6" w:firstLine="560" w:firstLineChars="200"/>
    </w:pPr>
    <w:rPr>
      <w:rFonts w:ascii="宋体" w:hAnsi="宋体" w:cs="宋体"/>
      <w:sz w:val="28"/>
      <w:szCs w:val="28"/>
    </w:rPr>
  </w:style>
  <w:style w:type="paragraph" w:customStyle="1" w:styleId="551">
    <w:name w:val="MTDisplayEquation"/>
    <w:basedOn w:val="1"/>
    <w:next w:val="1"/>
    <w:autoRedefine/>
    <w:qFormat/>
    <w:uiPriority w:val="0"/>
    <w:pPr>
      <w:tabs>
        <w:tab w:val="center" w:pos="4160"/>
        <w:tab w:val="right" w:pos="8320"/>
      </w:tabs>
      <w:spacing w:line="240" w:lineRule="auto"/>
      <w:ind w:left="-6" w:firstLine="0"/>
    </w:pPr>
    <w:rPr>
      <w:sz w:val="28"/>
      <w:szCs w:val="28"/>
      <w:vertAlign w:val="subscript"/>
    </w:rPr>
  </w:style>
  <w:style w:type="paragraph" w:customStyle="1" w:styleId="552">
    <w:name w:val="列出段落11"/>
    <w:basedOn w:val="1"/>
    <w:autoRedefine/>
    <w:qFormat/>
    <w:uiPriority w:val="34"/>
    <w:pPr>
      <w:spacing w:line="240" w:lineRule="auto"/>
      <w:ind w:left="-6" w:firstLine="200" w:firstLineChars="200"/>
    </w:pPr>
  </w:style>
  <w:style w:type="paragraph" w:customStyle="1" w:styleId="553">
    <w:name w:val="样式 标题 2 + 首行缩进:  2 字符"/>
    <w:basedOn w:val="4"/>
    <w:autoRedefine/>
    <w:qFormat/>
    <w:uiPriority w:val="0"/>
    <w:pPr>
      <w:snapToGrid w:val="0"/>
      <w:spacing w:beforeLines="20" w:afterLines="20" w:line="240" w:lineRule="auto"/>
      <w:ind w:left="-3" w:firstLine="560" w:firstLineChars="200"/>
      <w:jc w:val="both"/>
      <w:textAlignment w:val="auto"/>
    </w:pPr>
    <w:rPr>
      <w:rFonts w:hAnsi="Arial" w:eastAsia="宋体" w:cs="宋体"/>
      <w:b/>
      <w:kern w:val="2"/>
      <w:lang w:bidi="ar-SA"/>
    </w:rPr>
  </w:style>
  <w:style w:type="paragraph" w:customStyle="1" w:styleId="554">
    <w:name w:val="font11"/>
    <w:basedOn w:val="1"/>
    <w:autoRedefine/>
    <w:qFormat/>
    <w:uiPriority w:val="0"/>
    <w:pPr>
      <w:widowControl/>
      <w:spacing w:before="100" w:beforeAutospacing="1" w:after="100" w:afterAutospacing="1" w:line="240" w:lineRule="auto"/>
      <w:ind w:left="-6" w:firstLine="0"/>
      <w:jc w:val="left"/>
    </w:pPr>
    <w:rPr>
      <w:rFonts w:ascii="宋体" w:hAnsi="宋体" w:cs="宋体"/>
      <w:color w:val="000000"/>
      <w:kern w:val="0"/>
      <w:sz w:val="20"/>
      <w:szCs w:val="20"/>
    </w:rPr>
  </w:style>
  <w:style w:type="paragraph" w:customStyle="1" w:styleId="555">
    <w:name w:val="xl74"/>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line="240" w:lineRule="auto"/>
      <w:ind w:left="-6" w:firstLine="0"/>
      <w:jc w:val="center"/>
      <w:textAlignment w:val="center"/>
    </w:pPr>
    <w:rPr>
      <w:rFonts w:ascii="宋体" w:hAnsi="宋体" w:cs="宋体"/>
      <w:kern w:val="0"/>
      <w:sz w:val="20"/>
      <w:szCs w:val="20"/>
    </w:rPr>
  </w:style>
  <w:style w:type="paragraph" w:customStyle="1" w:styleId="556">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ind w:left="-6" w:firstLine="0"/>
      <w:jc w:val="center"/>
      <w:textAlignment w:val="center"/>
    </w:pPr>
    <w:rPr>
      <w:rFonts w:ascii="宋体" w:hAnsi="宋体" w:cs="宋体"/>
      <w:kern w:val="0"/>
      <w:sz w:val="20"/>
      <w:szCs w:val="20"/>
    </w:rPr>
  </w:style>
  <w:style w:type="paragraph" w:customStyle="1" w:styleId="557">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ind w:left="-6" w:firstLine="0"/>
      <w:jc w:val="center"/>
      <w:textAlignment w:val="center"/>
    </w:pPr>
    <w:rPr>
      <w:rFonts w:ascii="宋体" w:hAnsi="宋体" w:cs="宋体"/>
      <w:color w:val="000000"/>
      <w:kern w:val="0"/>
      <w:sz w:val="20"/>
      <w:szCs w:val="20"/>
    </w:rPr>
  </w:style>
  <w:style w:type="paragraph" w:customStyle="1" w:styleId="558">
    <w:name w:val="xl77"/>
    <w:basedOn w:val="1"/>
    <w:autoRedefine/>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line="240" w:lineRule="auto"/>
      <w:ind w:left="-6" w:firstLine="0"/>
      <w:jc w:val="center"/>
      <w:textAlignment w:val="center"/>
    </w:pPr>
    <w:rPr>
      <w:rFonts w:ascii="宋体" w:hAnsi="宋体" w:cs="宋体"/>
      <w:kern w:val="0"/>
      <w:sz w:val="20"/>
      <w:szCs w:val="20"/>
    </w:rPr>
  </w:style>
  <w:style w:type="paragraph" w:customStyle="1" w:styleId="559">
    <w:name w:val="xl78"/>
    <w:basedOn w:val="1"/>
    <w:autoRedefine/>
    <w:qFormat/>
    <w:uiPriority w:val="0"/>
    <w:pPr>
      <w:widowControl/>
      <w:pBdr>
        <w:top w:val="single" w:color="auto" w:sz="4" w:space="0"/>
        <w:bottom w:val="single" w:color="auto" w:sz="4" w:space="0"/>
      </w:pBdr>
      <w:shd w:val="clear" w:color="auto" w:fill="FFFFFF"/>
      <w:spacing w:before="100" w:beforeAutospacing="1" w:after="100" w:afterAutospacing="1" w:line="240" w:lineRule="auto"/>
      <w:ind w:left="-6" w:firstLine="0"/>
      <w:jc w:val="center"/>
      <w:textAlignment w:val="center"/>
    </w:pPr>
    <w:rPr>
      <w:rFonts w:ascii="宋体" w:hAnsi="宋体" w:cs="宋体"/>
      <w:kern w:val="0"/>
      <w:sz w:val="20"/>
      <w:szCs w:val="20"/>
    </w:rPr>
  </w:style>
  <w:style w:type="paragraph" w:customStyle="1" w:styleId="560">
    <w:name w:val="xl79"/>
    <w:basedOn w:val="1"/>
    <w:autoRedefine/>
    <w:qFormat/>
    <w:uiPriority w:val="0"/>
    <w:pPr>
      <w:widowControl/>
      <w:pBdr>
        <w:top w:val="single" w:color="auto" w:sz="4" w:space="0"/>
        <w:bottom w:val="single" w:color="auto" w:sz="4" w:space="0"/>
      </w:pBdr>
      <w:shd w:val="clear" w:color="auto" w:fill="FFFFFF"/>
      <w:spacing w:before="100" w:beforeAutospacing="1" w:after="100" w:afterAutospacing="1" w:line="240" w:lineRule="auto"/>
      <w:ind w:left="-6" w:firstLine="0"/>
      <w:jc w:val="center"/>
      <w:textAlignment w:val="center"/>
    </w:pPr>
    <w:rPr>
      <w:rFonts w:ascii="宋体" w:hAnsi="宋体" w:cs="宋体"/>
      <w:kern w:val="0"/>
      <w:sz w:val="20"/>
      <w:szCs w:val="20"/>
    </w:rPr>
  </w:style>
  <w:style w:type="paragraph" w:customStyle="1" w:styleId="561">
    <w:name w:val="xl80"/>
    <w:basedOn w:val="1"/>
    <w:autoRedefine/>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line="240" w:lineRule="auto"/>
      <w:ind w:left="-6" w:firstLine="0"/>
      <w:jc w:val="center"/>
      <w:textAlignment w:val="center"/>
    </w:pPr>
    <w:rPr>
      <w:rFonts w:ascii="宋体" w:hAnsi="宋体" w:cs="宋体"/>
      <w:kern w:val="0"/>
      <w:sz w:val="20"/>
      <w:szCs w:val="20"/>
    </w:rPr>
  </w:style>
  <w:style w:type="paragraph" w:customStyle="1" w:styleId="562">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ind w:left="-6" w:firstLine="0"/>
      <w:jc w:val="center"/>
      <w:textAlignment w:val="center"/>
    </w:pPr>
    <w:rPr>
      <w:rFonts w:ascii="宋体" w:hAnsi="宋体" w:cs="宋体"/>
      <w:kern w:val="0"/>
      <w:sz w:val="20"/>
      <w:szCs w:val="20"/>
    </w:rPr>
  </w:style>
  <w:style w:type="paragraph" w:customStyle="1" w:styleId="563">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ind w:left="-6" w:firstLine="0"/>
      <w:jc w:val="center"/>
      <w:textAlignment w:val="center"/>
    </w:pPr>
    <w:rPr>
      <w:rFonts w:ascii="宋体" w:hAnsi="宋体" w:cs="宋体"/>
      <w:kern w:val="0"/>
      <w:sz w:val="20"/>
      <w:szCs w:val="20"/>
    </w:rPr>
  </w:style>
  <w:style w:type="paragraph" w:customStyle="1" w:styleId="564">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ind w:left="-6" w:firstLine="0"/>
      <w:jc w:val="center"/>
      <w:textAlignment w:val="center"/>
    </w:pPr>
    <w:rPr>
      <w:rFonts w:ascii="宋体" w:hAnsi="宋体" w:cs="宋体"/>
      <w:kern w:val="0"/>
      <w:sz w:val="20"/>
      <w:szCs w:val="20"/>
    </w:rPr>
  </w:style>
  <w:style w:type="paragraph" w:customStyle="1" w:styleId="565">
    <w:name w:val="xl8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line="240" w:lineRule="auto"/>
      <w:ind w:left="-6" w:firstLine="0"/>
      <w:jc w:val="center"/>
      <w:textAlignment w:val="center"/>
    </w:pPr>
    <w:rPr>
      <w:rFonts w:ascii="宋体" w:hAnsi="宋体" w:cs="宋体"/>
      <w:kern w:val="0"/>
      <w:sz w:val="20"/>
      <w:szCs w:val="20"/>
    </w:rPr>
  </w:style>
  <w:style w:type="paragraph" w:customStyle="1" w:styleId="566">
    <w:name w:val="xl85"/>
    <w:basedOn w:val="1"/>
    <w:autoRedefine/>
    <w:qFormat/>
    <w:uiPriority w:val="0"/>
    <w:pPr>
      <w:widowControl/>
      <w:shd w:val="clear" w:color="auto" w:fill="FFFFFF"/>
      <w:spacing w:before="100" w:beforeAutospacing="1" w:after="100" w:afterAutospacing="1" w:line="240" w:lineRule="auto"/>
      <w:ind w:left="-6" w:firstLine="0"/>
      <w:jc w:val="center"/>
      <w:textAlignment w:val="center"/>
    </w:pPr>
    <w:rPr>
      <w:rFonts w:ascii="宋体" w:hAnsi="宋体" w:cs="宋体"/>
      <w:color w:val="000000"/>
      <w:kern w:val="0"/>
      <w:sz w:val="32"/>
      <w:szCs w:val="32"/>
    </w:rPr>
  </w:style>
  <w:style w:type="paragraph" w:customStyle="1" w:styleId="567">
    <w:name w:val="xl86"/>
    <w:basedOn w:val="1"/>
    <w:autoRedefine/>
    <w:qFormat/>
    <w:uiPriority w:val="0"/>
    <w:pPr>
      <w:widowControl/>
      <w:shd w:val="clear" w:color="auto" w:fill="FFFFFF"/>
      <w:spacing w:before="100" w:beforeAutospacing="1" w:after="100" w:afterAutospacing="1" w:line="240" w:lineRule="auto"/>
      <w:ind w:left="-6" w:firstLine="0"/>
      <w:jc w:val="center"/>
      <w:textAlignment w:val="center"/>
    </w:pPr>
    <w:rPr>
      <w:rFonts w:ascii="宋体" w:hAnsi="宋体" w:cs="宋体"/>
      <w:color w:val="000000"/>
      <w:kern w:val="0"/>
    </w:rPr>
  </w:style>
  <w:style w:type="paragraph" w:customStyle="1" w:styleId="568">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ind w:left="-6" w:firstLine="0"/>
      <w:jc w:val="center"/>
      <w:textAlignment w:val="center"/>
    </w:pPr>
    <w:rPr>
      <w:rFonts w:ascii="宋体" w:hAnsi="宋体" w:cs="宋体"/>
      <w:color w:val="000000"/>
      <w:kern w:val="0"/>
      <w:sz w:val="20"/>
      <w:szCs w:val="20"/>
    </w:rPr>
  </w:style>
  <w:style w:type="paragraph" w:customStyle="1" w:styleId="569">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ind w:left="-6" w:firstLine="0"/>
      <w:jc w:val="center"/>
      <w:textAlignment w:val="center"/>
    </w:pPr>
    <w:rPr>
      <w:rFonts w:ascii="宋体" w:hAnsi="宋体" w:cs="宋体"/>
      <w:color w:val="000000"/>
      <w:kern w:val="0"/>
      <w:sz w:val="20"/>
      <w:szCs w:val="20"/>
    </w:rPr>
  </w:style>
  <w:style w:type="paragraph" w:customStyle="1" w:styleId="570">
    <w:name w:val="样式 样式 aaaaaaa + Times New Roman + 首行缩进:  2 字符"/>
    <w:basedOn w:val="1"/>
    <w:autoRedefine/>
    <w:qFormat/>
    <w:uiPriority w:val="0"/>
    <w:pPr>
      <w:widowControl/>
      <w:spacing w:line="480" w:lineRule="exact"/>
      <w:ind w:left="-6" w:firstLine="560" w:firstLineChars="200"/>
    </w:pPr>
    <w:rPr>
      <w:rFonts w:eastAsia="仿宋_GB2312" w:cs="宋体"/>
      <w:kern w:val="0"/>
      <w:sz w:val="28"/>
      <w:szCs w:val="20"/>
      <w:lang w:eastAsia="en-US" w:bidi="en-US"/>
    </w:rPr>
  </w:style>
  <w:style w:type="paragraph" w:customStyle="1" w:styleId="571">
    <w:name w:val="可研表格"/>
    <w:basedOn w:val="173"/>
    <w:link w:val="572"/>
    <w:autoRedefine/>
    <w:qFormat/>
    <w:uiPriority w:val="0"/>
    <w:pPr>
      <w:widowControl/>
      <w:spacing w:line="240" w:lineRule="auto"/>
      <w:ind w:left="-6"/>
    </w:pPr>
    <w:rPr>
      <w:rFonts w:hAnsi="Calibri" w:eastAsia="仿宋_GB2312"/>
      <w:b w:val="0"/>
      <w:sz w:val="21"/>
      <w:szCs w:val="24"/>
    </w:rPr>
  </w:style>
  <w:style w:type="character" w:customStyle="1" w:styleId="572">
    <w:name w:val="可研表格 Char"/>
    <w:link w:val="571"/>
    <w:autoRedefine/>
    <w:qFormat/>
    <w:uiPriority w:val="0"/>
    <w:rPr>
      <w:rFonts w:ascii="Times New Roman" w:hAnsi="Calibri" w:eastAsia="仿宋_GB2312" w:cs="Times New Roman"/>
      <w:szCs w:val="24"/>
    </w:rPr>
  </w:style>
  <w:style w:type="paragraph" w:customStyle="1" w:styleId="573">
    <w:name w:val="样式 aaaaaaa + Times New Roman 小四 右 首行缩进:  0 字符"/>
    <w:basedOn w:val="1"/>
    <w:autoRedefine/>
    <w:qFormat/>
    <w:uiPriority w:val="0"/>
    <w:pPr>
      <w:widowControl/>
      <w:spacing w:line="480" w:lineRule="exact"/>
      <w:ind w:left="-6" w:firstLine="0"/>
      <w:jc w:val="right"/>
    </w:pPr>
    <w:rPr>
      <w:rFonts w:eastAsia="仿宋_GB2312" w:cs="宋体"/>
      <w:kern w:val="0"/>
      <w:szCs w:val="20"/>
      <w:lang w:eastAsia="en-US" w:bidi="en-US"/>
    </w:rPr>
  </w:style>
  <w:style w:type="paragraph" w:customStyle="1" w:styleId="574">
    <w:name w:val="aaaaaaa"/>
    <w:basedOn w:val="1"/>
    <w:autoRedefine/>
    <w:qFormat/>
    <w:uiPriority w:val="0"/>
    <w:pPr>
      <w:widowControl/>
      <w:spacing w:line="480" w:lineRule="exact"/>
      <w:ind w:left="-6" w:firstLine="560" w:firstLineChars="200"/>
      <w:jc w:val="left"/>
    </w:pPr>
    <w:rPr>
      <w:rFonts w:ascii="Calibri" w:hAnsi="Calibri" w:eastAsia="仿宋_GB2312" w:cs="宋体"/>
      <w:kern w:val="0"/>
      <w:sz w:val="28"/>
      <w:szCs w:val="20"/>
      <w:lang w:eastAsia="en-US" w:bidi="en-US"/>
    </w:rPr>
  </w:style>
  <w:style w:type="paragraph" w:customStyle="1" w:styleId="575">
    <w:name w:val="样式 样式 标题 3标题34号宋体左齐行距1.5倍四号宋体左齐行距1.5倍条标题1.1.13h33rd levelH3... +..."/>
    <w:basedOn w:val="1"/>
    <w:autoRedefine/>
    <w:qFormat/>
    <w:uiPriority w:val="0"/>
    <w:pPr>
      <w:keepNext/>
      <w:widowControl/>
      <w:spacing w:beforeLines="50" w:afterLines="50" w:line="480" w:lineRule="exact"/>
      <w:ind w:left="-6" w:firstLine="0"/>
      <w:jc w:val="left"/>
      <w:outlineLvl w:val="2"/>
    </w:pPr>
    <w:rPr>
      <w:rFonts w:eastAsia="仿宋_GB2312" w:cs="宋体"/>
      <w:b/>
      <w:bCs/>
      <w:kern w:val="0"/>
      <w:sz w:val="28"/>
      <w:szCs w:val="20"/>
      <w:lang w:bidi="en-US"/>
    </w:rPr>
  </w:style>
  <w:style w:type="paragraph" w:customStyle="1" w:styleId="576">
    <w:name w:val="样式 aaaaaaa + Times New Roman"/>
    <w:basedOn w:val="574"/>
    <w:autoRedefine/>
    <w:qFormat/>
    <w:uiPriority w:val="0"/>
    <w:pPr>
      <w:ind w:firstLine="200"/>
    </w:pPr>
    <w:rPr>
      <w:rFonts w:ascii="Times New Roman" w:hAnsi="Times New Roman"/>
    </w:rPr>
  </w:style>
  <w:style w:type="paragraph" w:customStyle="1" w:styleId="577">
    <w:name w:val="样式 样式 标题 23号宋体居中行距2倍三号宋体居中行距2倍三号宋体居中行距2倍距标题 2 Char Char Char Ch...."/>
    <w:basedOn w:val="1"/>
    <w:autoRedefine/>
    <w:qFormat/>
    <w:uiPriority w:val="0"/>
    <w:pPr>
      <w:keepNext/>
      <w:widowControl/>
      <w:spacing w:before="100" w:beforeAutospacing="1" w:after="100" w:afterAutospacing="1" w:line="480" w:lineRule="exact"/>
      <w:ind w:left="641" w:hanging="641"/>
      <w:jc w:val="left"/>
      <w:outlineLvl w:val="1"/>
    </w:pPr>
    <w:rPr>
      <w:rFonts w:eastAsia="仿宋_GB2312" w:cs="宋体"/>
      <w:b/>
      <w:iCs/>
      <w:kern w:val="0"/>
      <w:sz w:val="32"/>
      <w:szCs w:val="20"/>
      <w:lang w:eastAsia="en-US" w:bidi="en-US"/>
    </w:rPr>
  </w:style>
  <w:style w:type="paragraph" w:customStyle="1" w:styleId="578">
    <w:name w:val="00正文"/>
    <w:basedOn w:val="1"/>
    <w:link w:val="579"/>
    <w:autoRedefine/>
    <w:qFormat/>
    <w:uiPriority w:val="0"/>
    <w:pPr>
      <w:ind w:left="720" w:leftChars="300" w:firstLine="0"/>
    </w:pPr>
    <w:rPr>
      <w:kern w:val="0"/>
    </w:rPr>
  </w:style>
  <w:style w:type="character" w:customStyle="1" w:styleId="579">
    <w:name w:val="00正文 Char"/>
    <w:link w:val="578"/>
    <w:autoRedefine/>
    <w:qFormat/>
    <w:uiPriority w:val="0"/>
    <w:rPr>
      <w:rFonts w:ascii="Times New Roman" w:hAnsi="Times New Roman" w:eastAsia="宋体" w:cs="Times New Roman"/>
      <w:kern w:val="0"/>
      <w:sz w:val="24"/>
      <w:szCs w:val="24"/>
    </w:rPr>
  </w:style>
  <w:style w:type="paragraph" w:customStyle="1" w:styleId="580">
    <w:name w:val="样式 宋体 行距: 1.5 倍行距"/>
    <w:basedOn w:val="1"/>
    <w:autoRedefine/>
    <w:qFormat/>
    <w:uiPriority w:val="0"/>
    <w:pPr>
      <w:ind w:firstLine="0"/>
    </w:pPr>
    <w:rPr>
      <w:rFonts w:ascii="宋体" w:hAnsi="宋体" w:cs="宋体"/>
      <w:b/>
      <w:kern w:val="0"/>
      <w:sz w:val="21"/>
      <w:szCs w:val="20"/>
    </w:rPr>
  </w:style>
  <w:style w:type="character" w:customStyle="1" w:styleId="581">
    <w:name w:val="表文字居中 Char"/>
    <w:link w:val="582"/>
    <w:autoRedefine/>
    <w:qFormat/>
    <w:uiPriority w:val="0"/>
    <w:rPr>
      <w:rFonts w:ascii="Arial" w:hAnsi="Arial"/>
      <w:szCs w:val="24"/>
    </w:rPr>
  </w:style>
  <w:style w:type="paragraph" w:customStyle="1" w:styleId="582">
    <w:name w:val="表文字居中"/>
    <w:link w:val="581"/>
    <w:autoRedefine/>
    <w:qFormat/>
    <w:uiPriority w:val="0"/>
    <w:pPr>
      <w:adjustRightInd w:val="0"/>
      <w:spacing w:line="360" w:lineRule="auto"/>
      <w:jc w:val="center"/>
    </w:pPr>
    <w:rPr>
      <w:rFonts w:ascii="Arial" w:hAnsi="Arial" w:eastAsiaTheme="minorEastAsia" w:cstheme="minorBidi"/>
      <w:kern w:val="2"/>
      <w:sz w:val="21"/>
      <w:szCs w:val="24"/>
      <w:lang w:val="en-US" w:eastAsia="zh-CN" w:bidi="ar-SA"/>
    </w:rPr>
  </w:style>
  <w:style w:type="character" w:customStyle="1" w:styleId="583">
    <w:name w:val="无间隔 Char"/>
    <w:link w:val="533"/>
    <w:autoRedefine/>
    <w:qFormat/>
    <w:uiPriority w:val="0"/>
    <w:rPr>
      <w:rFonts w:ascii="Calibri" w:hAnsi="Calibri" w:eastAsia="宋体" w:cs="Times New Roman"/>
    </w:rPr>
  </w:style>
  <w:style w:type="character" w:customStyle="1" w:styleId="584">
    <w:name w:val="00 正文 Char"/>
    <w:link w:val="585"/>
    <w:autoRedefine/>
    <w:qFormat/>
    <w:locked/>
    <w:uiPriority w:val="0"/>
    <w:rPr>
      <w:sz w:val="28"/>
      <w:szCs w:val="28"/>
    </w:rPr>
  </w:style>
  <w:style w:type="paragraph" w:customStyle="1" w:styleId="585">
    <w:name w:val="00 正文"/>
    <w:basedOn w:val="1"/>
    <w:link w:val="584"/>
    <w:autoRedefine/>
    <w:qFormat/>
    <w:uiPriority w:val="0"/>
    <w:pPr>
      <w:adjustRightInd w:val="0"/>
      <w:snapToGrid w:val="0"/>
      <w:ind w:firstLine="200" w:firstLineChars="200"/>
    </w:pPr>
    <w:rPr>
      <w:rFonts w:asciiTheme="minorHAnsi" w:hAnsiTheme="minorHAnsi" w:eastAsiaTheme="minorEastAsia" w:cstheme="minorBidi"/>
      <w:sz w:val="28"/>
      <w:szCs w:val="28"/>
    </w:rPr>
  </w:style>
  <w:style w:type="paragraph" w:customStyle="1" w:styleId="586">
    <w:name w:val="正文 A"/>
    <w:autoRedefine/>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character" w:customStyle="1" w:styleId="587">
    <w:name w:val="红色"/>
    <w:autoRedefine/>
    <w:qFormat/>
    <w:uiPriority w:val="0"/>
    <w:rPr>
      <w:color w:val="C82505"/>
      <w:lang w:val="en-US"/>
    </w:rPr>
  </w:style>
  <w:style w:type="paragraph" w:customStyle="1" w:styleId="588">
    <w:name w:val="res-desc"/>
    <w:basedOn w:val="1"/>
    <w:autoRedefine/>
    <w:qFormat/>
    <w:uiPriority w:val="99"/>
    <w:pPr>
      <w:wordWrap w:val="0"/>
      <w:spacing w:line="240" w:lineRule="auto"/>
      <w:ind w:firstLine="0"/>
      <w:jc w:val="left"/>
    </w:pPr>
    <w:rPr>
      <w:kern w:val="0"/>
      <w:sz w:val="21"/>
    </w:rPr>
  </w:style>
  <w:style w:type="paragraph" w:customStyle="1" w:styleId="589">
    <w:name w:val="水2"/>
    <w:basedOn w:val="3"/>
    <w:autoRedefine/>
    <w:qFormat/>
    <w:uiPriority w:val="0"/>
    <w:pPr>
      <w:spacing w:line="240" w:lineRule="auto"/>
      <w:textAlignment w:val="auto"/>
    </w:pPr>
    <w:rPr>
      <w:rFonts w:ascii="黑体" w:eastAsia="宋体"/>
      <w:b/>
      <w:bCs w:val="0"/>
      <w:color w:val="auto"/>
      <w:spacing w:val="24"/>
    </w:rPr>
  </w:style>
  <w:style w:type="character" w:customStyle="1" w:styleId="590">
    <w:name w:val="正文1 Char Char"/>
    <w:link w:val="441"/>
    <w:autoRedefine/>
    <w:qFormat/>
    <w:uiPriority w:val="0"/>
    <w:rPr>
      <w:rFonts w:ascii="Arial Narrow" w:hAnsi="Arial Narrow" w:eastAsia="华文细黑" w:cs="Times New Roman"/>
      <w:color w:val="000000"/>
      <w:sz w:val="24"/>
      <w:szCs w:val="24"/>
    </w:rPr>
  </w:style>
  <w:style w:type="paragraph" w:customStyle="1" w:styleId="591">
    <w:name w:val="样式8"/>
    <w:basedOn w:val="1"/>
    <w:link w:val="592"/>
    <w:autoRedefine/>
    <w:qFormat/>
    <w:uiPriority w:val="0"/>
    <w:pPr>
      <w:widowControl/>
      <w:adjustRightInd w:val="0"/>
      <w:snapToGrid w:val="0"/>
      <w:spacing w:line="460" w:lineRule="exact"/>
      <w:ind w:firstLine="520" w:firstLineChars="200"/>
      <w:jc w:val="left"/>
    </w:pPr>
    <w:rPr>
      <w:rFonts w:ascii="宋体" w:hAnsi="宋体"/>
      <w:kern w:val="0"/>
      <w:sz w:val="26"/>
      <w:szCs w:val="26"/>
    </w:rPr>
  </w:style>
  <w:style w:type="character" w:customStyle="1" w:styleId="592">
    <w:name w:val="样式8 Char"/>
    <w:link w:val="591"/>
    <w:autoRedefine/>
    <w:qFormat/>
    <w:uiPriority w:val="0"/>
    <w:rPr>
      <w:rFonts w:ascii="宋体" w:hAnsi="宋体" w:eastAsia="宋体" w:cs="Times New Roman"/>
      <w:kern w:val="0"/>
      <w:sz w:val="26"/>
      <w:szCs w:val="26"/>
    </w:rPr>
  </w:style>
  <w:style w:type="paragraph" w:customStyle="1" w:styleId="593">
    <w:name w:val="reader-word-layer"/>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character" w:customStyle="1" w:styleId="594">
    <w:name w:val="apple-converted-space"/>
    <w:basedOn w:val="102"/>
    <w:autoRedefine/>
    <w:qFormat/>
    <w:uiPriority w:val="0"/>
  </w:style>
  <w:style w:type="character" w:customStyle="1" w:styleId="595">
    <w:name w:val="law_sub_title"/>
    <w:basedOn w:val="102"/>
    <w:autoRedefine/>
    <w:qFormat/>
    <w:uiPriority w:val="0"/>
  </w:style>
  <w:style w:type="character" w:customStyle="1" w:styleId="596">
    <w:name w:val="FL正文 Char"/>
    <w:link w:val="597"/>
    <w:autoRedefine/>
    <w:qFormat/>
    <w:locked/>
    <w:uiPriority w:val="0"/>
    <w:rPr>
      <w:sz w:val="24"/>
    </w:rPr>
  </w:style>
  <w:style w:type="paragraph" w:customStyle="1" w:styleId="597">
    <w:name w:val="FL正文"/>
    <w:basedOn w:val="1"/>
    <w:link w:val="596"/>
    <w:autoRedefine/>
    <w:qFormat/>
    <w:uiPriority w:val="0"/>
    <w:pPr>
      <w:ind w:firstLine="425" w:firstLineChars="177"/>
    </w:pPr>
    <w:rPr>
      <w:rFonts w:asciiTheme="minorHAnsi" w:hAnsiTheme="minorHAnsi" w:eastAsiaTheme="minorEastAsia" w:cstheme="minorBidi"/>
      <w:szCs w:val="22"/>
    </w:rPr>
  </w:style>
  <w:style w:type="paragraph" w:customStyle="1" w:styleId="598">
    <w:name w:val="Char Char Char1 Char Char Char Char Char Char Char Char Char Char Char Char Char Char Char Char Char Char Char Char Char Char Char Char Char Char Char Char Char Char Char Char Char Char"/>
    <w:basedOn w:val="1"/>
    <w:autoRedefine/>
    <w:qFormat/>
    <w:uiPriority w:val="0"/>
    <w:pPr>
      <w:snapToGrid w:val="0"/>
      <w:spacing w:line="440" w:lineRule="exact"/>
      <w:ind w:firstLine="200" w:firstLineChars="200"/>
    </w:pPr>
  </w:style>
  <w:style w:type="paragraph" w:customStyle="1" w:styleId="599">
    <w:name w:val="1表格"/>
    <w:basedOn w:val="1"/>
    <w:autoRedefine/>
    <w:qFormat/>
    <w:uiPriority w:val="0"/>
    <w:pPr>
      <w:snapToGrid w:val="0"/>
      <w:spacing w:line="240" w:lineRule="auto"/>
      <w:ind w:firstLine="0"/>
      <w:jc w:val="center"/>
      <w:outlineLvl w:val="4"/>
    </w:pPr>
    <w:rPr>
      <w:spacing w:val="4"/>
      <w:sz w:val="21"/>
    </w:rPr>
  </w:style>
  <w:style w:type="paragraph" w:customStyle="1" w:styleId="600">
    <w:name w:val="准 正文 左侧:  2 字符 + 首行缩进:  2 字符"/>
    <w:basedOn w:val="1"/>
    <w:link w:val="601"/>
    <w:autoRedefine/>
    <w:qFormat/>
    <w:uiPriority w:val="0"/>
    <w:pPr>
      <w:ind w:firstLine="480" w:firstLineChars="200"/>
    </w:pPr>
    <w:rPr>
      <w:kern w:val="0"/>
      <w:szCs w:val="20"/>
    </w:rPr>
  </w:style>
  <w:style w:type="character" w:customStyle="1" w:styleId="601">
    <w:name w:val="准 正文 左侧:  2 字符 + 首行缩进:  2 字符 Char"/>
    <w:link w:val="600"/>
    <w:autoRedefine/>
    <w:qFormat/>
    <w:uiPriority w:val="0"/>
    <w:rPr>
      <w:rFonts w:ascii="Times New Roman" w:hAnsi="Times New Roman" w:eastAsia="宋体" w:cs="Times New Roman"/>
      <w:kern w:val="0"/>
      <w:sz w:val="24"/>
      <w:szCs w:val="20"/>
    </w:rPr>
  </w:style>
  <w:style w:type="character" w:customStyle="1" w:styleId="602">
    <w:name w:val="Char Char212"/>
    <w:autoRedefine/>
    <w:qFormat/>
    <w:uiPriority w:val="0"/>
    <w:rPr>
      <w:sz w:val="18"/>
      <w:szCs w:val="18"/>
    </w:rPr>
  </w:style>
  <w:style w:type="character" w:customStyle="1" w:styleId="603">
    <w:name w:val="Char Char42"/>
    <w:basedOn w:val="424"/>
    <w:autoRedefine/>
    <w:qFormat/>
    <w:uiPriority w:val="0"/>
    <w:rPr>
      <w:kern w:val="2"/>
      <w:sz w:val="21"/>
      <w:szCs w:val="24"/>
    </w:rPr>
  </w:style>
  <w:style w:type="paragraph" w:customStyle="1" w:styleId="604">
    <w:name w:val="Char Char Char1 Char1 Char Char Char2"/>
    <w:basedOn w:val="1"/>
    <w:autoRedefine/>
    <w:qFormat/>
    <w:uiPriority w:val="0"/>
    <w:pPr>
      <w:spacing w:line="240" w:lineRule="auto"/>
      <w:ind w:firstLine="0"/>
    </w:pPr>
    <w:rPr>
      <w:sz w:val="21"/>
      <w:szCs w:val="20"/>
    </w:rPr>
  </w:style>
  <w:style w:type="paragraph" w:customStyle="1" w:styleId="605">
    <w:name w:val="字元 字元12"/>
    <w:basedOn w:val="1"/>
    <w:autoRedefine/>
    <w:qFormat/>
    <w:uiPriority w:val="0"/>
    <w:pPr>
      <w:spacing w:line="240" w:lineRule="auto"/>
      <w:ind w:firstLine="0"/>
    </w:pPr>
    <w:rPr>
      <w:sz w:val="21"/>
    </w:rPr>
  </w:style>
  <w:style w:type="paragraph" w:customStyle="1" w:styleId="606">
    <w:name w:val="_Style 353"/>
    <w:basedOn w:val="1"/>
    <w:autoRedefine/>
    <w:qFormat/>
    <w:uiPriority w:val="0"/>
    <w:pPr>
      <w:spacing w:line="240" w:lineRule="auto"/>
      <w:ind w:firstLine="0"/>
    </w:pPr>
    <w:rPr>
      <w:sz w:val="21"/>
      <w:szCs w:val="20"/>
    </w:rPr>
  </w:style>
  <w:style w:type="paragraph" w:customStyle="1" w:styleId="607">
    <w:name w:val="Char Char Char Char Char Char Char Char Char Char Char Char Char Char Char Char Char Char2"/>
    <w:basedOn w:val="1"/>
    <w:autoRedefine/>
    <w:qFormat/>
    <w:uiPriority w:val="0"/>
    <w:pPr>
      <w:spacing w:line="240" w:lineRule="auto"/>
      <w:ind w:firstLine="0"/>
    </w:pPr>
    <w:rPr>
      <w:sz w:val="21"/>
      <w:szCs w:val="20"/>
    </w:rPr>
  </w:style>
  <w:style w:type="paragraph" w:customStyle="1" w:styleId="608">
    <w:name w:val="Char Char Char1 Char3"/>
    <w:basedOn w:val="1"/>
    <w:autoRedefine/>
    <w:semiHidden/>
    <w:qFormat/>
    <w:uiPriority w:val="0"/>
    <w:pPr>
      <w:spacing w:line="240" w:lineRule="auto"/>
      <w:ind w:firstLine="0"/>
    </w:pPr>
    <w:rPr>
      <w:sz w:val="21"/>
    </w:rPr>
  </w:style>
  <w:style w:type="paragraph" w:customStyle="1" w:styleId="609">
    <w:name w:val="Char Char Char Char3"/>
    <w:basedOn w:val="1"/>
    <w:autoRedefine/>
    <w:qFormat/>
    <w:uiPriority w:val="0"/>
    <w:pPr>
      <w:spacing w:line="240" w:lineRule="auto"/>
      <w:ind w:firstLine="0"/>
    </w:pPr>
    <w:rPr>
      <w:sz w:val="21"/>
    </w:rPr>
  </w:style>
  <w:style w:type="paragraph" w:customStyle="1" w:styleId="610">
    <w:name w:val="Char Char Char Char Char Char1 Char3"/>
    <w:basedOn w:val="1"/>
    <w:autoRedefine/>
    <w:qFormat/>
    <w:uiPriority w:val="0"/>
    <w:pPr>
      <w:spacing w:line="240" w:lineRule="auto"/>
      <w:ind w:firstLine="0"/>
    </w:pPr>
    <w:rPr>
      <w:sz w:val="21"/>
    </w:rPr>
  </w:style>
  <w:style w:type="paragraph" w:customStyle="1" w:styleId="611">
    <w:name w:val="Char3"/>
    <w:basedOn w:val="1"/>
    <w:autoRedefine/>
    <w:qFormat/>
    <w:uiPriority w:val="0"/>
    <w:pPr>
      <w:spacing w:line="240" w:lineRule="auto"/>
      <w:ind w:firstLine="0"/>
    </w:pPr>
    <w:rPr>
      <w:sz w:val="21"/>
    </w:rPr>
  </w:style>
  <w:style w:type="paragraph" w:customStyle="1" w:styleId="612">
    <w:name w:val="Char Char Char Char1 Char Char Char Char Char2"/>
    <w:basedOn w:val="1"/>
    <w:autoRedefine/>
    <w:semiHidden/>
    <w:qFormat/>
    <w:uiPriority w:val="0"/>
    <w:pPr>
      <w:spacing w:line="240" w:lineRule="auto"/>
      <w:ind w:firstLine="0"/>
    </w:pPr>
    <w:rPr>
      <w:rFonts w:ascii="Arial" w:hAnsi="Arial"/>
      <w:sz w:val="32"/>
      <w:szCs w:val="32"/>
    </w:rPr>
  </w:style>
  <w:style w:type="paragraph" w:customStyle="1" w:styleId="613">
    <w:name w:val="Char Char Char Char Char Char Char Char Char3"/>
    <w:basedOn w:val="1"/>
    <w:autoRedefine/>
    <w:qFormat/>
    <w:uiPriority w:val="0"/>
    <w:pPr>
      <w:spacing w:line="240" w:lineRule="auto"/>
      <w:ind w:firstLine="0"/>
    </w:pPr>
    <w:rPr>
      <w:sz w:val="21"/>
    </w:rPr>
  </w:style>
  <w:style w:type="paragraph" w:customStyle="1" w:styleId="614">
    <w:name w:val="Char Char2 Char2"/>
    <w:basedOn w:val="1"/>
    <w:autoRedefine/>
    <w:qFormat/>
    <w:uiPriority w:val="0"/>
    <w:pPr>
      <w:spacing w:line="240" w:lineRule="auto"/>
      <w:ind w:firstLine="0"/>
    </w:pPr>
    <w:rPr>
      <w:kern w:val="0"/>
      <w:sz w:val="21"/>
      <w:szCs w:val="20"/>
    </w:rPr>
  </w:style>
  <w:style w:type="paragraph" w:customStyle="1" w:styleId="615">
    <w:name w:val="Char Char Char1 Char Char Char Char Char Char Char Char Char Char Char Char Char Char Char Char Char Char Char Char Char Char Char Char Char Char Char Char Char Char Char Char Char Char1"/>
    <w:basedOn w:val="1"/>
    <w:autoRedefine/>
    <w:qFormat/>
    <w:uiPriority w:val="0"/>
    <w:pPr>
      <w:snapToGrid w:val="0"/>
      <w:spacing w:line="440" w:lineRule="exact"/>
      <w:ind w:firstLine="200" w:firstLineChars="200"/>
    </w:pPr>
  </w:style>
  <w:style w:type="paragraph" w:customStyle="1" w:styleId="616">
    <w:name w:val="Char Char Char Char Char Char1 Char1 Char Char Char Char Char Char12"/>
    <w:basedOn w:val="1"/>
    <w:autoRedefine/>
    <w:semiHidden/>
    <w:qFormat/>
    <w:uiPriority w:val="0"/>
    <w:pPr>
      <w:spacing w:line="240" w:lineRule="auto"/>
      <w:ind w:left="510" w:firstLine="0"/>
    </w:pPr>
    <w:rPr>
      <w:sz w:val="21"/>
      <w:szCs w:val="21"/>
    </w:rPr>
  </w:style>
  <w:style w:type="paragraph" w:customStyle="1" w:styleId="617">
    <w:name w:val="Char Char Char3"/>
    <w:basedOn w:val="1"/>
    <w:autoRedefine/>
    <w:qFormat/>
    <w:uiPriority w:val="0"/>
    <w:pPr>
      <w:spacing w:line="240" w:lineRule="auto"/>
      <w:ind w:firstLine="0"/>
    </w:pPr>
    <w:rPr>
      <w:sz w:val="21"/>
      <w:szCs w:val="20"/>
    </w:rPr>
  </w:style>
  <w:style w:type="paragraph" w:customStyle="1" w:styleId="618">
    <w:name w:val="Char Char Char Char Char Char3"/>
    <w:basedOn w:val="1"/>
    <w:next w:val="2"/>
    <w:autoRedefine/>
    <w:qFormat/>
    <w:uiPriority w:val="0"/>
    <w:pPr>
      <w:spacing w:line="240" w:lineRule="auto"/>
      <w:ind w:firstLine="200" w:firstLineChars="200"/>
    </w:pPr>
    <w:rPr>
      <w:rFonts w:ascii="楷体_GB2312" w:eastAsia="楷体_GB2312"/>
      <w:sz w:val="28"/>
      <w:szCs w:val="28"/>
    </w:rPr>
  </w:style>
  <w:style w:type="paragraph" w:customStyle="1" w:styleId="619">
    <w:name w:val="Char Char1 Char2"/>
    <w:basedOn w:val="1"/>
    <w:autoRedefine/>
    <w:semiHidden/>
    <w:qFormat/>
    <w:uiPriority w:val="0"/>
    <w:pPr>
      <w:spacing w:line="240" w:lineRule="auto"/>
      <w:ind w:firstLine="0"/>
    </w:pPr>
    <w:rPr>
      <w:sz w:val="21"/>
    </w:rPr>
  </w:style>
  <w:style w:type="paragraph" w:customStyle="1" w:styleId="620">
    <w:name w:val="Char2"/>
    <w:basedOn w:val="1"/>
    <w:autoRedefine/>
    <w:qFormat/>
    <w:uiPriority w:val="0"/>
    <w:pPr>
      <w:spacing w:line="240" w:lineRule="auto"/>
      <w:ind w:firstLine="0"/>
    </w:pPr>
    <w:rPr>
      <w:sz w:val="21"/>
    </w:rPr>
  </w:style>
  <w:style w:type="paragraph" w:customStyle="1" w:styleId="621">
    <w:name w:val="字元 字元11"/>
    <w:basedOn w:val="1"/>
    <w:autoRedefine/>
    <w:qFormat/>
    <w:uiPriority w:val="0"/>
    <w:pPr>
      <w:spacing w:line="240" w:lineRule="auto"/>
      <w:ind w:firstLine="0"/>
    </w:pPr>
    <w:rPr>
      <w:sz w:val="21"/>
    </w:rPr>
  </w:style>
  <w:style w:type="paragraph" w:customStyle="1" w:styleId="622">
    <w:name w:val="Char Char Char Char2"/>
    <w:basedOn w:val="1"/>
    <w:autoRedefine/>
    <w:qFormat/>
    <w:uiPriority w:val="0"/>
    <w:pPr>
      <w:spacing w:line="240" w:lineRule="auto"/>
      <w:ind w:firstLine="0"/>
    </w:pPr>
    <w:rPr>
      <w:sz w:val="21"/>
    </w:rPr>
  </w:style>
  <w:style w:type="paragraph" w:customStyle="1" w:styleId="623">
    <w:name w:val="Char Char Char1 Char2"/>
    <w:basedOn w:val="1"/>
    <w:autoRedefine/>
    <w:semiHidden/>
    <w:qFormat/>
    <w:uiPriority w:val="0"/>
    <w:pPr>
      <w:spacing w:line="240" w:lineRule="auto"/>
      <w:ind w:firstLine="0"/>
    </w:pPr>
    <w:rPr>
      <w:sz w:val="21"/>
    </w:rPr>
  </w:style>
  <w:style w:type="paragraph" w:customStyle="1" w:styleId="624">
    <w:name w:val="Char Char Char Char Char Char Char Char Char2"/>
    <w:basedOn w:val="1"/>
    <w:autoRedefine/>
    <w:qFormat/>
    <w:uiPriority w:val="0"/>
    <w:pPr>
      <w:spacing w:line="240" w:lineRule="auto"/>
      <w:ind w:firstLine="0"/>
    </w:pPr>
    <w:rPr>
      <w:sz w:val="21"/>
    </w:rPr>
  </w:style>
  <w:style w:type="paragraph" w:customStyle="1" w:styleId="625">
    <w:name w:val="Char Char Char Char Char Char1 Char1 Char Char Char Char Char Char11"/>
    <w:basedOn w:val="1"/>
    <w:autoRedefine/>
    <w:semiHidden/>
    <w:qFormat/>
    <w:uiPriority w:val="0"/>
    <w:pPr>
      <w:spacing w:line="240" w:lineRule="auto"/>
      <w:ind w:left="510" w:firstLine="0"/>
    </w:pPr>
    <w:rPr>
      <w:sz w:val="21"/>
      <w:szCs w:val="21"/>
    </w:rPr>
  </w:style>
  <w:style w:type="paragraph" w:customStyle="1" w:styleId="626">
    <w:name w:val="Char Char Char Char Char Char2"/>
    <w:basedOn w:val="1"/>
    <w:next w:val="2"/>
    <w:autoRedefine/>
    <w:qFormat/>
    <w:uiPriority w:val="0"/>
    <w:pPr>
      <w:spacing w:line="240" w:lineRule="auto"/>
      <w:ind w:firstLine="200" w:firstLineChars="200"/>
    </w:pPr>
    <w:rPr>
      <w:rFonts w:ascii="楷体_GB2312" w:eastAsia="楷体_GB2312"/>
      <w:sz w:val="28"/>
      <w:szCs w:val="28"/>
    </w:rPr>
  </w:style>
  <w:style w:type="character" w:customStyle="1" w:styleId="627">
    <w:name w:val="Char Char211"/>
    <w:autoRedefine/>
    <w:qFormat/>
    <w:uiPriority w:val="0"/>
    <w:rPr>
      <w:sz w:val="18"/>
      <w:szCs w:val="18"/>
    </w:rPr>
  </w:style>
  <w:style w:type="character" w:customStyle="1" w:styleId="628">
    <w:name w:val="Char Char41"/>
    <w:basedOn w:val="424"/>
    <w:autoRedefine/>
    <w:qFormat/>
    <w:uiPriority w:val="0"/>
    <w:rPr>
      <w:kern w:val="2"/>
      <w:sz w:val="21"/>
      <w:szCs w:val="24"/>
    </w:rPr>
  </w:style>
  <w:style w:type="paragraph" w:customStyle="1" w:styleId="629">
    <w:name w:val="Char Char Char Char Char Char1 Char2"/>
    <w:basedOn w:val="1"/>
    <w:autoRedefine/>
    <w:qFormat/>
    <w:uiPriority w:val="0"/>
    <w:pPr>
      <w:spacing w:line="240" w:lineRule="auto"/>
      <w:ind w:firstLine="0"/>
    </w:pPr>
    <w:rPr>
      <w:sz w:val="21"/>
    </w:rPr>
  </w:style>
  <w:style w:type="paragraph" w:customStyle="1" w:styleId="630">
    <w:name w:val="Char Char Char Char1 Char Char Char Char Char1"/>
    <w:basedOn w:val="1"/>
    <w:autoRedefine/>
    <w:semiHidden/>
    <w:qFormat/>
    <w:uiPriority w:val="0"/>
    <w:pPr>
      <w:spacing w:line="240" w:lineRule="auto"/>
      <w:ind w:firstLine="0"/>
    </w:pPr>
    <w:rPr>
      <w:rFonts w:ascii="Arial" w:hAnsi="Arial"/>
      <w:sz w:val="32"/>
      <w:szCs w:val="32"/>
    </w:rPr>
  </w:style>
  <w:style w:type="paragraph" w:customStyle="1" w:styleId="631">
    <w:name w:val="Char Char Char1 Char1 Char Char Char1"/>
    <w:basedOn w:val="1"/>
    <w:autoRedefine/>
    <w:qFormat/>
    <w:uiPriority w:val="0"/>
    <w:pPr>
      <w:spacing w:line="240" w:lineRule="auto"/>
      <w:ind w:firstLine="0"/>
    </w:pPr>
    <w:rPr>
      <w:sz w:val="21"/>
      <w:szCs w:val="20"/>
    </w:rPr>
  </w:style>
  <w:style w:type="paragraph" w:customStyle="1" w:styleId="632">
    <w:name w:val="Char Char1 Char1"/>
    <w:basedOn w:val="1"/>
    <w:autoRedefine/>
    <w:semiHidden/>
    <w:qFormat/>
    <w:uiPriority w:val="0"/>
    <w:pPr>
      <w:spacing w:line="240" w:lineRule="auto"/>
      <w:ind w:firstLine="0"/>
    </w:pPr>
    <w:rPr>
      <w:sz w:val="21"/>
    </w:rPr>
  </w:style>
  <w:style w:type="paragraph" w:customStyle="1" w:styleId="633">
    <w:name w:val="Char Char Char Char Char Char Char Char Char Char Char Char Char Char Char Char Char Char1"/>
    <w:basedOn w:val="1"/>
    <w:autoRedefine/>
    <w:qFormat/>
    <w:uiPriority w:val="0"/>
    <w:pPr>
      <w:spacing w:line="240" w:lineRule="auto"/>
      <w:ind w:firstLine="0"/>
    </w:pPr>
    <w:rPr>
      <w:sz w:val="21"/>
      <w:szCs w:val="20"/>
    </w:rPr>
  </w:style>
  <w:style w:type="paragraph" w:customStyle="1" w:styleId="634">
    <w:name w:val="Char Char Char2"/>
    <w:basedOn w:val="1"/>
    <w:autoRedefine/>
    <w:qFormat/>
    <w:uiPriority w:val="0"/>
    <w:pPr>
      <w:spacing w:line="240" w:lineRule="auto"/>
      <w:ind w:firstLine="0"/>
    </w:pPr>
    <w:rPr>
      <w:sz w:val="21"/>
      <w:szCs w:val="20"/>
    </w:rPr>
  </w:style>
  <w:style w:type="paragraph" w:customStyle="1" w:styleId="635">
    <w:name w:val="Char Char2 Char1"/>
    <w:basedOn w:val="1"/>
    <w:autoRedefine/>
    <w:qFormat/>
    <w:uiPriority w:val="0"/>
    <w:pPr>
      <w:spacing w:line="240" w:lineRule="auto"/>
      <w:ind w:firstLine="0"/>
    </w:pPr>
    <w:rPr>
      <w:kern w:val="0"/>
      <w:sz w:val="21"/>
      <w:szCs w:val="20"/>
    </w:rPr>
  </w:style>
  <w:style w:type="table" w:customStyle="1" w:styleId="636">
    <w:name w:val="浅色底纹2"/>
    <w:basedOn w:val="88"/>
    <w:autoRedefine/>
    <w:qFormat/>
    <w:uiPriority w:val="6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637">
    <w:name w:val="浅色底纹 - 强调文字颜色 12"/>
    <w:basedOn w:val="88"/>
    <w:autoRedefine/>
    <w:qFormat/>
    <w:uiPriority w:val="60"/>
    <w:rPr>
      <w:rFonts w:ascii="Calibri" w:hAnsi="Calibri"/>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character" w:customStyle="1" w:styleId="638">
    <w:name w:val="正文部分 Char"/>
    <w:link w:val="639"/>
    <w:autoRedefine/>
    <w:qFormat/>
    <w:uiPriority w:val="0"/>
    <w:rPr>
      <w:rFonts w:ascii="宋体" w:hAnsi="宋体" w:cs="宋体"/>
      <w:bCs/>
      <w:sz w:val="28"/>
      <w:szCs w:val="32"/>
    </w:rPr>
  </w:style>
  <w:style w:type="paragraph" w:customStyle="1" w:styleId="639">
    <w:name w:val="正文部分"/>
    <w:basedOn w:val="1"/>
    <w:link w:val="638"/>
    <w:autoRedefine/>
    <w:qFormat/>
    <w:uiPriority w:val="0"/>
    <w:pPr>
      <w:spacing w:line="500" w:lineRule="exact"/>
      <w:ind w:firstLine="200" w:firstLineChars="200"/>
      <w:jc w:val="left"/>
    </w:pPr>
    <w:rPr>
      <w:rFonts w:ascii="宋体" w:hAnsi="宋体" w:cs="宋体" w:eastAsiaTheme="minorEastAsia"/>
      <w:bCs/>
      <w:sz w:val="28"/>
      <w:szCs w:val="32"/>
    </w:rPr>
  </w:style>
  <w:style w:type="paragraph" w:customStyle="1" w:styleId="640">
    <w:name w:val="cucd-0"/>
    <w:link w:val="641"/>
    <w:autoRedefine/>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641">
    <w:name w:val="cucd-0 Char"/>
    <w:link w:val="640"/>
    <w:autoRedefine/>
    <w:qFormat/>
    <w:uiPriority w:val="0"/>
    <w:rPr>
      <w:rFonts w:ascii="Times New Roman" w:hAnsi="Times New Roman" w:eastAsia="宋体" w:cs="Times New Roman"/>
      <w:sz w:val="24"/>
      <w:szCs w:val="24"/>
    </w:rPr>
  </w:style>
  <w:style w:type="character" w:customStyle="1" w:styleId="642">
    <w:name w:val="fontstyle01"/>
    <w:basedOn w:val="102"/>
    <w:autoRedefine/>
    <w:qFormat/>
    <w:uiPriority w:val="0"/>
    <w:rPr>
      <w:rFonts w:hint="eastAsia" w:ascii="宋体" w:hAnsi="宋体" w:eastAsia="宋体"/>
      <w:color w:val="000000"/>
      <w:sz w:val="24"/>
      <w:szCs w:val="24"/>
    </w:rPr>
  </w:style>
  <w:style w:type="character" w:customStyle="1" w:styleId="643">
    <w:name w:val="fontstyle21"/>
    <w:basedOn w:val="102"/>
    <w:autoRedefine/>
    <w:qFormat/>
    <w:uiPriority w:val="0"/>
    <w:rPr>
      <w:rFonts w:hint="default" w:ascii="Times New Roman" w:hAnsi="Times New Roman" w:cs="Times New Roman"/>
      <w:color w:val="000000"/>
      <w:sz w:val="24"/>
      <w:szCs w:val="24"/>
    </w:rPr>
  </w:style>
  <w:style w:type="paragraph" w:customStyle="1" w:styleId="644">
    <w:name w:val="xl6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jc w:val="left"/>
    </w:pPr>
    <w:rPr>
      <w:rFonts w:ascii="宋体" w:hAnsi="宋体" w:cs="宋体"/>
      <w:kern w:val="0"/>
    </w:rPr>
  </w:style>
  <w:style w:type="paragraph" w:customStyle="1" w:styleId="645">
    <w:name w:val="xl6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jc w:val="left"/>
    </w:pPr>
    <w:rPr>
      <w:rFonts w:ascii="宋体" w:hAnsi="宋体" w:cs="宋体"/>
      <w:kern w:val="0"/>
    </w:rPr>
  </w:style>
  <w:style w:type="paragraph" w:customStyle="1" w:styleId="646">
    <w:name w:val="xl64"/>
    <w:basedOn w:val="1"/>
    <w:autoRedefine/>
    <w:qFormat/>
    <w:uiPriority w:val="0"/>
    <w:pPr>
      <w:widowControl/>
      <w:pBdr>
        <w:top w:val="single" w:color="auto" w:sz="4" w:space="0"/>
        <w:bottom w:val="single" w:color="auto" w:sz="4" w:space="0"/>
      </w:pBdr>
      <w:spacing w:before="100" w:beforeAutospacing="1" w:after="100" w:afterAutospacing="1" w:line="240" w:lineRule="auto"/>
      <w:ind w:firstLine="0"/>
      <w:jc w:val="left"/>
    </w:pPr>
    <w:rPr>
      <w:rFonts w:ascii="宋体" w:hAnsi="宋体" w:cs="宋体"/>
      <w:kern w:val="0"/>
    </w:rPr>
  </w:style>
  <w:style w:type="character" w:customStyle="1" w:styleId="647">
    <w:name w:val="正文缩进 Char1"/>
    <w:autoRedefine/>
    <w:qFormat/>
    <w:uiPriority w:val="0"/>
    <w:rPr>
      <w:rFonts w:ascii="Times New Roman" w:hAnsi="Times New Roman" w:eastAsia="宋体" w:cs="Times New Roman"/>
      <w:sz w:val="24"/>
      <w:szCs w:val="24"/>
    </w:rPr>
  </w:style>
  <w:style w:type="character" w:customStyle="1" w:styleId="648">
    <w:name w:val="fontstyle31"/>
    <w:basedOn w:val="102"/>
    <w:autoRedefine/>
    <w:qFormat/>
    <w:uiPriority w:val="0"/>
    <w:rPr>
      <w:rFonts w:hint="default" w:ascii="Calibri" w:hAnsi="Calibri" w:cs="Calibri"/>
      <w:color w:val="000000"/>
      <w:sz w:val="24"/>
      <w:szCs w:val="24"/>
    </w:rPr>
  </w:style>
  <w:style w:type="paragraph" w:styleId="649">
    <w:name w:val="List Paragraph"/>
    <w:basedOn w:val="1"/>
    <w:link w:val="1574"/>
    <w:autoRedefine/>
    <w:qFormat/>
    <w:uiPriority w:val="34"/>
    <w:pPr>
      <w:ind w:firstLine="200" w:firstLineChars="200"/>
    </w:pPr>
  </w:style>
  <w:style w:type="paragraph" w:customStyle="1" w:styleId="650">
    <w:name w:val="表格(新)"/>
    <w:basedOn w:val="1"/>
    <w:autoRedefine/>
    <w:qFormat/>
    <w:uiPriority w:val="0"/>
    <w:pPr>
      <w:spacing w:line="240" w:lineRule="atLeast"/>
      <w:ind w:firstLine="0"/>
      <w:jc w:val="center"/>
    </w:pPr>
    <w:rPr>
      <w:kern w:val="0"/>
      <w:sz w:val="21"/>
      <w:szCs w:val="21"/>
    </w:rPr>
  </w:style>
  <w:style w:type="character" w:customStyle="1" w:styleId="651">
    <w:name w:val="未处理的提及1"/>
    <w:basedOn w:val="102"/>
    <w:autoRedefine/>
    <w:semiHidden/>
    <w:unhideWhenUsed/>
    <w:qFormat/>
    <w:uiPriority w:val="99"/>
    <w:rPr>
      <w:color w:val="605E5C"/>
      <w:shd w:val="clear" w:color="auto" w:fill="E1DFDD"/>
    </w:rPr>
  </w:style>
  <w:style w:type="paragraph" w:customStyle="1" w:styleId="652">
    <w:name w:val="TOC 71"/>
    <w:basedOn w:val="1"/>
    <w:next w:val="1"/>
    <w:autoRedefine/>
    <w:qFormat/>
    <w:uiPriority w:val="0"/>
    <w:pPr>
      <w:ind w:left="1440"/>
      <w:jc w:val="left"/>
    </w:pPr>
    <w:rPr>
      <w:rFonts w:asciiTheme="minorHAnsi" w:hAnsiTheme="minorHAnsi"/>
      <w:sz w:val="20"/>
      <w:szCs w:val="20"/>
    </w:rPr>
  </w:style>
  <w:style w:type="paragraph" w:customStyle="1" w:styleId="653">
    <w:name w:val="TOC 51"/>
    <w:basedOn w:val="1"/>
    <w:next w:val="1"/>
    <w:autoRedefine/>
    <w:qFormat/>
    <w:uiPriority w:val="0"/>
    <w:pPr>
      <w:ind w:left="960"/>
      <w:jc w:val="left"/>
    </w:pPr>
    <w:rPr>
      <w:rFonts w:asciiTheme="minorHAnsi" w:hAnsiTheme="minorHAnsi"/>
      <w:sz w:val="20"/>
      <w:szCs w:val="20"/>
    </w:rPr>
  </w:style>
  <w:style w:type="paragraph" w:customStyle="1" w:styleId="654">
    <w:name w:val="TOC 31"/>
    <w:basedOn w:val="1"/>
    <w:next w:val="1"/>
    <w:autoRedefine/>
    <w:qFormat/>
    <w:uiPriority w:val="0"/>
    <w:pPr>
      <w:ind w:left="480"/>
      <w:jc w:val="left"/>
    </w:pPr>
    <w:rPr>
      <w:rFonts w:asciiTheme="minorHAnsi" w:hAnsiTheme="minorHAnsi"/>
      <w:sz w:val="20"/>
      <w:szCs w:val="20"/>
    </w:rPr>
  </w:style>
  <w:style w:type="paragraph" w:customStyle="1" w:styleId="655">
    <w:name w:val="TOC 81"/>
    <w:basedOn w:val="1"/>
    <w:next w:val="1"/>
    <w:autoRedefine/>
    <w:qFormat/>
    <w:uiPriority w:val="0"/>
    <w:pPr>
      <w:ind w:left="1680"/>
      <w:jc w:val="left"/>
    </w:pPr>
    <w:rPr>
      <w:rFonts w:asciiTheme="minorHAnsi" w:hAnsiTheme="minorHAnsi"/>
      <w:sz w:val="20"/>
      <w:szCs w:val="20"/>
    </w:rPr>
  </w:style>
  <w:style w:type="paragraph" w:customStyle="1" w:styleId="656">
    <w:name w:val="TOC 41"/>
    <w:basedOn w:val="1"/>
    <w:next w:val="1"/>
    <w:autoRedefine/>
    <w:qFormat/>
    <w:uiPriority w:val="0"/>
    <w:pPr>
      <w:ind w:left="720"/>
      <w:jc w:val="left"/>
    </w:pPr>
    <w:rPr>
      <w:rFonts w:asciiTheme="minorHAnsi" w:hAnsiTheme="minorHAnsi"/>
      <w:sz w:val="20"/>
      <w:szCs w:val="20"/>
    </w:rPr>
  </w:style>
  <w:style w:type="paragraph" w:customStyle="1" w:styleId="657">
    <w:name w:val="TOC 61"/>
    <w:basedOn w:val="1"/>
    <w:next w:val="1"/>
    <w:autoRedefine/>
    <w:qFormat/>
    <w:uiPriority w:val="0"/>
    <w:pPr>
      <w:ind w:left="1200"/>
      <w:jc w:val="left"/>
    </w:pPr>
    <w:rPr>
      <w:rFonts w:asciiTheme="minorHAnsi" w:hAnsiTheme="minorHAnsi"/>
      <w:sz w:val="20"/>
      <w:szCs w:val="20"/>
    </w:rPr>
  </w:style>
  <w:style w:type="paragraph" w:customStyle="1" w:styleId="658">
    <w:name w:val="TOC 21"/>
    <w:basedOn w:val="1"/>
    <w:next w:val="1"/>
    <w:autoRedefine/>
    <w:qFormat/>
    <w:uiPriority w:val="39"/>
    <w:pPr>
      <w:spacing w:before="120"/>
      <w:ind w:left="240"/>
      <w:jc w:val="left"/>
    </w:pPr>
    <w:rPr>
      <w:rFonts w:asciiTheme="minorHAnsi" w:hAnsiTheme="minorHAnsi"/>
      <w:i/>
      <w:iCs/>
      <w:sz w:val="20"/>
      <w:szCs w:val="20"/>
    </w:rPr>
  </w:style>
  <w:style w:type="paragraph" w:customStyle="1" w:styleId="659">
    <w:name w:val="TOC 91"/>
    <w:basedOn w:val="1"/>
    <w:next w:val="1"/>
    <w:autoRedefine/>
    <w:qFormat/>
    <w:uiPriority w:val="0"/>
    <w:pPr>
      <w:ind w:left="1920"/>
      <w:jc w:val="left"/>
    </w:pPr>
    <w:rPr>
      <w:rFonts w:asciiTheme="minorHAnsi" w:hAnsiTheme="minorHAnsi"/>
      <w:sz w:val="20"/>
      <w:szCs w:val="20"/>
    </w:rPr>
  </w:style>
  <w:style w:type="character" w:customStyle="1" w:styleId="660">
    <w:name w:val="访问过的超链接1"/>
    <w:basedOn w:val="102"/>
    <w:autoRedefine/>
    <w:unhideWhenUsed/>
    <w:qFormat/>
    <w:uiPriority w:val="0"/>
    <w:rPr>
      <w:color w:val="800080"/>
      <w:u w:val="single"/>
    </w:rPr>
  </w:style>
  <w:style w:type="paragraph" w:customStyle="1" w:styleId="661">
    <w:name w:val="正文3"/>
    <w:basedOn w:val="1"/>
    <w:link w:val="716"/>
    <w:autoRedefine/>
    <w:qFormat/>
    <w:uiPriority w:val="0"/>
    <w:pPr>
      <w:ind w:firstLine="560" w:firstLineChars="200"/>
      <w:jc w:val="center"/>
    </w:pPr>
    <w:rPr>
      <w:rFonts w:ascii="黑体" w:hAnsi="宋体" w:eastAsia="黑体"/>
      <w:bCs/>
      <w:color w:val="000000"/>
      <w:szCs w:val="20"/>
      <w:lang w:bidi="he-IL"/>
    </w:rPr>
  </w:style>
  <w:style w:type="paragraph" w:customStyle="1" w:styleId="662">
    <w:name w:val="标准宋体 小四 居中1"/>
    <w:basedOn w:val="1"/>
    <w:autoRedefine/>
    <w:semiHidden/>
    <w:qFormat/>
    <w:uiPriority w:val="0"/>
    <w:pPr>
      <w:spacing w:line="240" w:lineRule="auto"/>
      <w:jc w:val="center"/>
    </w:pPr>
    <w:rPr>
      <w:rFonts w:ascii="宋体" w:hAnsi="宋体" w:cs="宋体"/>
      <w:kern w:val="0"/>
    </w:rPr>
  </w:style>
  <w:style w:type="paragraph" w:customStyle="1" w:styleId="663">
    <w:name w:val="表注"/>
    <w:basedOn w:val="1"/>
    <w:autoRedefine/>
    <w:qFormat/>
    <w:uiPriority w:val="0"/>
    <w:pPr>
      <w:keepLines/>
      <w:overflowPunct w:val="0"/>
      <w:adjustRightInd w:val="0"/>
      <w:spacing w:before="60" w:line="288" w:lineRule="auto"/>
      <w:ind w:left="737" w:hanging="397" w:firstLineChars="200"/>
      <w:textAlignment w:val="baseline"/>
    </w:pPr>
    <w:rPr>
      <w:rFonts w:ascii="宋体"/>
      <w:color w:val="FF0000"/>
      <w:kern w:val="28"/>
      <w:sz w:val="21"/>
      <w:szCs w:val="20"/>
    </w:rPr>
  </w:style>
  <w:style w:type="paragraph" w:customStyle="1" w:styleId="664">
    <w:name w:val="11正"/>
    <w:basedOn w:val="1"/>
    <w:autoRedefine/>
    <w:semiHidden/>
    <w:qFormat/>
    <w:uiPriority w:val="0"/>
    <w:pPr>
      <w:spacing w:beforeLines="25" w:afterLines="25" w:line="400" w:lineRule="exact"/>
      <w:ind w:firstLine="200" w:firstLineChars="200"/>
      <w:jc w:val="left"/>
    </w:pPr>
    <w:rPr>
      <w:color w:val="000000"/>
      <w:kern w:val="0"/>
    </w:rPr>
  </w:style>
  <w:style w:type="paragraph" w:customStyle="1" w:styleId="665">
    <w:name w:val="样式1冯正文"/>
    <w:basedOn w:val="1"/>
    <w:autoRedefine/>
    <w:semiHidden/>
    <w:qFormat/>
    <w:uiPriority w:val="0"/>
    <w:pPr>
      <w:spacing w:beforeLines="25" w:afterLines="25" w:line="400" w:lineRule="exact"/>
      <w:ind w:firstLine="200" w:firstLineChars="200"/>
      <w:jc w:val="left"/>
    </w:pPr>
    <w:rPr>
      <w:color w:val="000000"/>
      <w:kern w:val="0"/>
    </w:rPr>
  </w:style>
  <w:style w:type="paragraph" w:customStyle="1" w:styleId="666">
    <w:name w:val="+正文"/>
    <w:basedOn w:val="1"/>
    <w:autoRedefine/>
    <w:qFormat/>
    <w:uiPriority w:val="0"/>
    <w:pPr>
      <w:ind w:firstLine="200" w:firstLineChars="200"/>
    </w:pPr>
    <w:rPr>
      <w:sz w:val="28"/>
      <w:szCs w:val="28"/>
    </w:rPr>
  </w:style>
  <w:style w:type="paragraph" w:customStyle="1" w:styleId="667">
    <w:name w:val="表头(新)"/>
    <w:basedOn w:val="1"/>
    <w:link w:val="668"/>
    <w:autoRedefine/>
    <w:qFormat/>
    <w:uiPriority w:val="0"/>
    <w:pPr>
      <w:spacing w:beforeLines="50" w:line="240" w:lineRule="atLeast"/>
      <w:ind w:firstLine="0"/>
      <w:jc w:val="center"/>
    </w:pPr>
    <w:rPr>
      <w:rFonts w:ascii="宋体" w:hAnsi="黑体"/>
      <w:b/>
      <w:w w:val="90"/>
      <w:kern w:val="0"/>
      <w:szCs w:val="30"/>
    </w:rPr>
  </w:style>
  <w:style w:type="character" w:customStyle="1" w:styleId="668">
    <w:name w:val="表头(新) Char"/>
    <w:basedOn w:val="102"/>
    <w:link w:val="667"/>
    <w:autoRedefine/>
    <w:qFormat/>
    <w:uiPriority w:val="0"/>
    <w:rPr>
      <w:rFonts w:ascii="宋体" w:hAnsi="黑体" w:eastAsia="宋体" w:cs="Times New Roman"/>
      <w:b/>
      <w:w w:val="90"/>
      <w:sz w:val="24"/>
      <w:szCs w:val="30"/>
    </w:rPr>
  </w:style>
  <w:style w:type="paragraph" w:customStyle="1" w:styleId="669">
    <w:name w:val="表格，五宋"/>
    <w:link w:val="670"/>
    <w:autoRedefine/>
    <w:qFormat/>
    <w:uiPriority w:val="0"/>
    <w:pPr>
      <w:adjustRightInd w:val="0"/>
      <w:spacing w:line="240" w:lineRule="atLeast"/>
      <w:jc w:val="center"/>
    </w:pPr>
    <w:rPr>
      <w:rFonts w:ascii="Times New Roman" w:hAnsi="Times New Roman" w:eastAsia="宋体" w:cs="Times New Roman"/>
      <w:sz w:val="21"/>
      <w:lang w:val="en-US" w:eastAsia="zh-CN" w:bidi="ar-SA"/>
    </w:rPr>
  </w:style>
  <w:style w:type="character" w:customStyle="1" w:styleId="670">
    <w:name w:val="表格，五宋 Char"/>
    <w:basedOn w:val="102"/>
    <w:link w:val="669"/>
    <w:autoRedefine/>
    <w:qFormat/>
    <w:uiPriority w:val="0"/>
    <w:rPr>
      <w:rFonts w:ascii="Times New Roman" w:hAnsi="Times New Roman" w:eastAsia="宋体" w:cs="Times New Roman"/>
      <w:sz w:val="21"/>
    </w:rPr>
  </w:style>
  <w:style w:type="character" w:customStyle="1" w:styleId="671">
    <w:name w:val="表格标题 Char"/>
    <w:basedOn w:val="102"/>
    <w:link w:val="152"/>
    <w:autoRedefine/>
    <w:qFormat/>
    <w:uiPriority w:val="0"/>
    <w:rPr>
      <w:rFonts w:ascii="Arial" w:hAnsi="Arial" w:eastAsia="宋体" w:cs="Times New Roman"/>
      <w:kern w:val="2"/>
      <w:sz w:val="24"/>
    </w:rPr>
  </w:style>
  <w:style w:type="paragraph" w:customStyle="1" w:styleId="672">
    <w:name w:val="表内文字"/>
    <w:basedOn w:val="1"/>
    <w:autoRedefine/>
    <w:qFormat/>
    <w:uiPriority w:val="0"/>
    <w:pPr>
      <w:widowControl/>
      <w:autoSpaceDE w:val="0"/>
      <w:autoSpaceDN w:val="0"/>
      <w:adjustRightInd w:val="0"/>
      <w:snapToGrid w:val="0"/>
      <w:ind w:firstLine="0"/>
      <w:jc w:val="center"/>
      <w:textAlignment w:val="baseline"/>
    </w:pPr>
    <w:rPr>
      <w:rFonts w:ascii="宋体" w:hAnsi="宋体"/>
      <w:kern w:val="0"/>
      <w:sz w:val="21"/>
      <w:szCs w:val="20"/>
    </w:rPr>
  </w:style>
  <w:style w:type="table" w:customStyle="1" w:styleId="673">
    <w:name w:val="网格型-中对齐1"/>
    <w:basedOn w:val="88"/>
    <w:autoRedefine/>
    <w:qFormat/>
    <w:uiPriority w:val="5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74">
    <w:name w:val="11111111"/>
    <w:basedOn w:val="21"/>
    <w:link w:val="676"/>
    <w:autoRedefine/>
    <w:qFormat/>
    <w:uiPriority w:val="0"/>
    <w:pPr>
      <w:widowControl/>
      <w:tabs>
        <w:tab w:val="left" w:pos="7380"/>
      </w:tabs>
      <w:snapToGrid w:val="0"/>
      <w:spacing w:line="480" w:lineRule="exact"/>
      <w:ind w:firstLine="505" w:firstLineChars="0"/>
      <w:jc w:val="left"/>
    </w:pPr>
    <w:rPr>
      <w:rFonts w:ascii="宋体" w:hAnsi="宋体" w:cs="宋体"/>
      <w:lang w:val="de-DE"/>
    </w:rPr>
  </w:style>
  <w:style w:type="paragraph" w:customStyle="1" w:styleId="675">
    <w:name w:val="表头111111"/>
    <w:basedOn w:val="131"/>
    <w:link w:val="677"/>
    <w:autoRedefine/>
    <w:qFormat/>
    <w:uiPriority w:val="0"/>
    <w:pPr>
      <w:widowControl/>
      <w:autoSpaceDE w:val="0"/>
      <w:autoSpaceDN w:val="0"/>
      <w:adjustRightInd w:val="0"/>
      <w:snapToGrid w:val="0"/>
      <w:spacing w:before="120" w:beforeLines="0" w:after="78"/>
    </w:pPr>
    <w:rPr>
      <w:rFonts w:ascii="宋体" w:hAnsi="宋体" w:eastAsia="宋体" w:cs="宋体"/>
      <w:b/>
      <w:bCs w:val="0"/>
      <w:color w:val="000000"/>
      <w:kern w:val="32"/>
    </w:rPr>
  </w:style>
  <w:style w:type="character" w:customStyle="1" w:styleId="676">
    <w:name w:val="11111111 Char"/>
    <w:link w:val="674"/>
    <w:autoRedefine/>
    <w:qFormat/>
    <w:uiPriority w:val="0"/>
    <w:rPr>
      <w:rFonts w:ascii="宋体" w:hAnsi="宋体" w:eastAsia="宋体" w:cs="宋体"/>
      <w:kern w:val="2"/>
      <w:sz w:val="24"/>
      <w:szCs w:val="24"/>
      <w:lang w:val="de-DE"/>
    </w:rPr>
  </w:style>
  <w:style w:type="character" w:customStyle="1" w:styleId="677">
    <w:name w:val="表头111111 Char"/>
    <w:link w:val="675"/>
    <w:autoRedefine/>
    <w:qFormat/>
    <w:uiPriority w:val="0"/>
    <w:rPr>
      <w:rFonts w:ascii="宋体" w:hAnsi="宋体" w:eastAsia="宋体" w:cs="宋体"/>
      <w:b/>
      <w:color w:val="000000"/>
      <w:kern w:val="32"/>
      <w:sz w:val="21"/>
      <w:szCs w:val="21"/>
    </w:rPr>
  </w:style>
  <w:style w:type="paragraph" w:customStyle="1" w:styleId="678">
    <w:name w:val="图表文字"/>
    <w:basedOn w:val="1"/>
    <w:autoRedefine/>
    <w:qFormat/>
    <w:uiPriority w:val="0"/>
    <w:pPr>
      <w:widowControl/>
      <w:snapToGrid w:val="0"/>
      <w:spacing w:line="240" w:lineRule="auto"/>
      <w:ind w:firstLine="0"/>
      <w:jc w:val="center"/>
    </w:pPr>
    <w:rPr>
      <w:rFonts w:ascii="微软雅黑" w:hAnsi="微软雅黑" w:eastAsia="微软雅黑" w:cs="微软雅黑"/>
      <w:sz w:val="21"/>
      <w:szCs w:val="21"/>
    </w:rPr>
  </w:style>
  <w:style w:type="paragraph" w:customStyle="1" w:styleId="679">
    <w:name w:val="15"/>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paragraph" w:customStyle="1" w:styleId="680">
    <w:name w:val="16"/>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paragraph" w:customStyle="1" w:styleId="681">
    <w:name w:val="Char Char Char Char Char Char Char Char Char Char Char Char Char Char Char Char Char Char Char Char Char Char Char Char"/>
    <w:basedOn w:val="1"/>
    <w:autoRedefine/>
    <w:qFormat/>
    <w:uiPriority w:val="0"/>
    <w:pPr>
      <w:widowControl/>
      <w:ind w:firstLine="0"/>
      <w:jc w:val="left"/>
    </w:pPr>
    <w:rPr>
      <w:sz w:val="21"/>
      <w:szCs w:val="21"/>
    </w:rPr>
  </w:style>
  <w:style w:type="paragraph" w:customStyle="1" w:styleId="682">
    <w:name w:val="表格cacc"/>
    <w:basedOn w:val="1"/>
    <w:autoRedefine/>
    <w:qFormat/>
    <w:uiPriority w:val="0"/>
    <w:pPr>
      <w:spacing w:line="240" w:lineRule="atLeast"/>
      <w:ind w:firstLine="0"/>
      <w:jc w:val="left"/>
    </w:pPr>
    <w:rPr>
      <w:sz w:val="21"/>
      <w:szCs w:val="21"/>
    </w:rPr>
  </w:style>
  <w:style w:type="paragraph" w:customStyle="1" w:styleId="683">
    <w:name w:val="图表标题"/>
    <w:basedOn w:val="1"/>
    <w:autoRedefine/>
    <w:qFormat/>
    <w:uiPriority w:val="0"/>
    <w:pPr>
      <w:widowControl/>
      <w:spacing w:before="160" w:after="160" w:line="440" w:lineRule="exact"/>
      <w:ind w:firstLine="0"/>
      <w:jc w:val="center"/>
    </w:pPr>
    <w:rPr>
      <w:b/>
      <w:szCs w:val="20"/>
    </w:rPr>
  </w:style>
  <w:style w:type="character" w:customStyle="1" w:styleId="684">
    <w:name w:val="long_text1"/>
    <w:autoRedefine/>
    <w:qFormat/>
    <w:uiPriority w:val="0"/>
    <w:rPr>
      <w:sz w:val="18"/>
    </w:rPr>
  </w:style>
  <w:style w:type="paragraph" w:customStyle="1" w:styleId="685">
    <w:name w:val="附录表标题"/>
    <w:next w:val="1"/>
    <w:autoRedefine/>
    <w:qFormat/>
    <w:uiPriority w:val="0"/>
    <w:pPr>
      <w:jc w:val="center"/>
      <w:textAlignment w:val="baseline"/>
    </w:pPr>
    <w:rPr>
      <w:rFonts w:ascii="黑体" w:hAnsi="Times New Roman" w:eastAsia="黑体" w:cs="Times New Roman"/>
      <w:kern w:val="21"/>
      <w:sz w:val="21"/>
      <w:lang w:val="en-US" w:eastAsia="zh-CN" w:bidi="ar-SA"/>
    </w:rPr>
  </w:style>
  <w:style w:type="character" w:customStyle="1" w:styleId="686">
    <w:name w:val="批注文字 Char1"/>
    <w:basedOn w:val="102"/>
    <w:autoRedefine/>
    <w:qFormat/>
    <w:uiPriority w:val="99"/>
    <w:rPr>
      <w:rFonts w:ascii="宋体"/>
      <w:sz w:val="24"/>
    </w:rPr>
  </w:style>
  <w:style w:type="paragraph" w:customStyle="1" w:styleId="687">
    <w:name w:val="Char Char3 Char Char1"/>
    <w:basedOn w:val="1"/>
    <w:autoRedefine/>
    <w:semiHidden/>
    <w:qFormat/>
    <w:uiPriority w:val="0"/>
    <w:pPr>
      <w:spacing w:line="240" w:lineRule="auto"/>
      <w:ind w:firstLine="0"/>
    </w:pPr>
    <w:rPr>
      <w:sz w:val="21"/>
    </w:rPr>
  </w:style>
  <w:style w:type="character" w:customStyle="1" w:styleId="688">
    <w:name w:val="Char Char6"/>
    <w:autoRedefine/>
    <w:qFormat/>
    <w:uiPriority w:val="0"/>
    <w:rPr>
      <w:rFonts w:ascii="Arial" w:hAnsi="Arial" w:eastAsia="黑体" w:cs="Arial"/>
      <w:kern w:val="2"/>
      <w:lang w:val="en-US" w:eastAsia="zh-CN" w:bidi="ar-SA"/>
    </w:rPr>
  </w:style>
  <w:style w:type="character" w:customStyle="1" w:styleId="689">
    <w:name w:val="正文文本 Char1"/>
    <w:basedOn w:val="102"/>
    <w:autoRedefine/>
    <w:semiHidden/>
    <w:qFormat/>
    <w:uiPriority w:val="99"/>
    <w:rPr>
      <w:kern w:val="2"/>
      <w:sz w:val="21"/>
      <w:szCs w:val="24"/>
    </w:rPr>
  </w:style>
  <w:style w:type="paragraph" w:customStyle="1" w:styleId="690">
    <w:name w:val="4级正文"/>
    <w:basedOn w:val="1"/>
    <w:autoRedefine/>
    <w:qFormat/>
    <w:uiPriority w:val="0"/>
    <w:pPr>
      <w:widowControl/>
      <w:ind w:firstLine="560" w:firstLineChars="200"/>
    </w:pPr>
    <w:rPr>
      <w:rFonts w:ascii="宋体" w:hAnsi="宋体"/>
      <w:kern w:val="0"/>
      <w:sz w:val="28"/>
      <w:szCs w:val="28"/>
    </w:rPr>
  </w:style>
  <w:style w:type="character" w:customStyle="1" w:styleId="691">
    <w:name w:val="编号  ww Char"/>
    <w:autoRedefine/>
    <w:qFormat/>
    <w:uiPriority w:val="0"/>
    <w:rPr>
      <w:rFonts w:ascii="Arial" w:hAnsi="Arial" w:eastAsia="黑体"/>
      <w:b/>
      <w:bCs/>
      <w:kern w:val="2"/>
      <w:sz w:val="28"/>
      <w:szCs w:val="28"/>
      <w:lang w:val="en-US" w:eastAsia="zh-CN" w:bidi="ar-SA"/>
    </w:rPr>
  </w:style>
  <w:style w:type="character" w:customStyle="1" w:styleId="692">
    <w:name w:val="样式 表格文字 + Char"/>
    <w:autoRedefine/>
    <w:qFormat/>
    <w:uiPriority w:val="0"/>
    <w:rPr>
      <w:rFonts w:ascii="宋体" w:hAnsi="宋体" w:eastAsia="宋体"/>
      <w:kern w:val="2"/>
      <w:sz w:val="18"/>
      <w:szCs w:val="18"/>
      <w:lang w:val="en-US" w:eastAsia="zh-CN" w:bidi="ar-SA"/>
    </w:rPr>
  </w:style>
  <w:style w:type="character" w:customStyle="1" w:styleId="693">
    <w:name w:val="subjectshowinfo1"/>
    <w:autoRedefine/>
    <w:qFormat/>
    <w:uiPriority w:val="0"/>
    <w:rPr>
      <w:sz w:val="18"/>
      <w:szCs w:val="18"/>
    </w:rPr>
  </w:style>
  <w:style w:type="character" w:customStyle="1" w:styleId="694">
    <w:name w:val="subjectshowinfoneg1"/>
    <w:autoRedefine/>
    <w:qFormat/>
    <w:uiPriority w:val="0"/>
    <w:rPr>
      <w:color w:val="C0C0C0"/>
      <w:sz w:val="18"/>
      <w:szCs w:val="18"/>
    </w:rPr>
  </w:style>
  <w:style w:type="paragraph" w:customStyle="1" w:styleId="695">
    <w:name w:val="样式 标题 2节标题标题21.1H2h2第一层条二级标题标题 lxb2二级标题 Char表标题单位名4....1"/>
    <w:basedOn w:val="4"/>
    <w:autoRedefine/>
    <w:qFormat/>
    <w:uiPriority w:val="0"/>
    <w:pPr>
      <w:ind w:left="567" w:hanging="567"/>
    </w:pPr>
    <w:rPr>
      <w:rFonts w:cs="宋体"/>
      <w:sz w:val="30"/>
      <w:lang w:bidi="ar-SA"/>
    </w:rPr>
  </w:style>
  <w:style w:type="paragraph" w:customStyle="1" w:styleId="696">
    <w:name w:val="表头1"/>
    <w:basedOn w:val="1"/>
    <w:next w:val="1"/>
    <w:link w:val="697"/>
    <w:autoRedefine/>
    <w:qFormat/>
    <w:uiPriority w:val="0"/>
    <w:pPr>
      <w:tabs>
        <w:tab w:val="left" w:pos="605"/>
      </w:tabs>
      <w:adjustRightInd w:val="0"/>
      <w:snapToGrid w:val="0"/>
      <w:spacing w:line="240" w:lineRule="auto"/>
      <w:ind w:firstLine="0"/>
      <w:jc w:val="center"/>
    </w:pPr>
    <w:rPr>
      <w:rFonts w:eastAsia="黑体"/>
      <w:kern w:val="0"/>
      <w:sz w:val="21"/>
      <w:szCs w:val="21"/>
    </w:rPr>
  </w:style>
  <w:style w:type="character" w:customStyle="1" w:styleId="697">
    <w:name w:val="表头1 Char"/>
    <w:link w:val="696"/>
    <w:autoRedefine/>
    <w:qFormat/>
    <w:uiPriority w:val="0"/>
    <w:rPr>
      <w:rFonts w:ascii="Times New Roman" w:hAnsi="Times New Roman" w:eastAsia="黑体" w:cs="Times New Roman"/>
      <w:sz w:val="21"/>
      <w:szCs w:val="21"/>
    </w:rPr>
  </w:style>
  <w:style w:type="character" w:customStyle="1" w:styleId="698">
    <w:name w:val="Char Char9"/>
    <w:autoRedefine/>
    <w:qFormat/>
    <w:uiPriority w:val="0"/>
    <w:rPr>
      <w:rFonts w:eastAsia="黑体"/>
      <w:bCs/>
      <w:kern w:val="44"/>
      <w:sz w:val="30"/>
      <w:szCs w:val="44"/>
    </w:rPr>
  </w:style>
  <w:style w:type="character" w:customStyle="1" w:styleId="699">
    <w:name w:val="Char Char8"/>
    <w:autoRedefine/>
    <w:qFormat/>
    <w:uiPriority w:val="0"/>
    <w:rPr>
      <w:rFonts w:ascii="Cambria" w:hAnsi="Cambria" w:eastAsia="黑体" w:cs="Times New Roman"/>
      <w:bCs/>
      <w:sz w:val="28"/>
      <w:szCs w:val="32"/>
    </w:rPr>
  </w:style>
  <w:style w:type="character" w:customStyle="1" w:styleId="700">
    <w:name w:val="Char Char7"/>
    <w:autoRedefine/>
    <w:qFormat/>
    <w:uiPriority w:val="0"/>
    <w:rPr>
      <w:bCs/>
      <w:sz w:val="24"/>
      <w:szCs w:val="32"/>
    </w:rPr>
  </w:style>
  <w:style w:type="paragraph" w:customStyle="1" w:styleId="701">
    <w:name w:val="表格名称"/>
    <w:basedOn w:val="1"/>
    <w:link w:val="799"/>
    <w:autoRedefine/>
    <w:qFormat/>
    <w:uiPriority w:val="0"/>
    <w:pPr>
      <w:ind w:firstLine="0"/>
      <w:jc w:val="center"/>
    </w:pPr>
    <w:rPr>
      <w:rFonts w:hAnsi="宋体" w:eastAsia="黑体"/>
      <w:sz w:val="21"/>
    </w:rPr>
  </w:style>
  <w:style w:type="character" w:customStyle="1" w:styleId="702">
    <w:name w:val="Char Char10"/>
    <w:autoRedefine/>
    <w:qFormat/>
    <w:uiPriority w:val="0"/>
    <w:rPr>
      <w:rFonts w:eastAsia="黑体"/>
      <w:bCs/>
      <w:kern w:val="44"/>
      <w:sz w:val="30"/>
      <w:szCs w:val="44"/>
    </w:rPr>
  </w:style>
  <w:style w:type="character" w:customStyle="1" w:styleId="703">
    <w:name w:val="标题3 Char Char"/>
    <w:autoRedefine/>
    <w:qFormat/>
    <w:uiPriority w:val="0"/>
    <w:rPr>
      <w:rFonts w:ascii="Cambria" w:hAnsi="Cambria" w:eastAsia="黑体" w:cs="Times New Roman"/>
      <w:bCs/>
      <w:sz w:val="24"/>
      <w:szCs w:val="32"/>
    </w:rPr>
  </w:style>
  <w:style w:type="paragraph" w:customStyle="1" w:styleId="704">
    <w:name w:val="Char 姬"/>
    <w:basedOn w:val="1"/>
    <w:autoRedefine/>
    <w:qFormat/>
    <w:uiPriority w:val="0"/>
    <w:pPr>
      <w:spacing w:line="240" w:lineRule="auto"/>
      <w:ind w:firstLine="0"/>
    </w:pPr>
    <w:rPr>
      <w:sz w:val="21"/>
    </w:rPr>
  </w:style>
  <w:style w:type="paragraph" w:customStyle="1" w:styleId="705">
    <w:name w:val="准 标题 3 + 左侧:  2 字符"/>
    <w:basedOn w:val="5"/>
    <w:autoRedefine/>
    <w:qFormat/>
    <w:uiPriority w:val="0"/>
    <w:pPr>
      <w:keepNext/>
      <w:keepLines/>
      <w:ind w:left="709" w:hanging="709"/>
      <w:jc w:val="both"/>
    </w:pPr>
    <w:rPr>
      <w:rFonts w:cs="宋体"/>
      <w:bCs/>
    </w:rPr>
  </w:style>
  <w:style w:type="paragraph" w:customStyle="1" w:styleId="706">
    <w:name w:val="准 表头"/>
    <w:link w:val="707"/>
    <w:autoRedefine/>
    <w:qFormat/>
    <w:uiPriority w:val="0"/>
    <w:pPr>
      <w:spacing w:line="360" w:lineRule="auto"/>
      <w:jc w:val="center"/>
    </w:pPr>
    <w:rPr>
      <w:rFonts w:ascii="Times New Roman" w:hAnsi="Times New Roman" w:eastAsia="黑体" w:cs="Times New Roman"/>
      <w:kern w:val="2"/>
      <w:sz w:val="21"/>
      <w:szCs w:val="21"/>
      <w:lang w:val="en-US" w:eastAsia="zh-CN" w:bidi="ar-SA"/>
    </w:rPr>
  </w:style>
  <w:style w:type="character" w:customStyle="1" w:styleId="707">
    <w:name w:val="准 表头 Char"/>
    <w:link w:val="706"/>
    <w:autoRedefine/>
    <w:qFormat/>
    <w:uiPriority w:val="0"/>
    <w:rPr>
      <w:rFonts w:ascii="Times New Roman" w:hAnsi="Times New Roman" w:eastAsia="黑体" w:cs="Times New Roman"/>
      <w:kern w:val="2"/>
      <w:sz w:val="21"/>
      <w:szCs w:val="21"/>
    </w:rPr>
  </w:style>
  <w:style w:type="paragraph" w:customStyle="1" w:styleId="708">
    <w:name w:val="准 表格 样式1 + 居中"/>
    <w:basedOn w:val="1"/>
    <w:link w:val="709"/>
    <w:autoRedefine/>
    <w:qFormat/>
    <w:uiPriority w:val="0"/>
    <w:pPr>
      <w:widowControl/>
      <w:spacing w:line="280" w:lineRule="exact"/>
      <w:ind w:firstLine="0"/>
      <w:jc w:val="center"/>
    </w:pPr>
    <w:rPr>
      <w:rFonts w:cs="宋体"/>
      <w:sz w:val="18"/>
      <w:szCs w:val="20"/>
    </w:rPr>
  </w:style>
  <w:style w:type="character" w:customStyle="1" w:styleId="709">
    <w:name w:val="准 表格 样式1 + 居中 Char"/>
    <w:link w:val="708"/>
    <w:autoRedefine/>
    <w:qFormat/>
    <w:uiPriority w:val="0"/>
    <w:rPr>
      <w:rFonts w:ascii="Times New Roman" w:hAnsi="Times New Roman" w:eastAsia="宋体" w:cs="宋体"/>
      <w:kern w:val="2"/>
      <w:sz w:val="18"/>
    </w:rPr>
  </w:style>
  <w:style w:type="paragraph" w:customStyle="1" w:styleId="710">
    <w:name w:val="Char Char3 Char Char"/>
    <w:basedOn w:val="1"/>
    <w:autoRedefine/>
    <w:semiHidden/>
    <w:qFormat/>
    <w:uiPriority w:val="0"/>
    <w:pPr>
      <w:spacing w:line="240" w:lineRule="auto"/>
      <w:ind w:firstLine="0"/>
    </w:pPr>
    <w:rPr>
      <w:sz w:val="21"/>
    </w:rPr>
  </w:style>
  <w:style w:type="character" w:customStyle="1" w:styleId="711">
    <w:name w:val="标题 4 Char1"/>
    <w:autoRedefine/>
    <w:qFormat/>
    <w:uiPriority w:val="0"/>
    <w:rPr>
      <w:rFonts w:cs="宋体"/>
      <w:b/>
      <w:bCs/>
      <w:sz w:val="24"/>
      <w:szCs w:val="24"/>
      <w:lang w:val="en-US" w:eastAsia="zh-CN" w:bidi="ar-SA"/>
    </w:rPr>
  </w:style>
  <w:style w:type="character" w:customStyle="1" w:styleId="712">
    <w:name w:val="正文01 Char1"/>
    <w:link w:val="541"/>
    <w:autoRedefine/>
    <w:qFormat/>
    <w:uiPriority w:val="0"/>
    <w:rPr>
      <w:rFonts w:ascii="Times New Roman" w:hAnsi="Times New Roman" w:eastAsia="宋体" w:cs="Times New Roman"/>
      <w:snapToGrid w:val="0"/>
      <w:sz w:val="24"/>
      <w:szCs w:val="24"/>
    </w:rPr>
  </w:style>
  <w:style w:type="paragraph" w:customStyle="1" w:styleId="713">
    <w:name w:val="_Style 10"/>
    <w:basedOn w:val="1"/>
    <w:autoRedefine/>
    <w:qFormat/>
    <w:uiPriority w:val="0"/>
    <w:pPr>
      <w:ind w:firstLine="200" w:firstLineChars="200"/>
    </w:pPr>
    <w:rPr>
      <w:rFonts w:cs="宋体"/>
      <w:kern w:val="0"/>
    </w:rPr>
  </w:style>
  <w:style w:type="table" w:customStyle="1" w:styleId="714">
    <w:name w:val="专业网格1"/>
    <w:basedOn w:val="88"/>
    <w:autoRedefine/>
    <w:qFormat/>
    <w:uiPriority w:val="59"/>
    <w:pPr>
      <w:spacing w:line="360" w:lineRule="auto"/>
      <w:ind w:firstLine="200" w:firstLineChars="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15">
    <w:name w:val="Char Char2 Char Char Char Char"/>
    <w:basedOn w:val="1"/>
    <w:autoRedefine/>
    <w:qFormat/>
    <w:uiPriority w:val="0"/>
    <w:pPr>
      <w:spacing w:line="240" w:lineRule="auto"/>
      <w:ind w:firstLine="0"/>
    </w:pPr>
    <w:rPr>
      <w:sz w:val="21"/>
    </w:rPr>
  </w:style>
  <w:style w:type="character" w:customStyle="1" w:styleId="716">
    <w:name w:val="正文3 Char Char"/>
    <w:link w:val="661"/>
    <w:autoRedefine/>
    <w:qFormat/>
    <w:locked/>
    <w:uiPriority w:val="0"/>
    <w:rPr>
      <w:rFonts w:ascii="黑体" w:hAnsi="宋体" w:eastAsia="黑体" w:cs="Times New Roman"/>
      <w:bCs/>
      <w:color w:val="000000"/>
      <w:kern w:val="2"/>
      <w:sz w:val="24"/>
      <w:lang w:bidi="he-IL"/>
    </w:rPr>
  </w:style>
  <w:style w:type="paragraph" w:customStyle="1" w:styleId="717">
    <w:name w:val="5文章(治)"/>
    <w:basedOn w:val="1"/>
    <w:link w:val="718"/>
    <w:autoRedefine/>
    <w:qFormat/>
    <w:uiPriority w:val="0"/>
    <w:pPr>
      <w:ind w:firstLine="0"/>
    </w:pPr>
  </w:style>
  <w:style w:type="character" w:customStyle="1" w:styleId="718">
    <w:name w:val="5文章(治) Char"/>
    <w:link w:val="717"/>
    <w:autoRedefine/>
    <w:qFormat/>
    <w:uiPriority w:val="0"/>
    <w:rPr>
      <w:rFonts w:ascii="Times New Roman" w:hAnsi="Times New Roman" w:eastAsia="宋体" w:cs="Times New Roman"/>
      <w:kern w:val="2"/>
      <w:sz w:val="24"/>
      <w:szCs w:val="24"/>
    </w:rPr>
  </w:style>
  <w:style w:type="paragraph" w:customStyle="1" w:styleId="719">
    <w:name w:val="【表头】"/>
    <w:basedOn w:val="1"/>
    <w:autoRedefine/>
    <w:qFormat/>
    <w:uiPriority w:val="0"/>
    <w:pPr>
      <w:spacing w:before="120" w:line="240" w:lineRule="auto"/>
      <w:ind w:firstLine="0"/>
      <w:jc w:val="center"/>
    </w:pPr>
    <w:rPr>
      <w:rFonts w:eastAsia="黑体" w:cs="Arial"/>
    </w:rPr>
  </w:style>
  <w:style w:type="paragraph" w:customStyle="1" w:styleId="720">
    <w:name w:val="【正文】"/>
    <w:basedOn w:val="1"/>
    <w:link w:val="721"/>
    <w:autoRedefine/>
    <w:qFormat/>
    <w:uiPriority w:val="0"/>
    <w:pPr>
      <w:spacing w:before="120" w:after="120" w:line="312" w:lineRule="auto"/>
      <w:ind w:firstLine="200" w:firstLineChars="200"/>
    </w:pPr>
    <w:rPr>
      <w:szCs w:val="20"/>
    </w:rPr>
  </w:style>
  <w:style w:type="character" w:customStyle="1" w:styleId="721">
    <w:name w:val="【正文】 Char"/>
    <w:link w:val="720"/>
    <w:autoRedefine/>
    <w:qFormat/>
    <w:uiPriority w:val="0"/>
    <w:rPr>
      <w:rFonts w:ascii="Times New Roman" w:hAnsi="Times New Roman" w:eastAsia="宋体" w:cs="Times New Roman"/>
      <w:kern w:val="2"/>
      <w:sz w:val="24"/>
    </w:rPr>
  </w:style>
  <w:style w:type="paragraph" w:customStyle="1" w:styleId="722">
    <w:name w:val="【表格文字】"/>
    <w:autoRedefine/>
    <w:qFormat/>
    <w:uiPriority w:val="0"/>
    <w:pPr>
      <w:jc w:val="center"/>
    </w:pPr>
    <w:rPr>
      <w:rFonts w:ascii="Times New Roman" w:hAnsi="Times New Roman" w:eastAsia="宋体" w:cs="宋体"/>
      <w:sz w:val="21"/>
      <w:lang w:val="en-US" w:eastAsia="zh-CN" w:bidi="ar-SA"/>
    </w:rPr>
  </w:style>
  <w:style w:type="paragraph" w:customStyle="1" w:styleId="723">
    <w:name w:val="Char1 Char Char Char Char Char Char Char Char Char"/>
    <w:basedOn w:val="1"/>
    <w:autoRedefine/>
    <w:qFormat/>
    <w:uiPriority w:val="0"/>
    <w:pPr>
      <w:spacing w:line="240" w:lineRule="auto"/>
      <w:ind w:firstLine="0"/>
    </w:pPr>
    <w:rPr>
      <w:rFonts w:ascii="Tahoma" w:hAnsi="Tahoma"/>
      <w:szCs w:val="20"/>
    </w:rPr>
  </w:style>
  <w:style w:type="paragraph" w:customStyle="1" w:styleId="724">
    <w:name w:val="reader-word-layer reader-word-s2-0"/>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paragraph" w:customStyle="1" w:styleId="725">
    <w:name w:val="reader-word-layer reader-word-s2-3"/>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character" w:customStyle="1" w:styleId="726">
    <w:name w:val="图1 Char"/>
    <w:link w:val="727"/>
    <w:autoRedefine/>
    <w:qFormat/>
    <w:uiPriority w:val="0"/>
    <w:rPr>
      <w:rFonts w:ascii="宋体"/>
      <w:snapToGrid w:val="0"/>
      <w:szCs w:val="24"/>
    </w:rPr>
  </w:style>
  <w:style w:type="paragraph" w:customStyle="1" w:styleId="727">
    <w:name w:val="图1"/>
    <w:basedOn w:val="1"/>
    <w:link w:val="726"/>
    <w:autoRedefine/>
    <w:qFormat/>
    <w:uiPriority w:val="0"/>
    <w:pPr>
      <w:spacing w:before="120" w:line="240" w:lineRule="auto"/>
      <w:ind w:firstLine="0"/>
    </w:pPr>
    <w:rPr>
      <w:rFonts w:ascii="宋体" w:hAnsiTheme="minorHAnsi" w:eastAsiaTheme="minorEastAsia" w:cstheme="minorBidi"/>
      <w:snapToGrid w:val="0"/>
      <w:kern w:val="0"/>
      <w:sz w:val="20"/>
    </w:rPr>
  </w:style>
  <w:style w:type="character" w:customStyle="1" w:styleId="728">
    <w:name w:val="font31"/>
    <w:autoRedefine/>
    <w:qFormat/>
    <w:uiPriority w:val="0"/>
    <w:rPr>
      <w:rFonts w:hint="eastAsia" w:ascii="宋体" w:hAnsi="宋体" w:eastAsia="宋体"/>
      <w:color w:val="FF0000"/>
      <w:sz w:val="20"/>
      <w:szCs w:val="20"/>
      <w:u w:val="none"/>
    </w:rPr>
  </w:style>
  <w:style w:type="paragraph" w:customStyle="1" w:styleId="729">
    <w:name w:val="环评正文"/>
    <w:basedOn w:val="1"/>
    <w:link w:val="934"/>
    <w:autoRedefine/>
    <w:qFormat/>
    <w:uiPriority w:val="0"/>
    <w:pPr>
      <w:ind w:firstLine="480" w:firstLineChars="200"/>
    </w:pPr>
  </w:style>
  <w:style w:type="paragraph" w:customStyle="1" w:styleId="730">
    <w:name w:val="样式 报告正文 + (符号) 宋体 自动设置 左侧:  0 厘米"/>
    <w:basedOn w:val="287"/>
    <w:autoRedefine/>
    <w:qFormat/>
    <w:uiPriority w:val="0"/>
    <w:pPr>
      <w:tabs>
        <w:tab w:val="left" w:pos="851"/>
      </w:tabs>
      <w:autoSpaceDE w:val="0"/>
      <w:autoSpaceDN w:val="0"/>
      <w:adjustRightInd w:val="0"/>
      <w:spacing w:line="500" w:lineRule="exact"/>
      <w:ind w:firstLine="200"/>
      <w:textAlignment w:val="baseline"/>
    </w:pPr>
    <w:rPr>
      <w:rFonts w:hAnsi="宋体" w:cs="宋体"/>
      <w:spacing w:val="6"/>
      <w:kern w:val="0"/>
      <w:sz w:val="28"/>
    </w:rPr>
  </w:style>
  <w:style w:type="paragraph" w:customStyle="1" w:styleId="731">
    <w:name w:val="Char Char1 Char Char"/>
    <w:basedOn w:val="1"/>
    <w:autoRedefine/>
    <w:qFormat/>
    <w:uiPriority w:val="0"/>
    <w:pPr>
      <w:spacing w:after="160" w:line="240" w:lineRule="exact"/>
      <w:ind w:firstLine="0"/>
    </w:pPr>
    <w:rPr>
      <w:rFonts w:ascii="Verdana" w:hAnsi="Verdana" w:cs="Verdana"/>
      <w:sz w:val="20"/>
      <w:szCs w:val="20"/>
      <w:lang w:eastAsia="en-US"/>
    </w:rPr>
  </w:style>
  <w:style w:type="paragraph" w:customStyle="1" w:styleId="732">
    <w:name w:val="p0"/>
    <w:basedOn w:val="1"/>
    <w:link w:val="1506"/>
    <w:autoRedefine/>
    <w:qFormat/>
    <w:uiPriority w:val="0"/>
    <w:pPr>
      <w:widowControl/>
      <w:spacing w:line="240" w:lineRule="auto"/>
      <w:ind w:firstLine="0"/>
    </w:pPr>
    <w:rPr>
      <w:kern w:val="0"/>
      <w:sz w:val="21"/>
      <w:szCs w:val="21"/>
    </w:rPr>
  </w:style>
  <w:style w:type="paragraph" w:customStyle="1" w:styleId="733">
    <w:name w:val="Char Char1 Char Char1"/>
    <w:basedOn w:val="1"/>
    <w:next w:val="1"/>
    <w:autoRedefine/>
    <w:qFormat/>
    <w:uiPriority w:val="0"/>
    <w:pPr>
      <w:ind w:firstLine="200" w:firstLineChars="200"/>
    </w:pPr>
    <w:rPr>
      <w:rFonts w:ascii="宋体" w:hAnsi="宋体" w:cs="宋体"/>
    </w:rPr>
  </w:style>
  <w:style w:type="character" w:customStyle="1" w:styleId="734">
    <w:name w:val="Char Char1"/>
    <w:autoRedefine/>
    <w:qFormat/>
    <w:locked/>
    <w:uiPriority w:val="0"/>
    <w:rPr>
      <w:rFonts w:ascii="宋体" w:hAnsi="宋体" w:eastAsia="宋体"/>
      <w:kern w:val="2"/>
      <w:sz w:val="18"/>
      <w:szCs w:val="18"/>
      <w:lang w:val="en-US" w:eastAsia="zh-CN" w:bidi="ar-SA"/>
    </w:rPr>
  </w:style>
  <w:style w:type="paragraph" w:customStyle="1" w:styleId="735">
    <w:name w:val="大纲正文"/>
    <w:basedOn w:val="1"/>
    <w:autoRedefine/>
    <w:qFormat/>
    <w:uiPriority w:val="0"/>
    <w:pPr>
      <w:widowControl/>
      <w:adjustRightInd w:val="0"/>
      <w:snapToGrid w:val="0"/>
      <w:spacing w:afterLines="50" w:line="300" w:lineRule="auto"/>
      <w:ind w:firstLine="480" w:firstLineChars="200"/>
    </w:pPr>
    <w:rPr>
      <w:rFonts w:cs="宋体"/>
    </w:rPr>
  </w:style>
  <w:style w:type="character" w:customStyle="1" w:styleId="736">
    <w:name w:val="Heading 4 Char"/>
    <w:autoRedefine/>
    <w:qFormat/>
    <w:locked/>
    <w:uiPriority w:val="0"/>
    <w:rPr>
      <w:rFonts w:ascii="Arial" w:hAnsi="Arial" w:eastAsia="黑体" w:cs="Times New Roman"/>
      <w:b/>
      <w:bCs/>
      <w:sz w:val="28"/>
      <w:szCs w:val="28"/>
    </w:rPr>
  </w:style>
  <w:style w:type="character" w:customStyle="1" w:styleId="737">
    <w:name w:val="headline-content2"/>
    <w:autoRedefine/>
    <w:qFormat/>
    <w:uiPriority w:val="0"/>
    <w:rPr>
      <w:rFonts w:cs="Times New Roman"/>
    </w:rPr>
  </w:style>
  <w:style w:type="character" w:customStyle="1" w:styleId="738">
    <w:name w:val="text_edit editable-title"/>
    <w:autoRedefine/>
    <w:qFormat/>
    <w:uiPriority w:val="0"/>
    <w:rPr>
      <w:rFonts w:cs="Times New Roman"/>
    </w:rPr>
  </w:style>
  <w:style w:type="paragraph" w:customStyle="1" w:styleId="739">
    <w:name w:val="正文样式"/>
    <w:basedOn w:val="1"/>
    <w:autoRedefine/>
    <w:qFormat/>
    <w:uiPriority w:val="0"/>
    <w:pPr>
      <w:ind w:firstLine="480" w:firstLineChars="200"/>
    </w:pPr>
    <w:rPr>
      <w:rFonts w:ascii="宋体" w:hAnsi="宋体"/>
    </w:rPr>
  </w:style>
  <w:style w:type="paragraph" w:customStyle="1" w:styleId="740">
    <w:name w:val="内容"/>
    <w:basedOn w:val="1"/>
    <w:link w:val="815"/>
    <w:autoRedefine/>
    <w:qFormat/>
    <w:uiPriority w:val="0"/>
    <w:pPr>
      <w:tabs>
        <w:tab w:val="left" w:pos="4690"/>
      </w:tabs>
      <w:spacing w:line="348" w:lineRule="auto"/>
      <w:ind w:left="-2" w:firstLine="550"/>
    </w:pPr>
  </w:style>
  <w:style w:type="paragraph" w:customStyle="1" w:styleId="741">
    <w:name w:val="标题四44"/>
    <w:basedOn w:val="1"/>
    <w:link w:val="742"/>
    <w:autoRedefine/>
    <w:qFormat/>
    <w:uiPriority w:val="0"/>
    <w:pPr>
      <w:tabs>
        <w:tab w:val="left" w:pos="420"/>
      </w:tabs>
      <w:ind w:left="420" w:hanging="420"/>
      <w:jc w:val="left"/>
      <w:outlineLvl w:val="2"/>
    </w:pPr>
    <w:rPr>
      <w:rFonts w:ascii="宋体" w:hAnsi="宋体"/>
      <w:b/>
      <w:sz w:val="28"/>
      <w:szCs w:val="28"/>
    </w:rPr>
  </w:style>
  <w:style w:type="character" w:customStyle="1" w:styleId="742">
    <w:name w:val="标题四44 Char Char"/>
    <w:link w:val="741"/>
    <w:autoRedefine/>
    <w:qFormat/>
    <w:locked/>
    <w:uiPriority w:val="0"/>
    <w:rPr>
      <w:rFonts w:ascii="宋体" w:hAnsi="宋体" w:eastAsia="宋体" w:cs="Times New Roman"/>
      <w:b/>
      <w:kern w:val="2"/>
      <w:sz w:val="28"/>
      <w:szCs w:val="28"/>
    </w:rPr>
  </w:style>
  <w:style w:type="paragraph" w:customStyle="1" w:styleId="743">
    <w:name w:val="样式 标题 2 + 宋体 首行缩进:  2 字符"/>
    <w:basedOn w:val="4"/>
    <w:autoRedefine/>
    <w:qFormat/>
    <w:uiPriority w:val="0"/>
    <w:pPr>
      <w:spacing w:before="120" w:after="120"/>
      <w:ind w:left="567" w:firstLine="200" w:firstLineChars="200"/>
      <w:textAlignment w:val="auto"/>
    </w:pPr>
    <w:rPr>
      <w:rFonts w:eastAsia="宋体" w:cs="宋体"/>
      <w:kern w:val="2"/>
      <w:sz w:val="24"/>
      <w:lang w:bidi="ar-SA"/>
    </w:rPr>
  </w:style>
  <w:style w:type="paragraph" w:customStyle="1" w:styleId="744">
    <w:name w:val="表内容"/>
    <w:link w:val="948"/>
    <w:autoRedefine/>
    <w:qFormat/>
    <w:uiPriority w:val="0"/>
    <w:pPr>
      <w:jc w:val="center"/>
    </w:pPr>
    <w:rPr>
      <w:rFonts w:ascii="Times New Roman" w:hAnsi="Times New Roman" w:eastAsia="宋体" w:cs="Times New Roman"/>
      <w:lang w:val="en-US" w:eastAsia="zh-CN" w:bidi="ar-SA"/>
    </w:rPr>
  </w:style>
  <w:style w:type="paragraph" w:customStyle="1" w:styleId="745">
    <w:name w:val="样式 Times New Roman 四号 两端对齐 首行缩进:  0.99 厘米 行距: 最小值 25 磅"/>
    <w:basedOn w:val="1"/>
    <w:autoRedefine/>
    <w:qFormat/>
    <w:uiPriority w:val="0"/>
    <w:pPr>
      <w:widowControl/>
      <w:spacing w:line="500" w:lineRule="atLeast"/>
      <w:ind w:firstLine="561"/>
    </w:pPr>
    <w:rPr>
      <w:rFonts w:cs="宋体"/>
      <w:sz w:val="28"/>
      <w:szCs w:val="20"/>
    </w:rPr>
  </w:style>
  <w:style w:type="paragraph" w:customStyle="1" w:styleId="746">
    <w:name w:val="WJH正文"/>
    <w:basedOn w:val="1"/>
    <w:link w:val="747"/>
    <w:autoRedefine/>
    <w:qFormat/>
    <w:uiPriority w:val="0"/>
    <w:pPr>
      <w:ind w:firstLine="200" w:firstLineChars="200"/>
    </w:pPr>
    <w:rPr>
      <w:szCs w:val="22"/>
    </w:rPr>
  </w:style>
  <w:style w:type="character" w:customStyle="1" w:styleId="747">
    <w:name w:val="WJH正文 Char Char"/>
    <w:link w:val="746"/>
    <w:autoRedefine/>
    <w:qFormat/>
    <w:locked/>
    <w:uiPriority w:val="0"/>
    <w:rPr>
      <w:rFonts w:ascii="Times New Roman" w:hAnsi="Times New Roman" w:eastAsia="宋体" w:cs="Times New Roman"/>
      <w:kern w:val="2"/>
      <w:sz w:val="24"/>
      <w:szCs w:val="22"/>
    </w:rPr>
  </w:style>
  <w:style w:type="paragraph" w:customStyle="1" w:styleId="748">
    <w:name w:val="样式 二级标题 + 行距: 1.5 倍行距"/>
    <w:basedOn w:val="1"/>
    <w:autoRedefine/>
    <w:qFormat/>
    <w:uiPriority w:val="0"/>
    <w:pPr>
      <w:keepNext/>
      <w:keepLines/>
      <w:spacing w:afterLines="50" w:line="240" w:lineRule="atLeast"/>
      <w:ind w:left="454" w:right="210" w:rightChars="100" w:hanging="454"/>
      <w:jc w:val="left"/>
      <w:outlineLvl w:val="0"/>
    </w:pPr>
    <w:rPr>
      <w:rFonts w:ascii="黑体" w:hAnsi="Cambria" w:eastAsia="黑体" w:cs="宋体"/>
      <w:b/>
      <w:bCs/>
      <w:kern w:val="44"/>
      <w:sz w:val="28"/>
      <w:szCs w:val="28"/>
    </w:rPr>
  </w:style>
  <w:style w:type="paragraph" w:customStyle="1" w:styleId="749">
    <w:name w:val="Char Char Char2 Char Char Char Char"/>
    <w:basedOn w:val="1"/>
    <w:autoRedefine/>
    <w:qFormat/>
    <w:uiPriority w:val="0"/>
    <w:pPr>
      <w:ind w:firstLine="200" w:firstLineChars="200"/>
    </w:pPr>
    <w:rPr>
      <w:rFonts w:ascii="宋体" w:hAnsi="宋体" w:cs="宋体"/>
      <w:bCs/>
    </w:rPr>
  </w:style>
  <w:style w:type="paragraph" w:customStyle="1" w:styleId="750">
    <w:name w:val="样式 样式 样式 (中文) 仿宋_GB2312 四号 行距: 最小值 25 磅 + (中文) 宋体 + 首行缩进:  2 字符"/>
    <w:basedOn w:val="1"/>
    <w:autoRedefine/>
    <w:qFormat/>
    <w:uiPriority w:val="0"/>
    <w:pPr>
      <w:spacing w:line="500" w:lineRule="atLeast"/>
      <w:ind w:firstLine="200" w:firstLineChars="200"/>
    </w:pPr>
    <w:rPr>
      <w:rFonts w:ascii="Calibri" w:hAnsi="Calibri" w:cs="宋体"/>
      <w:sz w:val="28"/>
      <w:szCs w:val="20"/>
    </w:rPr>
  </w:style>
  <w:style w:type="paragraph" w:customStyle="1" w:styleId="751">
    <w:name w:val="样式 标题 1 + 首行缩进:  2 字符"/>
    <w:basedOn w:val="3"/>
    <w:link w:val="752"/>
    <w:autoRedefine/>
    <w:qFormat/>
    <w:uiPriority w:val="0"/>
    <w:pPr>
      <w:spacing w:after="120"/>
      <w:ind w:left="425" w:hanging="425"/>
      <w:textAlignment w:val="auto"/>
    </w:pPr>
    <w:rPr>
      <w:rFonts w:eastAsia="宋体" w:cs="宋体"/>
      <w:b/>
      <w:color w:val="auto"/>
      <w:sz w:val="32"/>
      <w:szCs w:val="44"/>
    </w:rPr>
  </w:style>
  <w:style w:type="character" w:customStyle="1" w:styleId="752">
    <w:name w:val="样式 标题 1 + 首行缩进:  2 字符 Char Char"/>
    <w:link w:val="751"/>
    <w:autoRedefine/>
    <w:qFormat/>
    <w:locked/>
    <w:uiPriority w:val="0"/>
    <w:rPr>
      <w:rFonts w:ascii="Times New Roman" w:hAnsi="Times New Roman" w:eastAsia="宋体" w:cs="宋体"/>
      <w:b/>
      <w:bCs/>
      <w:kern w:val="44"/>
      <w:sz w:val="32"/>
      <w:szCs w:val="44"/>
    </w:rPr>
  </w:style>
  <w:style w:type="character" w:customStyle="1" w:styleId="753">
    <w:name w:val="Heading 1 Char"/>
    <w:autoRedefine/>
    <w:qFormat/>
    <w:locked/>
    <w:uiPriority w:val="0"/>
    <w:rPr>
      <w:rFonts w:eastAsia="宋体" w:cs="Times New Roman"/>
      <w:b/>
      <w:bCs/>
      <w:kern w:val="44"/>
      <w:sz w:val="44"/>
      <w:szCs w:val="44"/>
      <w:lang w:val="en-US" w:eastAsia="zh-CN" w:bidi="ar-SA"/>
    </w:rPr>
  </w:style>
  <w:style w:type="paragraph" w:customStyle="1" w:styleId="754">
    <w:name w:val="p21"/>
    <w:basedOn w:val="1"/>
    <w:autoRedefine/>
    <w:qFormat/>
    <w:uiPriority w:val="0"/>
    <w:pPr>
      <w:widowControl/>
      <w:spacing w:after="120" w:line="240" w:lineRule="auto"/>
      <w:ind w:left="840" w:firstLine="0"/>
    </w:pPr>
    <w:rPr>
      <w:kern w:val="0"/>
      <w:sz w:val="21"/>
      <w:szCs w:val="21"/>
    </w:rPr>
  </w:style>
  <w:style w:type="paragraph" w:customStyle="1" w:styleId="755">
    <w:name w:val="样式 标题 3 + 首行缩进:  2 字符1"/>
    <w:basedOn w:val="5"/>
    <w:autoRedefine/>
    <w:qFormat/>
    <w:uiPriority w:val="0"/>
    <w:pPr>
      <w:keepNext/>
      <w:keepLines/>
      <w:spacing w:before="120" w:after="120"/>
      <w:ind w:left="709" w:firstLine="420" w:firstLineChars="200"/>
      <w:jc w:val="both"/>
    </w:pPr>
    <w:rPr>
      <w:rFonts w:eastAsia="宋体" w:cs="宋体"/>
      <w:szCs w:val="20"/>
    </w:rPr>
  </w:style>
  <w:style w:type="paragraph" w:customStyle="1" w:styleId="756">
    <w:name w:val="样式 标题 2 + 首行缩进:  0.85 厘米"/>
    <w:basedOn w:val="4"/>
    <w:autoRedefine/>
    <w:qFormat/>
    <w:uiPriority w:val="0"/>
    <w:pPr>
      <w:spacing w:before="120" w:after="120"/>
      <w:ind w:left="567" w:firstLine="480" w:firstLineChars="200"/>
      <w:jc w:val="both"/>
      <w:textAlignment w:val="auto"/>
    </w:pPr>
    <w:rPr>
      <w:rFonts w:eastAsia="宋体" w:cs="宋体"/>
      <w:b/>
      <w:bCs/>
      <w:kern w:val="2"/>
      <w:sz w:val="24"/>
      <w:lang w:bidi="ar-SA"/>
    </w:rPr>
  </w:style>
  <w:style w:type="paragraph" w:customStyle="1" w:styleId="757">
    <w:name w:val="p18"/>
    <w:basedOn w:val="1"/>
    <w:autoRedefine/>
    <w:qFormat/>
    <w:uiPriority w:val="0"/>
    <w:pPr>
      <w:widowControl/>
      <w:spacing w:line="360" w:lineRule="atLeast"/>
    </w:pPr>
    <w:rPr>
      <w:rFonts w:ascii="宋体" w:hAnsi="宋体" w:cs="宋体"/>
      <w:kern w:val="0"/>
    </w:rPr>
  </w:style>
  <w:style w:type="paragraph" w:customStyle="1" w:styleId="758">
    <w:name w:val="p19"/>
    <w:basedOn w:val="1"/>
    <w:autoRedefine/>
    <w:qFormat/>
    <w:uiPriority w:val="0"/>
    <w:pPr>
      <w:widowControl/>
      <w:topLinePunct/>
    </w:pPr>
    <w:rPr>
      <w:rFonts w:ascii="宋体" w:hAnsi="宋体" w:cs="宋体"/>
      <w:kern w:val="0"/>
      <w:sz w:val="21"/>
      <w:szCs w:val="21"/>
    </w:rPr>
  </w:style>
  <w:style w:type="paragraph" w:customStyle="1" w:styleId="759">
    <w:name w:val="样式 样式 (中文) 仿宋_GB2312 四号 行距: 最小值 25 磅 + (中文) 宋体"/>
    <w:basedOn w:val="1"/>
    <w:autoRedefine/>
    <w:qFormat/>
    <w:uiPriority w:val="0"/>
    <w:pPr>
      <w:spacing w:line="500" w:lineRule="atLeast"/>
      <w:ind w:firstLine="200" w:firstLineChars="200"/>
    </w:pPr>
    <w:rPr>
      <w:rFonts w:cs="宋体"/>
      <w:sz w:val="28"/>
      <w:szCs w:val="20"/>
    </w:rPr>
  </w:style>
  <w:style w:type="paragraph" w:customStyle="1" w:styleId="760">
    <w:name w:val="图表名"/>
    <w:basedOn w:val="1"/>
    <w:autoRedefine/>
    <w:qFormat/>
    <w:uiPriority w:val="0"/>
    <w:pPr>
      <w:snapToGrid w:val="0"/>
      <w:ind w:firstLine="200" w:firstLineChars="200"/>
      <w:jc w:val="center"/>
    </w:pPr>
    <w:rPr>
      <w:rFonts w:eastAsia="黑体"/>
      <w:szCs w:val="22"/>
    </w:rPr>
  </w:style>
  <w:style w:type="paragraph" w:customStyle="1" w:styleId="761">
    <w:name w:val="p16"/>
    <w:basedOn w:val="1"/>
    <w:autoRedefine/>
    <w:qFormat/>
    <w:uiPriority w:val="0"/>
    <w:pPr>
      <w:widowControl/>
      <w:spacing w:line="240" w:lineRule="auto"/>
      <w:ind w:firstLine="0"/>
      <w:jc w:val="center"/>
    </w:pPr>
    <w:rPr>
      <w:kern w:val="0"/>
      <w:sz w:val="21"/>
      <w:szCs w:val="21"/>
    </w:rPr>
  </w:style>
  <w:style w:type="paragraph" w:customStyle="1" w:styleId="762">
    <w:name w:val="p17"/>
    <w:basedOn w:val="1"/>
    <w:autoRedefine/>
    <w:qFormat/>
    <w:uiPriority w:val="0"/>
    <w:pPr>
      <w:widowControl/>
      <w:spacing w:line="240" w:lineRule="auto"/>
    </w:pPr>
    <w:rPr>
      <w:rFonts w:ascii="宋体" w:hAnsi="宋体" w:cs="宋体"/>
      <w:kern w:val="0"/>
      <w:sz w:val="28"/>
      <w:szCs w:val="28"/>
    </w:rPr>
  </w:style>
  <w:style w:type="paragraph" w:customStyle="1" w:styleId="763">
    <w:name w:val="A环评3"/>
    <w:basedOn w:val="1"/>
    <w:autoRedefine/>
    <w:qFormat/>
    <w:uiPriority w:val="0"/>
    <w:pPr>
      <w:spacing w:line="240" w:lineRule="auto"/>
      <w:ind w:firstLine="0"/>
      <w:jc w:val="left"/>
    </w:pPr>
    <w:rPr>
      <w:bCs/>
      <w:sz w:val="21"/>
      <w:szCs w:val="21"/>
    </w:rPr>
  </w:style>
  <w:style w:type="paragraph" w:customStyle="1" w:styleId="764">
    <w:name w:val="p20"/>
    <w:basedOn w:val="1"/>
    <w:autoRedefine/>
    <w:qFormat/>
    <w:uiPriority w:val="0"/>
    <w:pPr>
      <w:widowControl/>
    </w:pPr>
    <w:rPr>
      <w:rFonts w:ascii="宋体" w:hAnsi="宋体" w:cs="宋体"/>
      <w:kern w:val="0"/>
    </w:rPr>
  </w:style>
  <w:style w:type="paragraph" w:customStyle="1" w:styleId="765">
    <w:name w:val="tree正文"/>
    <w:basedOn w:val="1"/>
    <w:autoRedefine/>
    <w:qFormat/>
    <w:uiPriority w:val="0"/>
    <w:pPr>
      <w:spacing w:line="440" w:lineRule="exact"/>
      <w:ind w:firstLine="480" w:firstLineChars="200"/>
    </w:pPr>
    <w:rPr>
      <w:rFonts w:hAnsi="宋体"/>
      <w:szCs w:val="20"/>
    </w:rPr>
  </w:style>
  <w:style w:type="paragraph" w:customStyle="1" w:styleId="766">
    <w:name w:val="文本框五号"/>
    <w:basedOn w:val="1"/>
    <w:link w:val="767"/>
    <w:autoRedefine/>
    <w:qFormat/>
    <w:uiPriority w:val="0"/>
    <w:pPr>
      <w:spacing w:line="240" w:lineRule="auto"/>
      <w:ind w:firstLine="200" w:firstLineChars="200"/>
      <w:jc w:val="center"/>
    </w:pPr>
    <w:rPr>
      <w:rFonts w:eastAsia="仿宋_GB2312"/>
      <w:sz w:val="21"/>
      <w:szCs w:val="21"/>
    </w:rPr>
  </w:style>
  <w:style w:type="character" w:customStyle="1" w:styleId="767">
    <w:name w:val="文本框五号 Char Char"/>
    <w:link w:val="766"/>
    <w:autoRedefine/>
    <w:qFormat/>
    <w:locked/>
    <w:uiPriority w:val="0"/>
    <w:rPr>
      <w:rFonts w:ascii="Times New Roman" w:hAnsi="Times New Roman" w:eastAsia="仿宋_GB2312" w:cs="Times New Roman"/>
      <w:kern w:val="2"/>
      <w:sz w:val="21"/>
      <w:szCs w:val="21"/>
    </w:rPr>
  </w:style>
  <w:style w:type="character" w:customStyle="1" w:styleId="768">
    <w:name w:val="三级标题111111111"/>
    <w:autoRedefine/>
    <w:qFormat/>
    <w:uiPriority w:val="0"/>
    <w:rPr>
      <w:rFonts w:ascii="宋体" w:hAnsi="宋体" w:eastAsia="宋体" w:cs="Times New Roman"/>
      <w:b/>
      <w:bCs/>
      <w:sz w:val="28"/>
    </w:rPr>
  </w:style>
  <w:style w:type="character" w:customStyle="1" w:styleId="769">
    <w:name w:val="Char Char61"/>
    <w:autoRedefine/>
    <w:qFormat/>
    <w:uiPriority w:val="0"/>
    <w:rPr>
      <w:rFonts w:ascii="Arial" w:hAnsi="Arial" w:eastAsia="黑体" w:cs="Arial"/>
      <w:kern w:val="2"/>
      <w:lang w:val="en-US" w:eastAsia="zh-CN" w:bidi="ar-SA"/>
    </w:rPr>
  </w:style>
  <w:style w:type="character" w:customStyle="1" w:styleId="770">
    <w:name w:val="font21"/>
    <w:autoRedefine/>
    <w:qFormat/>
    <w:uiPriority w:val="0"/>
    <w:rPr>
      <w:rFonts w:ascii="宋体" w:hAnsi="宋体" w:eastAsia="宋体" w:cs="Times New Roman"/>
      <w:color w:val="000000"/>
      <w:sz w:val="22"/>
      <w:szCs w:val="22"/>
      <w:u w:val="none"/>
    </w:rPr>
  </w:style>
  <w:style w:type="character" w:customStyle="1" w:styleId="771">
    <w:name w:val="正文3 Char Char Char"/>
    <w:autoRedefine/>
    <w:qFormat/>
    <w:uiPriority w:val="0"/>
    <w:rPr>
      <w:rFonts w:ascii="宋体" w:hAnsi="宋体" w:eastAsia="宋体" w:cs="宋体"/>
      <w:kern w:val="2"/>
      <w:sz w:val="24"/>
      <w:szCs w:val="24"/>
      <w:lang w:val="en-US" w:eastAsia="zh-CN" w:bidi="ar-SA"/>
    </w:rPr>
  </w:style>
  <w:style w:type="character" w:customStyle="1" w:styleId="772">
    <w:name w:val="Header Char"/>
    <w:autoRedefine/>
    <w:qFormat/>
    <w:locked/>
    <w:uiPriority w:val="0"/>
    <w:rPr>
      <w:rFonts w:cs="Times New Roman"/>
      <w:sz w:val="18"/>
      <w:szCs w:val="18"/>
    </w:rPr>
  </w:style>
  <w:style w:type="character" w:customStyle="1" w:styleId="773">
    <w:name w:val="Heading 2 Char"/>
    <w:autoRedefine/>
    <w:qFormat/>
    <w:locked/>
    <w:uiPriority w:val="0"/>
    <w:rPr>
      <w:rFonts w:eastAsia="宋体" w:cs="Times New Roman"/>
      <w:bCs/>
      <w:kern w:val="2"/>
      <w:sz w:val="32"/>
      <w:szCs w:val="32"/>
      <w:lang w:val="en-US" w:eastAsia="zh-CN" w:bidi="ar-SA"/>
    </w:rPr>
  </w:style>
  <w:style w:type="character" w:customStyle="1" w:styleId="774">
    <w:name w:val="图标题 Char Char"/>
    <w:autoRedefine/>
    <w:qFormat/>
    <w:locked/>
    <w:uiPriority w:val="0"/>
    <w:rPr>
      <w:rFonts w:eastAsia="宋体" w:cs="Times New Roman"/>
      <w:b/>
      <w:sz w:val="28"/>
      <w:szCs w:val="28"/>
      <w:lang w:val="en-US" w:eastAsia="zh-CN" w:bidi="ar-SA"/>
    </w:rPr>
  </w:style>
  <w:style w:type="character" w:customStyle="1" w:styleId="775">
    <w:name w:val="Normal Indent Char"/>
    <w:autoRedefine/>
    <w:qFormat/>
    <w:locked/>
    <w:uiPriority w:val="0"/>
    <w:rPr>
      <w:rFonts w:ascii="Arial" w:hAnsi="Arial" w:eastAsia="宋体"/>
      <w:kern w:val="2"/>
      <w:sz w:val="24"/>
      <w:lang w:val="en-US" w:eastAsia="zh-CN"/>
    </w:rPr>
  </w:style>
  <w:style w:type="character" w:customStyle="1" w:styleId="776">
    <w:name w:val="Footer Char"/>
    <w:autoRedefine/>
    <w:qFormat/>
    <w:locked/>
    <w:uiPriority w:val="0"/>
    <w:rPr>
      <w:rFonts w:cs="Times New Roman"/>
      <w:sz w:val="18"/>
      <w:szCs w:val="18"/>
    </w:rPr>
  </w:style>
  <w:style w:type="character" w:customStyle="1" w:styleId="777">
    <w:name w:val="Heading 5 Char"/>
    <w:autoRedefine/>
    <w:qFormat/>
    <w:locked/>
    <w:uiPriority w:val="0"/>
    <w:rPr>
      <w:rFonts w:ascii="Cambria" w:hAnsi="Cambria" w:eastAsia="宋体" w:cs="Times New Roman"/>
      <w:b/>
      <w:bCs/>
      <w:kern w:val="44"/>
      <w:sz w:val="32"/>
      <w:szCs w:val="32"/>
    </w:rPr>
  </w:style>
  <w:style w:type="character" w:customStyle="1" w:styleId="778">
    <w:name w:val="表格项目名称(五号) Char Char"/>
    <w:autoRedefine/>
    <w:qFormat/>
    <w:uiPriority w:val="0"/>
    <w:rPr>
      <w:rFonts w:eastAsia="宋体"/>
      <w:snapToGrid w:val="0"/>
      <w:kern w:val="2"/>
      <w:sz w:val="21"/>
      <w:szCs w:val="28"/>
      <w:lang w:val="en-US" w:eastAsia="zh-CN" w:bidi="ar-SA"/>
    </w:rPr>
  </w:style>
  <w:style w:type="character" w:customStyle="1" w:styleId="779">
    <w:name w:val="正文(首行缩进) Char Char"/>
    <w:autoRedefine/>
    <w:qFormat/>
    <w:uiPriority w:val="0"/>
    <w:rPr>
      <w:rFonts w:ascii="宋体" w:hAnsi="宋体" w:eastAsia="宋体"/>
      <w:snapToGrid w:val="0"/>
      <w:sz w:val="24"/>
      <w:szCs w:val="24"/>
      <w:lang w:val="en-US" w:eastAsia="zh-CN" w:bidi="ar-SA"/>
    </w:rPr>
  </w:style>
  <w:style w:type="paragraph" w:customStyle="1" w:styleId="780">
    <w:name w:val="附录一级条标题"/>
    <w:basedOn w:val="781"/>
    <w:next w:val="782"/>
    <w:autoRedefine/>
    <w:qFormat/>
    <w:uiPriority w:val="0"/>
    <w:pPr>
      <w:numPr>
        <w:ilvl w:val="2"/>
      </w:numPr>
      <w:tabs>
        <w:tab w:val="left" w:pos="1320"/>
      </w:tabs>
      <w:autoSpaceDN w:val="0"/>
      <w:spacing w:beforeLines="0" w:afterLines="0"/>
      <w:outlineLvl w:val="2"/>
    </w:pPr>
  </w:style>
  <w:style w:type="paragraph" w:customStyle="1" w:styleId="781">
    <w:name w:val="附录章标题"/>
    <w:next w:val="782"/>
    <w:autoRedefine/>
    <w:qFormat/>
    <w:uiPriority w:val="0"/>
    <w:pPr>
      <w:numPr>
        <w:ilvl w:val="1"/>
        <w:numId w:val="5"/>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782">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83">
    <w:name w:val="表格文字居中"/>
    <w:basedOn w:val="1"/>
    <w:autoRedefine/>
    <w:qFormat/>
    <w:uiPriority w:val="0"/>
    <w:pPr>
      <w:spacing w:line="240" w:lineRule="auto"/>
      <w:ind w:firstLine="0"/>
      <w:jc w:val="center"/>
    </w:pPr>
    <w:rPr>
      <w:snapToGrid w:val="0"/>
      <w:kern w:val="0"/>
    </w:rPr>
  </w:style>
  <w:style w:type="paragraph" w:customStyle="1" w:styleId="784">
    <w:name w:val="附录四级条标题"/>
    <w:basedOn w:val="785"/>
    <w:next w:val="782"/>
    <w:autoRedefine/>
    <w:qFormat/>
    <w:uiPriority w:val="0"/>
    <w:pPr>
      <w:numPr>
        <w:ilvl w:val="5"/>
      </w:numPr>
      <w:tabs>
        <w:tab w:val="left" w:pos="1320"/>
      </w:tabs>
      <w:outlineLvl w:val="5"/>
    </w:pPr>
  </w:style>
  <w:style w:type="paragraph" w:customStyle="1" w:styleId="785">
    <w:name w:val="附录三级条标题"/>
    <w:basedOn w:val="786"/>
    <w:next w:val="782"/>
    <w:autoRedefine/>
    <w:qFormat/>
    <w:uiPriority w:val="0"/>
    <w:pPr>
      <w:numPr>
        <w:ilvl w:val="4"/>
      </w:numPr>
      <w:tabs>
        <w:tab w:val="left" w:pos="1320"/>
      </w:tabs>
      <w:outlineLvl w:val="4"/>
    </w:pPr>
  </w:style>
  <w:style w:type="paragraph" w:customStyle="1" w:styleId="786">
    <w:name w:val="附录二级条标题"/>
    <w:basedOn w:val="780"/>
    <w:next w:val="782"/>
    <w:autoRedefine/>
    <w:qFormat/>
    <w:uiPriority w:val="0"/>
    <w:pPr>
      <w:numPr>
        <w:ilvl w:val="3"/>
      </w:numPr>
      <w:outlineLvl w:val="3"/>
    </w:pPr>
  </w:style>
  <w:style w:type="paragraph" w:customStyle="1" w:styleId="787">
    <w:name w:val="正文应用"/>
    <w:basedOn w:val="1"/>
    <w:autoRedefine/>
    <w:qFormat/>
    <w:uiPriority w:val="0"/>
    <w:pPr>
      <w:adjustRightInd w:val="0"/>
      <w:snapToGrid w:val="0"/>
      <w:spacing w:line="300" w:lineRule="auto"/>
      <w:ind w:left="980" w:leftChars="50" w:hanging="840" w:hangingChars="300"/>
      <w:jc w:val="left"/>
    </w:pPr>
    <w:rPr>
      <w:rFonts w:eastAsia="楷体_GB2312"/>
      <w:sz w:val="28"/>
    </w:rPr>
  </w:style>
  <w:style w:type="paragraph" w:customStyle="1" w:styleId="788">
    <w:name w:val="_Style 11"/>
    <w:basedOn w:val="1"/>
    <w:autoRedefine/>
    <w:qFormat/>
    <w:uiPriority w:val="0"/>
    <w:pPr>
      <w:spacing w:line="240" w:lineRule="auto"/>
      <w:ind w:firstLine="0"/>
    </w:pPr>
    <w:rPr>
      <w:rFonts w:eastAsia="仿宋_GB2312"/>
      <w:b/>
    </w:rPr>
  </w:style>
  <w:style w:type="paragraph" w:customStyle="1" w:styleId="789">
    <w:name w:val="附录标识"/>
    <w:basedOn w:val="1"/>
    <w:autoRedefine/>
    <w:qFormat/>
    <w:uiPriority w:val="0"/>
    <w:pPr>
      <w:keepNext/>
      <w:widowControl/>
      <w:numPr>
        <w:ilvl w:val="0"/>
        <w:numId w:val="5"/>
      </w:numPr>
      <w:shd w:val="clear" w:color="FFFFFF" w:fill="FFFFFF"/>
      <w:tabs>
        <w:tab w:val="left" w:pos="6405"/>
      </w:tabs>
      <w:spacing w:before="240" w:after="200" w:line="240" w:lineRule="auto"/>
      <w:jc w:val="center"/>
      <w:outlineLvl w:val="0"/>
    </w:pPr>
    <w:rPr>
      <w:rFonts w:ascii="黑体" w:eastAsia="黑体"/>
      <w:kern w:val="0"/>
      <w:sz w:val="21"/>
      <w:szCs w:val="20"/>
    </w:rPr>
  </w:style>
  <w:style w:type="paragraph" w:customStyle="1" w:styleId="790">
    <w:name w:val="表格项目名称(五号)"/>
    <w:basedOn w:val="1"/>
    <w:autoRedefine/>
    <w:qFormat/>
    <w:uiPriority w:val="0"/>
    <w:pPr>
      <w:spacing w:line="300" w:lineRule="exact"/>
      <w:ind w:firstLine="0"/>
      <w:jc w:val="center"/>
    </w:pPr>
    <w:rPr>
      <w:snapToGrid w:val="0"/>
      <w:kern w:val="0"/>
      <w:sz w:val="21"/>
      <w:szCs w:val="28"/>
    </w:rPr>
  </w:style>
  <w:style w:type="paragraph" w:customStyle="1" w:styleId="791">
    <w:name w:val="附录五级条标题"/>
    <w:basedOn w:val="784"/>
    <w:next w:val="782"/>
    <w:autoRedefine/>
    <w:qFormat/>
    <w:uiPriority w:val="0"/>
    <w:pPr>
      <w:numPr>
        <w:ilvl w:val="6"/>
      </w:numPr>
      <w:outlineLvl w:val="6"/>
    </w:pPr>
  </w:style>
  <w:style w:type="paragraph" w:customStyle="1" w:styleId="792">
    <w:name w:val="表格文字居中 Char Char Char"/>
    <w:basedOn w:val="1"/>
    <w:autoRedefine/>
    <w:qFormat/>
    <w:uiPriority w:val="0"/>
    <w:pPr>
      <w:spacing w:line="240" w:lineRule="auto"/>
      <w:ind w:firstLine="0"/>
      <w:jc w:val="center"/>
    </w:pPr>
    <w:rPr>
      <w:snapToGrid w:val="0"/>
      <w:sz w:val="21"/>
      <w:szCs w:val="21"/>
    </w:rPr>
  </w:style>
  <w:style w:type="paragraph" w:customStyle="1" w:styleId="793">
    <w:name w:val="表格数字"/>
    <w:basedOn w:val="1"/>
    <w:autoRedefine/>
    <w:qFormat/>
    <w:uiPriority w:val="0"/>
    <w:pPr>
      <w:spacing w:line="240" w:lineRule="auto"/>
      <w:ind w:firstLine="0"/>
      <w:jc w:val="right"/>
    </w:pPr>
    <w:rPr>
      <w:snapToGrid w:val="0"/>
      <w:kern w:val="0"/>
      <w:sz w:val="21"/>
      <w:szCs w:val="21"/>
    </w:rPr>
  </w:style>
  <w:style w:type="paragraph" w:customStyle="1" w:styleId="794">
    <w:name w:val="说明"/>
    <w:basedOn w:val="1"/>
    <w:autoRedefine/>
    <w:qFormat/>
    <w:uiPriority w:val="0"/>
    <w:pPr>
      <w:tabs>
        <w:tab w:val="left" w:pos="7442"/>
      </w:tabs>
      <w:spacing w:line="276" w:lineRule="auto"/>
      <w:ind w:firstLine="432" w:firstLineChars="200"/>
    </w:pPr>
    <w:rPr>
      <w:rFonts w:ascii="幼圆" w:eastAsia="幼圆"/>
      <w:w w:val="120"/>
      <w:sz w:val="18"/>
      <w:szCs w:val="18"/>
    </w:rPr>
  </w:style>
  <w:style w:type="paragraph" w:customStyle="1" w:styleId="795">
    <w:name w:val="Char Char5"/>
    <w:basedOn w:val="1"/>
    <w:next w:val="1"/>
    <w:autoRedefine/>
    <w:qFormat/>
    <w:uiPriority w:val="0"/>
    <w:pPr>
      <w:ind w:firstLine="200" w:firstLineChars="200"/>
    </w:pPr>
    <w:rPr>
      <w:rFonts w:ascii="宋体" w:hAnsi="宋体" w:cs="宋体"/>
    </w:rPr>
  </w:style>
  <w:style w:type="table" w:customStyle="1" w:styleId="796">
    <w:name w:val="浅色列表 - 强调文字颜色 31"/>
    <w:autoRedefine/>
    <w:qFormat/>
    <w:uiPriority w:val="0"/>
    <w:rPr>
      <w:rFonts w:ascii="Calibri" w:hAnsi="Calibri"/>
      <w:sz w:val="22"/>
      <w:szCs w:val="22"/>
    </w:rPr>
    <w:tblPr>
      <w:tblBorders>
        <w:top w:val="single" w:color="9BBB59" w:sz="8" w:space="0"/>
        <w:left w:val="single" w:color="9BBB59" w:sz="8" w:space="0"/>
        <w:bottom w:val="single" w:color="9BBB59" w:sz="8" w:space="0"/>
        <w:right w:val="single" w:color="9BBB59" w:sz="8" w:space="0"/>
      </w:tblBorders>
      <w:tblCellMar>
        <w:top w:w="0" w:type="dxa"/>
        <w:left w:w="108" w:type="dxa"/>
        <w:bottom w:w="0" w:type="dxa"/>
        <w:right w:w="108" w:type="dxa"/>
      </w:tblCellMar>
    </w:tblPr>
  </w:style>
  <w:style w:type="table" w:customStyle="1" w:styleId="797">
    <w:name w:val="专业网格2"/>
    <w:basedOn w:val="88"/>
    <w:autoRedefine/>
    <w:qFormat/>
    <w:uiPriority w:val="59"/>
    <w:pPr>
      <w:spacing w:line="360" w:lineRule="auto"/>
      <w:ind w:firstLine="200" w:firstLineChars="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8">
    <w:name w:val="报告书格式"/>
    <w:basedOn w:val="88"/>
    <w:autoRedefine/>
    <w:qFormat/>
    <w:uiPriority w:val="0"/>
    <w:pPr>
      <w:adjustRightInd w:val="0"/>
      <w:snapToGrid w:val="0"/>
      <w:jc w:val="center"/>
    </w:pPr>
    <w:rPr>
      <w:sz w:val="18"/>
      <w:szCs w:val="18"/>
    </w:rPr>
    <w:tblPr>
      <w:tblBorders>
        <w:top w:val="single" w:color="auto" w:sz="4" w:space="0"/>
        <w:bottom w:val="single" w:color="auto" w:sz="4" w:space="0"/>
        <w:insideH w:val="single" w:color="auto" w:sz="4" w:space="0"/>
        <w:insideV w:val="single" w:color="auto" w:sz="4" w:space="0"/>
      </w:tblBorders>
    </w:tblPr>
    <w:tcPr>
      <w:vAlign w:val="center"/>
    </w:tcPr>
  </w:style>
  <w:style w:type="character" w:customStyle="1" w:styleId="799">
    <w:name w:val="表格名称 Char"/>
    <w:link w:val="701"/>
    <w:autoRedefine/>
    <w:qFormat/>
    <w:uiPriority w:val="0"/>
    <w:rPr>
      <w:rFonts w:ascii="Times New Roman" w:hAnsi="宋体" w:eastAsia="黑体" w:cs="Times New Roman"/>
      <w:kern w:val="2"/>
      <w:sz w:val="21"/>
      <w:szCs w:val="24"/>
    </w:rPr>
  </w:style>
  <w:style w:type="character" w:customStyle="1" w:styleId="800">
    <w:name w:val="环评正文 Char Char Char Char"/>
    <w:link w:val="801"/>
    <w:autoRedefine/>
    <w:qFormat/>
    <w:uiPriority w:val="0"/>
    <w:rPr>
      <w:color w:val="000000"/>
      <w:kern w:val="21"/>
      <w:sz w:val="24"/>
    </w:rPr>
  </w:style>
  <w:style w:type="paragraph" w:customStyle="1" w:styleId="801">
    <w:name w:val="环评正文 Char Char"/>
    <w:link w:val="800"/>
    <w:autoRedefine/>
    <w:qFormat/>
    <w:uiPriority w:val="0"/>
    <w:pPr>
      <w:spacing w:line="360" w:lineRule="exact"/>
      <w:ind w:firstLine="200" w:firstLineChars="200"/>
    </w:pPr>
    <w:rPr>
      <w:rFonts w:asciiTheme="minorHAnsi" w:hAnsiTheme="minorHAnsi" w:eastAsiaTheme="minorEastAsia" w:cstheme="minorBidi"/>
      <w:color w:val="000000"/>
      <w:kern w:val="21"/>
      <w:sz w:val="24"/>
      <w:lang w:val="en-US" w:eastAsia="zh-CN" w:bidi="ar-SA"/>
    </w:rPr>
  </w:style>
  <w:style w:type="paragraph" w:customStyle="1" w:styleId="802">
    <w:name w:val="样式 正文首行缩进＋湿地 + 首行缩进:  2 字符"/>
    <w:basedOn w:val="1"/>
    <w:autoRedefine/>
    <w:qFormat/>
    <w:uiPriority w:val="0"/>
    <w:pPr>
      <w:spacing w:line="440" w:lineRule="exact"/>
      <w:ind w:firstLine="560" w:firstLineChars="200"/>
      <w:jc w:val="left"/>
    </w:pPr>
    <w:rPr>
      <w:rFonts w:ascii="仿宋_GB2312" w:hAnsi="宋体" w:eastAsia="仿宋_GB2312"/>
      <w:kern w:val="0"/>
      <w:sz w:val="28"/>
      <w:szCs w:val="20"/>
    </w:rPr>
  </w:style>
  <w:style w:type="paragraph" w:customStyle="1" w:styleId="803">
    <w:name w:val="自正文1"/>
    <w:basedOn w:val="1"/>
    <w:autoRedefine/>
    <w:qFormat/>
    <w:uiPriority w:val="0"/>
    <w:pPr>
      <w:tabs>
        <w:tab w:val="left" w:pos="5670"/>
      </w:tabs>
      <w:adjustRightInd w:val="0"/>
      <w:snapToGrid w:val="0"/>
      <w:spacing w:before="50"/>
      <w:ind w:firstLine="629" w:firstLineChars="262"/>
      <w:jc w:val="right"/>
      <w:textAlignment w:val="baseline"/>
    </w:pPr>
    <w:rPr>
      <w:rFonts w:ascii="宋体" w:hAnsi="宋体" w:eastAsia="汉仪仿宋简"/>
      <w:color w:val="000000"/>
      <w:szCs w:val="20"/>
    </w:rPr>
  </w:style>
  <w:style w:type="character" w:customStyle="1" w:styleId="804">
    <w:name w:val="标题 1 Char Char Char Char Char Char Char Char"/>
    <w:autoRedefine/>
    <w:qFormat/>
    <w:uiPriority w:val="0"/>
    <w:rPr>
      <w:kern w:val="44"/>
      <w:sz w:val="28"/>
    </w:rPr>
  </w:style>
  <w:style w:type="paragraph" w:customStyle="1" w:styleId="805">
    <w:name w:val="Char Char3 Char Char2"/>
    <w:basedOn w:val="1"/>
    <w:autoRedefine/>
    <w:semiHidden/>
    <w:qFormat/>
    <w:uiPriority w:val="0"/>
    <w:pPr>
      <w:spacing w:line="240" w:lineRule="auto"/>
      <w:ind w:firstLine="0"/>
    </w:pPr>
    <w:rPr>
      <w:sz w:val="21"/>
    </w:rPr>
  </w:style>
  <w:style w:type="paragraph" w:customStyle="1" w:styleId="806">
    <w:name w:val="Char Char"/>
    <w:basedOn w:val="1"/>
    <w:autoRedefine/>
    <w:semiHidden/>
    <w:qFormat/>
    <w:uiPriority w:val="0"/>
    <w:pPr>
      <w:spacing w:line="240" w:lineRule="auto"/>
      <w:ind w:firstLine="0"/>
    </w:pPr>
    <w:rPr>
      <w:sz w:val="21"/>
    </w:rPr>
  </w:style>
  <w:style w:type="character" w:customStyle="1" w:styleId="807">
    <w:name w:val="Char Char11"/>
    <w:autoRedefine/>
    <w:qFormat/>
    <w:uiPriority w:val="0"/>
    <w:rPr>
      <w:rFonts w:eastAsia="宋体"/>
      <w:b/>
      <w:bCs/>
      <w:kern w:val="2"/>
      <w:sz w:val="30"/>
      <w:szCs w:val="32"/>
      <w:lang w:val="en-US" w:eastAsia="zh-CN" w:bidi="ar-SA"/>
    </w:rPr>
  </w:style>
  <w:style w:type="paragraph" w:customStyle="1" w:styleId="808">
    <w:name w:val="reader-word-layer reader-word-s2-43"/>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paragraph" w:customStyle="1" w:styleId="809">
    <w:name w:val="reader-word-layer reader-word-s2-6"/>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paragraph" w:customStyle="1" w:styleId="810">
    <w:name w:val="reader-word-layer reader-word-s2-4"/>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paragraph" w:customStyle="1" w:styleId="811">
    <w:name w:val="reader-word-layer reader-word-s2-9"/>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paragraph" w:customStyle="1" w:styleId="812">
    <w:name w:val="reader-word-layer reader-word-s2-54"/>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paragraph" w:customStyle="1" w:styleId="813">
    <w:name w:val="reader-word-layer reader-word-s2-19"/>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paragraph" w:customStyle="1" w:styleId="814">
    <w:name w:val="Char Char15 Char Char Char Char"/>
    <w:basedOn w:val="1"/>
    <w:autoRedefine/>
    <w:semiHidden/>
    <w:qFormat/>
    <w:uiPriority w:val="0"/>
    <w:pPr>
      <w:spacing w:line="240" w:lineRule="auto"/>
      <w:ind w:firstLine="0"/>
    </w:pPr>
    <w:rPr>
      <w:sz w:val="21"/>
    </w:rPr>
  </w:style>
  <w:style w:type="character" w:customStyle="1" w:styleId="815">
    <w:name w:val="内容 Char"/>
    <w:link w:val="740"/>
    <w:autoRedefine/>
    <w:qFormat/>
    <w:uiPriority w:val="0"/>
    <w:rPr>
      <w:rFonts w:ascii="Times New Roman" w:hAnsi="Times New Roman" w:eastAsia="宋体" w:cs="Times New Roman"/>
      <w:kern w:val="2"/>
      <w:sz w:val="24"/>
      <w:szCs w:val="24"/>
    </w:rPr>
  </w:style>
  <w:style w:type="character" w:customStyle="1" w:styleId="816">
    <w:name w:val="1.1.123级 Char"/>
    <w:link w:val="817"/>
    <w:autoRedefine/>
    <w:qFormat/>
    <w:uiPriority w:val="0"/>
    <w:rPr>
      <w:rFonts w:ascii="楷体_GB2312" w:hAnsi="宋体" w:eastAsia="楷体_GB2312"/>
      <w:b/>
      <w:sz w:val="28"/>
    </w:rPr>
  </w:style>
  <w:style w:type="paragraph" w:customStyle="1" w:styleId="817">
    <w:name w:val="1.1.123级"/>
    <w:basedOn w:val="1"/>
    <w:link w:val="816"/>
    <w:autoRedefine/>
    <w:qFormat/>
    <w:uiPriority w:val="0"/>
    <w:pPr>
      <w:spacing w:line="240" w:lineRule="auto"/>
      <w:ind w:firstLine="0"/>
      <w:outlineLvl w:val="2"/>
    </w:pPr>
    <w:rPr>
      <w:rFonts w:ascii="楷体_GB2312" w:hAnsi="宋体" w:eastAsia="楷体_GB2312" w:cstheme="minorBidi"/>
      <w:b/>
      <w:kern w:val="0"/>
      <w:sz w:val="28"/>
      <w:szCs w:val="20"/>
    </w:rPr>
  </w:style>
  <w:style w:type="character" w:customStyle="1" w:styleId="818">
    <w:name w:val="Char Char15"/>
    <w:autoRedefine/>
    <w:qFormat/>
    <w:uiPriority w:val="0"/>
    <w:rPr>
      <w:rFonts w:ascii="Times New Roman" w:hAnsi="Times New Roman" w:eastAsia="宋体" w:cs="Times New Roman"/>
      <w:szCs w:val="24"/>
    </w:rPr>
  </w:style>
  <w:style w:type="paragraph" w:customStyle="1" w:styleId="819">
    <w:name w:val="Char Char15 Char Char"/>
    <w:basedOn w:val="1"/>
    <w:autoRedefine/>
    <w:semiHidden/>
    <w:qFormat/>
    <w:uiPriority w:val="0"/>
    <w:pPr>
      <w:spacing w:line="240" w:lineRule="auto"/>
      <w:ind w:firstLine="0"/>
    </w:pPr>
    <w:rPr>
      <w:sz w:val="21"/>
    </w:rPr>
  </w:style>
  <w:style w:type="character" w:customStyle="1" w:styleId="820">
    <w:name w:val="占位符文本1"/>
    <w:basedOn w:val="102"/>
    <w:autoRedefine/>
    <w:semiHidden/>
    <w:qFormat/>
    <w:uiPriority w:val="99"/>
    <w:rPr>
      <w:color w:val="808080"/>
    </w:rPr>
  </w:style>
  <w:style w:type="paragraph" w:customStyle="1" w:styleId="821">
    <w:name w:val="Char Char1 Char Char2"/>
    <w:basedOn w:val="1"/>
    <w:next w:val="1"/>
    <w:autoRedefine/>
    <w:qFormat/>
    <w:uiPriority w:val="0"/>
    <w:pPr>
      <w:ind w:firstLine="200" w:firstLineChars="200"/>
    </w:pPr>
    <w:rPr>
      <w:rFonts w:ascii="宋体" w:hAnsi="宋体" w:cs="宋体"/>
    </w:rPr>
  </w:style>
  <w:style w:type="paragraph" w:customStyle="1" w:styleId="822">
    <w:name w:val="Char Char31"/>
    <w:basedOn w:val="1"/>
    <w:autoRedefine/>
    <w:semiHidden/>
    <w:qFormat/>
    <w:uiPriority w:val="0"/>
    <w:pPr>
      <w:spacing w:line="240" w:lineRule="auto"/>
      <w:ind w:firstLine="0"/>
    </w:pPr>
    <w:rPr>
      <w:sz w:val="21"/>
    </w:rPr>
  </w:style>
  <w:style w:type="character" w:styleId="823">
    <w:name w:val="Placeholder Text"/>
    <w:basedOn w:val="102"/>
    <w:autoRedefine/>
    <w:semiHidden/>
    <w:qFormat/>
    <w:uiPriority w:val="99"/>
    <w:rPr>
      <w:color w:val="808080"/>
    </w:rPr>
  </w:style>
  <w:style w:type="character" w:customStyle="1" w:styleId="824">
    <w:name w:val="正文首行缩进 2 Char1"/>
    <w:basedOn w:val="144"/>
    <w:autoRedefine/>
    <w:semiHidden/>
    <w:qFormat/>
    <w:uiPriority w:val="99"/>
    <w:rPr>
      <w:rFonts w:ascii="Times New Roman" w:hAnsi="Times New Roman" w:eastAsia="宋体" w:cs="Times New Roman"/>
      <w:kern w:val="2"/>
      <w:sz w:val="24"/>
      <w:szCs w:val="24"/>
    </w:rPr>
  </w:style>
  <w:style w:type="paragraph" w:customStyle="1" w:styleId="825">
    <w:name w:val="正文首行缩进1"/>
    <w:autoRedefine/>
    <w:qFormat/>
    <w:uiPriority w:val="0"/>
    <w:rPr>
      <w:rFonts w:eastAsia="宋体" w:asciiTheme="minorHAnsi" w:hAnsiTheme="minorHAnsi" w:cstheme="minorBidi"/>
      <w:kern w:val="2"/>
      <w:sz w:val="24"/>
      <w:szCs w:val="24"/>
      <w:lang w:val="en-US" w:eastAsia="zh-CN" w:bidi="ar-SA"/>
    </w:rPr>
  </w:style>
  <w:style w:type="character" w:customStyle="1" w:styleId="826">
    <w:name w:val="图名 Char"/>
    <w:link w:val="159"/>
    <w:autoRedefine/>
    <w:qFormat/>
    <w:uiPriority w:val="0"/>
    <w:rPr>
      <w:rFonts w:ascii="Times New Roman" w:hAnsi="Times New Roman" w:eastAsia="宋体" w:cs="Times New Roman"/>
      <w:b/>
      <w:kern w:val="2"/>
      <w:sz w:val="28"/>
    </w:rPr>
  </w:style>
  <w:style w:type="paragraph" w:customStyle="1" w:styleId="827">
    <w:name w:val="4"/>
    <w:basedOn w:val="1"/>
    <w:autoRedefine/>
    <w:qFormat/>
    <w:uiPriority w:val="0"/>
    <w:pPr>
      <w:spacing w:line="240" w:lineRule="auto"/>
      <w:ind w:firstLine="0"/>
    </w:pPr>
    <w:rPr>
      <w:sz w:val="21"/>
      <w:szCs w:val="20"/>
    </w:rPr>
  </w:style>
  <w:style w:type="paragraph" w:customStyle="1" w:styleId="828">
    <w:name w:val="徐正文"/>
    <w:basedOn w:val="1"/>
    <w:autoRedefine/>
    <w:qFormat/>
    <w:uiPriority w:val="0"/>
    <w:pPr>
      <w:adjustRightInd w:val="0"/>
      <w:snapToGrid w:val="0"/>
      <w:spacing w:line="500" w:lineRule="atLeast"/>
      <w:ind w:firstLine="200" w:firstLineChars="200"/>
    </w:pPr>
    <w:rPr>
      <w:rFonts w:ascii="宋体" w:hAnsi="宋体"/>
      <w:bCs/>
    </w:rPr>
  </w:style>
  <w:style w:type="table" w:customStyle="1" w:styleId="829">
    <w:name w:val="浅色底纹 - 强调文字颜色 112"/>
    <w:basedOn w:val="88"/>
    <w:autoRedefine/>
    <w:qFormat/>
    <w:uiPriority w:val="60"/>
    <w:rPr>
      <w:rFonts w:ascii="Calibri" w:hAnsi="Calibri"/>
      <w:color w:val="365F91"/>
      <w:kern w:val="2"/>
      <w:sz w:val="21"/>
      <w:szCs w:val="22"/>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character" w:customStyle="1" w:styleId="830">
    <w:name w:val="批注文字 字符"/>
    <w:autoRedefine/>
    <w:qFormat/>
    <w:uiPriority w:val="0"/>
    <w:rPr>
      <w:rFonts w:ascii="Times New Roman" w:hAnsi="Times New Roman" w:eastAsia="宋体" w:cs="Times New Roman"/>
      <w:sz w:val="24"/>
      <w:szCs w:val="24"/>
    </w:rPr>
  </w:style>
  <w:style w:type="character" w:customStyle="1" w:styleId="831">
    <w:name w:val="正文缩进 字符"/>
    <w:autoRedefine/>
    <w:qFormat/>
    <w:uiPriority w:val="0"/>
    <w:rPr>
      <w:rFonts w:ascii="Times New Roman" w:hAnsi="Times New Roman" w:eastAsia="宋体" w:cs="Times New Roman"/>
      <w:sz w:val="24"/>
      <w:szCs w:val="24"/>
    </w:rPr>
  </w:style>
  <w:style w:type="character" w:customStyle="1" w:styleId="832">
    <w:name w:val="纯文本 字符"/>
    <w:autoRedefine/>
    <w:qFormat/>
    <w:uiPriority w:val="0"/>
    <w:rPr>
      <w:rFonts w:ascii="宋体" w:hAnsi="Courier New" w:eastAsia="宋体"/>
      <w:kern w:val="2"/>
      <w:sz w:val="21"/>
      <w:lang w:val="en-US" w:eastAsia="zh-CN" w:bidi="ar-SA"/>
    </w:rPr>
  </w:style>
  <w:style w:type="character" w:customStyle="1" w:styleId="833">
    <w:name w:val="页眉 字符"/>
    <w:autoRedefine/>
    <w:qFormat/>
    <w:uiPriority w:val="99"/>
    <w:rPr>
      <w:rFonts w:ascii="宋体" w:hAnsi="宋体" w:eastAsia="宋体"/>
      <w:color w:val="000000"/>
      <w:kern w:val="2"/>
      <w:sz w:val="18"/>
      <w:szCs w:val="18"/>
      <w:lang w:val="en-US" w:eastAsia="zh-CN" w:bidi="ar-SA"/>
    </w:rPr>
  </w:style>
  <w:style w:type="character" w:customStyle="1" w:styleId="834">
    <w:name w:val="标题 5 字符"/>
    <w:autoRedefine/>
    <w:qFormat/>
    <w:uiPriority w:val="9"/>
    <w:rPr>
      <w:rFonts w:ascii="宋体" w:eastAsia="宋体"/>
      <w:b/>
      <w:sz w:val="24"/>
      <w:lang w:val="en-US" w:eastAsia="zh-CN" w:bidi="ar-SA"/>
    </w:rPr>
  </w:style>
  <w:style w:type="character" w:customStyle="1" w:styleId="835">
    <w:name w:val="标题 2 字符"/>
    <w:autoRedefine/>
    <w:qFormat/>
    <w:uiPriority w:val="9"/>
    <w:rPr>
      <w:rFonts w:ascii="黑体" w:hAnsi="黑体" w:eastAsia="黑体"/>
      <w:sz w:val="28"/>
      <w:lang w:bidi="he-IL"/>
    </w:rPr>
  </w:style>
  <w:style w:type="character" w:customStyle="1" w:styleId="836">
    <w:name w:val="标题 9 字符"/>
    <w:autoRedefine/>
    <w:qFormat/>
    <w:uiPriority w:val="0"/>
    <w:rPr>
      <w:rFonts w:ascii="Arial" w:hAnsi="Arial" w:eastAsia="黑体"/>
      <w:sz w:val="21"/>
      <w:lang w:val="en-US" w:eastAsia="zh-CN" w:bidi="ar-SA"/>
    </w:rPr>
  </w:style>
  <w:style w:type="character" w:customStyle="1" w:styleId="837">
    <w:name w:val="尾注文本 字符"/>
    <w:autoRedefine/>
    <w:qFormat/>
    <w:uiPriority w:val="0"/>
    <w:rPr>
      <w:rFonts w:eastAsia="宋体"/>
      <w:kern w:val="2"/>
      <w:sz w:val="21"/>
      <w:szCs w:val="24"/>
      <w:lang w:bidi="ar-SA"/>
    </w:rPr>
  </w:style>
  <w:style w:type="character" w:customStyle="1" w:styleId="838">
    <w:name w:val="HTML 预设格式 字符"/>
    <w:autoRedefine/>
    <w:qFormat/>
    <w:uiPriority w:val="99"/>
    <w:rPr>
      <w:rFonts w:ascii="黑体" w:hAnsi="Courier New" w:eastAsia="黑体"/>
      <w:lang w:bidi="ar-SA"/>
    </w:rPr>
  </w:style>
  <w:style w:type="character" w:customStyle="1" w:styleId="839">
    <w:name w:val="正文文本首行缩进 2 字符"/>
    <w:autoRedefine/>
    <w:qFormat/>
    <w:uiPriority w:val="0"/>
    <w:rPr>
      <w:rFonts w:eastAsia="宋体"/>
      <w:kern w:val="2"/>
      <w:sz w:val="24"/>
      <w:szCs w:val="24"/>
      <w:lang w:val="en-US" w:eastAsia="zh-CN" w:bidi="ar-SA"/>
    </w:rPr>
  </w:style>
  <w:style w:type="character" w:customStyle="1" w:styleId="840">
    <w:name w:val="批注框文本 字符"/>
    <w:autoRedefine/>
    <w:qFormat/>
    <w:uiPriority w:val="99"/>
    <w:rPr>
      <w:rFonts w:eastAsia="宋体"/>
      <w:kern w:val="2"/>
      <w:sz w:val="18"/>
      <w:szCs w:val="18"/>
      <w:lang w:val="en-US" w:eastAsia="zh-CN" w:bidi="ar-SA"/>
    </w:rPr>
  </w:style>
  <w:style w:type="character" w:customStyle="1" w:styleId="841">
    <w:name w:val="页脚 字符"/>
    <w:autoRedefine/>
    <w:qFormat/>
    <w:uiPriority w:val="99"/>
    <w:rPr>
      <w:rFonts w:ascii="宋体" w:hAnsi="宋体" w:eastAsia="宋体"/>
      <w:color w:val="000000"/>
      <w:kern w:val="2"/>
      <w:sz w:val="18"/>
      <w:szCs w:val="18"/>
      <w:lang w:val="en-US" w:eastAsia="zh-CN" w:bidi="ar-SA"/>
    </w:rPr>
  </w:style>
  <w:style w:type="character" w:customStyle="1" w:styleId="842">
    <w:name w:val="正文文本 字符"/>
    <w:autoRedefine/>
    <w:qFormat/>
    <w:uiPriority w:val="1"/>
    <w:rPr>
      <w:rFonts w:eastAsia="宋体"/>
      <w:kern w:val="2"/>
      <w:sz w:val="24"/>
      <w:szCs w:val="24"/>
      <w:lang w:val="en-US" w:eastAsia="zh-CN" w:bidi="ar-SA"/>
    </w:rPr>
  </w:style>
  <w:style w:type="character" w:customStyle="1" w:styleId="843">
    <w:name w:val="标题 8 字符"/>
    <w:autoRedefine/>
    <w:qFormat/>
    <w:uiPriority w:val="0"/>
    <w:rPr>
      <w:rFonts w:ascii="Arial" w:hAnsi="Arial" w:eastAsia="黑体"/>
      <w:sz w:val="24"/>
      <w:lang w:val="en-US" w:eastAsia="zh-CN" w:bidi="ar-SA"/>
    </w:rPr>
  </w:style>
  <w:style w:type="character" w:customStyle="1" w:styleId="844">
    <w:name w:val="标题 7 字符"/>
    <w:autoRedefine/>
    <w:qFormat/>
    <w:uiPriority w:val="9"/>
    <w:rPr>
      <w:rFonts w:ascii="宋体" w:eastAsia="宋体"/>
      <w:b/>
      <w:sz w:val="24"/>
      <w:lang w:val="en-US" w:eastAsia="zh-CN" w:bidi="ar-SA"/>
    </w:rPr>
  </w:style>
  <w:style w:type="character" w:customStyle="1" w:styleId="845">
    <w:name w:val="标题 字符"/>
    <w:autoRedefine/>
    <w:qFormat/>
    <w:uiPriority w:val="10"/>
    <w:rPr>
      <w:rFonts w:ascii="Arial" w:hAnsi="Arial" w:eastAsia="黑体" w:cs="Arial"/>
      <w:b/>
      <w:bCs/>
      <w:kern w:val="2"/>
      <w:sz w:val="44"/>
      <w:szCs w:val="32"/>
      <w:lang w:val="en-US" w:eastAsia="zh-CN" w:bidi="ar-SA"/>
    </w:rPr>
  </w:style>
  <w:style w:type="character" w:customStyle="1" w:styleId="846">
    <w:name w:val="文档结构图 字符"/>
    <w:autoRedefine/>
    <w:qFormat/>
    <w:uiPriority w:val="99"/>
    <w:rPr>
      <w:rFonts w:eastAsia="宋体"/>
      <w:kern w:val="2"/>
      <w:sz w:val="24"/>
      <w:szCs w:val="24"/>
      <w:lang w:val="en-US" w:eastAsia="zh-CN" w:bidi="ar-SA"/>
    </w:rPr>
  </w:style>
  <w:style w:type="character" w:customStyle="1" w:styleId="847">
    <w:name w:val="宏文本 字符"/>
    <w:autoRedefine/>
    <w:qFormat/>
    <w:uiPriority w:val="0"/>
    <w:rPr>
      <w:rFonts w:ascii="Courier New" w:hAnsi="Courier New"/>
      <w:kern w:val="2"/>
      <w:sz w:val="24"/>
      <w:szCs w:val="24"/>
      <w:lang w:val="en-US" w:eastAsia="zh-CN" w:bidi="ar-SA"/>
    </w:rPr>
  </w:style>
  <w:style w:type="character" w:customStyle="1" w:styleId="848">
    <w:name w:val="副标题 字符"/>
    <w:autoRedefine/>
    <w:qFormat/>
    <w:uiPriority w:val="11"/>
    <w:rPr>
      <w:rFonts w:ascii="Arial" w:hAnsi="Arial" w:eastAsia="宋体"/>
      <w:b/>
      <w:bCs/>
      <w:kern w:val="28"/>
      <w:sz w:val="32"/>
      <w:szCs w:val="32"/>
      <w:lang w:bidi="ar-SA"/>
    </w:rPr>
  </w:style>
  <w:style w:type="character" w:customStyle="1" w:styleId="849">
    <w:name w:val="脚注文本 字符"/>
    <w:autoRedefine/>
    <w:qFormat/>
    <w:uiPriority w:val="0"/>
    <w:rPr>
      <w:rFonts w:eastAsia="宋体"/>
      <w:kern w:val="2"/>
      <w:sz w:val="18"/>
      <w:szCs w:val="18"/>
      <w:lang w:bidi="ar-SA"/>
    </w:rPr>
  </w:style>
  <w:style w:type="character" w:customStyle="1" w:styleId="850">
    <w:name w:val="正文文本缩进 字符"/>
    <w:autoRedefine/>
    <w:qFormat/>
    <w:uiPriority w:val="0"/>
    <w:rPr>
      <w:rFonts w:eastAsia="宋体"/>
      <w:kern w:val="2"/>
      <w:sz w:val="24"/>
      <w:szCs w:val="24"/>
      <w:lang w:val="en-US" w:eastAsia="zh-CN" w:bidi="ar-SA"/>
    </w:rPr>
  </w:style>
  <w:style w:type="character" w:customStyle="1" w:styleId="851">
    <w:name w:val="签名 字符"/>
    <w:autoRedefine/>
    <w:qFormat/>
    <w:uiPriority w:val="0"/>
    <w:rPr>
      <w:rFonts w:eastAsia="宋体"/>
      <w:kern w:val="2"/>
      <w:sz w:val="21"/>
      <w:szCs w:val="24"/>
      <w:lang w:bidi="ar-SA"/>
    </w:rPr>
  </w:style>
  <w:style w:type="character" w:customStyle="1" w:styleId="852">
    <w:name w:val="批注主题 字符"/>
    <w:autoRedefine/>
    <w:qFormat/>
    <w:uiPriority w:val="99"/>
    <w:rPr>
      <w:rFonts w:eastAsia="宋体"/>
      <w:b/>
      <w:bCs/>
      <w:kern w:val="2"/>
      <w:sz w:val="24"/>
      <w:szCs w:val="24"/>
      <w:lang w:val="en-US" w:eastAsia="zh-CN" w:bidi="ar-SA"/>
    </w:rPr>
  </w:style>
  <w:style w:type="character" w:customStyle="1" w:styleId="853">
    <w:name w:val="HTML 地址 字符"/>
    <w:autoRedefine/>
    <w:qFormat/>
    <w:uiPriority w:val="0"/>
    <w:rPr>
      <w:rFonts w:eastAsia="宋体"/>
      <w:i/>
      <w:iCs/>
      <w:kern w:val="2"/>
      <w:sz w:val="21"/>
      <w:szCs w:val="24"/>
      <w:lang w:bidi="ar-SA"/>
    </w:rPr>
  </w:style>
  <w:style w:type="character" w:customStyle="1" w:styleId="854">
    <w:name w:val="标题 1 字符"/>
    <w:autoRedefine/>
    <w:qFormat/>
    <w:uiPriority w:val="9"/>
    <w:rPr>
      <w:rFonts w:eastAsia="黑体"/>
      <w:bCs/>
      <w:color w:val="000000"/>
      <w:kern w:val="44"/>
      <w:sz w:val="30"/>
      <w:lang w:val="en-US" w:eastAsia="zh-CN" w:bidi="ar-SA"/>
    </w:rPr>
  </w:style>
  <w:style w:type="character" w:customStyle="1" w:styleId="855">
    <w:name w:val="正文文本 2 字符"/>
    <w:autoRedefine/>
    <w:qFormat/>
    <w:uiPriority w:val="0"/>
    <w:rPr>
      <w:rFonts w:eastAsia="宋体"/>
      <w:kern w:val="2"/>
      <w:sz w:val="21"/>
      <w:szCs w:val="24"/>
      <w:lang w:val="en-US" w:eastAsia="zh-CN" w:bidi="ar-SA"/>
    </w:rPr>
  </w:style>
  <w:style w:type="character" w:customStyle="1" w:styleId="856">
    <w:name w:val="题注 字符"/>
    <w:autoRedefine/>
    <w:qFormat/>
    <w:uiPriority w:val="35"/>
    <w:rPr>
      <w:rFonts w:ascii="Arial" w:hAnsi="Arial" w:eastAsia="黑体" w:cs="Arial"/>
      <w:kern w:val="2"/>
      <w:lang w:val="en-US" w:eastAsia="zh-CN" w:bidi="ar-SA"/>
    </w:rPr>
  </w:style>
  <w:style w:type="character" w:customStyle="1" w:styleId="857">
    <w:name w:val="标题 3 字符"/>
    <w:autoRedefine/>
    <w:qFormat/>
    <w:uiPriority w:val="9"/>
    <w:rPr>
      <w:rFonts w:eastAsia="黑体"/>
      <w:kern w:val="2"/>
      <w:sz w:val="24"/>
      <w:szCs w:val="24"/>
      <w:lang w:val="en-US" w:eastAsia="zh-CN" w:bidi="ar-SA"/>
    </w:rPr>
  </w:style>
  <w:style w:type="character" w:customStyle="1" w:styleId="858">
    <w:name w:val="正文文本首行缩进 字符"/>
    <w:autoRedefine/>
    <w:qFormat/>
    <w:uiPriority w:val="0"/>
    <w:rPr>
      <w:rFonts w:ascii="宋体" w:hAnsi="宋体" w:eastAsia="宋体"/>
      <w:color w:val="000000"/>
      <w:spacing w:val="10"/>
      <w:kern w:val="24"/>
      <w:sz w:val="24"/>
      <w:lang w:val="en-US" w:eastAsia="zh-CN" w:bidi="ar-SA"/>
    </w:rPr>
  </w:style>
  <w:style w:type="character" w:customStyle="1" w:styleId="859">
    <w:name w:val="正文文本缩进 2 字符"/>
    <w:autoRedefine/>
    <w:qFormat/>
    <w:uiPriority w:val="0"/>
    <w:rPr>
      <w:rFonts w:eastAsia="宋体"/>
      <w:kern w:val="2"/>
      <w:sz w:val="24"/>
      <w:szCs w:val="24"/>
      <w:lang w:val="en-US" w:eastAsia="zh-CN" w:bidi="ar-SA"/>
    </w:rPr>
  </w:style>
  <w:style w:type="character" w:customStyle="1" w:styleId="860">
    <w:name w:val="正文文本缩进 3 字符"/>
    <w:autoRedefine/>
    <w:qFormat/>
    <w:uiPriority w:val="0"/>
    <w:rPr>
      <w:rFonts w:eastAsia="宋体"/>
      <w:kern w:val="2"/>
      <w:sz w:val="16"/>
      <w:szCs w:val="16"/>
      <w:lang w:val="en-US" w:eastAsia="zh-CN" w:bidi="ar-SA"/>
    </w:rPr>
  </w:style>
  <w:style w:type="character" w:customStyle="1" w:styleId="861">
    <w:name w:val="称呼 字符"/>
    <w:autoRedefine/>
    <w:qFormat/>
    <w:uiPriority w:val="0"/>
    <w:rPr>
      <w:rFonts w:eastAsia="宋体"/>
      <w:kern w:val="2"/>
      <w:sz w:val="21"/>
      <w:szCs w:val="24"/>
      <w:lang w:bidi="ar-SA"/>
    </w:rPr>
  </w:style>
  <w:style w:type="character" w:customStyle="1" w:styleId="862">
    <w:name w:val="结束语 字符"/>
    <w:autoRedefine/>
    <w:qFormat/>
    <w:uiPriority w:val="0"/>
    <w:rPr>
      <w:rFonts w:eastAsia="宋体"/>
      <w:kern w:val="2"/>
      <w:sz w:val="21"/>
      <w:szCs w:val="24"/>
      <w:lang w:bidi="ar-SA"/>
    </w:rPr>
  </w:style>
  <w:style w:type="character" w:customStyle="1" w:styleId="863">
    <w:name w:val="日期 字符"/>
    <w:autoRedefine/>
    <w:qFormat/>
    <w:uiPriority w:val="99"/>
    <w:rPr>
      <w:rFonts w:eastAsia="宋体"/>
      <w:kern w:val="2"/>
      <w:sz w:val="24"/>
      <w:szCs w:val="24"/>
      <w:lang w:val="en-US" w:eastAsia="zh-CN" w:bidi="ar-SA"/>
    </w:rPr>
  </w:style>
  <w:style w:type="character" w:customStyle="1" w:styleId="864">
    <w:name w:val="信息标题 字符"/>
    <w:autoRedefine/>
    <w:qFormat/>
    <w:uiPriority w:val="0"/>
    <w:rPr>
      <w:rFonts w:ascii="Arial" w:hAnsi="Arial" w:eastAsia="宋体"/>
      <w:kern w:val="2"/>
      <w:sz w:val="24"/>
      <w:szCs w:val="24"/>
      <w:lang w:bidi="ar-SA"/>
    </w:rPr>
  </w:style>
  <w:style w:type="character" w:customStyle="1" w:styleId="865">
    <w:name w:val="标题 4 字符"/>
    <w:autoRedefine/>
    <w:qFormat/>
    <w:uiPriority w:val="9"/>
    <w:rPr>
      <w:rFonts w:ascii="Arial" w:hAnsi="Arial" w:eastAsia="黑体"/>
      <w:b/>
      <w:bCs/>
      <w:kern w:val="2"/>
      <w:sz w:val="28"/>
      <w:szCs w:val="28"/>
      <w:lang w:val="en-US" w:eastAsia="zh-CN" w:bidi="ar-SA"/>
    </w:rPr>
  </w:style>
  <w:style w:type="character" w:customStyle="1" w:styleId="866">
    <w:name w:val="标题 6 字符"/>
    <w:autoRedefine/>
    <w:qFormat/>
    <w:uiPriority w:val="9"/>
    <w:rPr>
      <w:rFonts w:ascii="Arial" w:hAnsi="Arial" w:eastAsia="黑体"/>
      <w:b/>
      <w:sz w:val="24"/>
    </w:rPr>
  </w:style>
  <w:style w:type="character" w:customStyle="1" w:styleId="867">
    <w:name w:val="无间隔 字符"/>
    <w:autoRedefine/>
    <w:qFormat/>
    <w:uiPriority w:val="0"/>
    <w:rPr>
      <w:rFonts w:ascii="Calibri" w:hAnsi="Calibri"/>
      <w:kern w:val="2"/>
      <w:sz w:val="21"/>
      <w:szCs w:val="22"/>
      <w:lang w:val="en-US" w:eastAsia="zh-CN" w:bidi="ar-SA"/>
    </w:rPr>
  </w:style>
  <w:style w:type="character" w:customStyle="1" w:styleId="868">
    <w:name w:val="注释标题 字符"/>
    <w:autoRedefine/>
    <w:qFormat/>
    <w:uiPriority w:val="0"/>
    <w:rPr>
      <w:kern w:val="2"/>
      <w:sz w:val="21"/>
      <w:szCs w:val="24"/>
    </w:rPr>
  </w:style>
  <w:style w:type="character" w:customStyle="1" w:styleId="869">
    <w:name w:val="电子邮件签名 字符"/>
    <w:autoRedefine/>
    <w:qFormat/>
    <w:uiPriority w:val="0"/>
    <w:rPr>
      <w:kern w:val="2"/>
      <w:sz w:val="21"/>
      <w:szCs w:val="24"/>
    </w:rPr>
  </w:style>
  <w:style w:type="character" w:customStyle="1" w:styleId="870">
    <w:name w:val="正文文本 3 字符"/>
    <w:autoRedefine/>
    <w:qFormat/>
    <w:uiPriority w:val="0"/>
    <w:rPr>
      <w:kern w:val="2"/>
      <w:sz w:val="16"/>
      <w:szCs w:val="16"/>
    </w:rPr>
  </w:style>
  <w:style w:type="character" w:customStyle="1" w:styleId="871">
    <w:name w:val="font01"/>
    <w:autoRedefine/>
    <w:qFormat/>
    <w:uiPriority w:val="0"/>
    <w:rPr>
      <w:rFonts w:hint="eastAsia" w:ascii="宋体" w:hAnsi="宋体" w:eastAsia="宋体" w:cs="宋体"/>
      <w:color w:val="000000"/>
      <w:sz w:val="18"/>
      <w:szCs w:val="18"/>
      <w:u w:val="none"/>
    </w:rPr>
  </w:style>
  <w:style w:type="table" w:customStyle="1" w:styleId="872">
    <w:name w:val="浅色底纹 - 强调文字颜色 111"/>
    <w:basedOn w:val="88"/>
    <w:autoRedefine/>
    <w:qFormat/>
    <w:uiPriority w:val="60"/>
    <w:rPr>
      <w:rFonts w:ascii="Calibri" w:hAnsi="Calibri"/>
      <w:color w:val="365F91"/>
      <w:kern w:val="2"/>
      <w:sz w:val="21"/>
      <w:szCs w:val="22"/>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table" w:customStyle="1" w:styleId="873">
    <w:name w:val="灰度表格2"/>
    <w:basedOn w:val="88"/>
    <w:autoRedefine/>
    <w:qFormat/>
    <w:uiPriority w:val="99"/>
    <w:pPr>
      <w:widowControl w:val="0"/>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4">
    <w:name w:val="灰度表格3"/>
    <w:basedOn w:val="88"/>
    <w:autoRedefine/>
    <w:qFormat/>
    <w:uiPriority w:val="99"/>
    <w:pPr>
      <w:widowControl w:val="0"/>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75">
    <w:name w:val="未处理的提及2"/>
    <w:autoRedefine/>
    <w:unhideWhenUsed/>
    <w:qFormat/>
    <w:uiPriority w:val="99"/>
    <w:rPr>
      <w:color w:val="605E5C"/>
      <w:shd w:val="clear" w:color="auto" w:fill="E1DFDD"/>
    </w:rPr>
  </w:style>
  <w:style w:type="character" w:customStyle="1" w:styleId="876">
    <w:name w:val="！正文 Char"/>
    <w:link w:val="877"/>
    <w:autoRedefine/>
    <w:qFormat/>
    <w:uiPriority w:val="0"/>
    <w:rPr>
      <w:rFonts w:ascii="Arial" w:hAnsi="Arial" w:cs="Arial"/>
      <w:kern w:val="2"/>
      <w:sz w:val="24"/>
      <w:szCs w:val="22"/>
    </w:rPr>
  </w:style>
  <w:style w:type="paragraph" w:customStyle="1" w:styleId="877">
    <w:name w:val="！正文"/>
    <w:basedOn w:val="1"/>
    <w:link w:val="876"/>
    <w:autoRedefine/>
    <w:qFormat/>
    <w:uiPriority w:val="0"/>
    <w:pPr>
      <w:adjustRightInd w:val="0"/>
      <w:snapToGrid w:val="0"/>
      <w:spacing w:line="500" w:lineRule="exact"/>
      <w:ind w:firstLine="200" w:firstLineChars="200"/>
    </w:pPr>
    <w:rPr>
      <w:rFonts w:ascii="Arial" w:hAnsi="Arial" w:cs="Arial" w:eastAsiaTheme="minorEastAsia"/>
      <w:szCs w:val="22"/>
    </w:rPr>
  </w:style>
  <w:style w:type="character" w:customStyle="1" w:styleId="878">
    <w:name w:val="正文首行缩进 Char1"/>
    <w:basedOn w:val="136"/>
    <w:autoRedefine/>
    <w:qFormat/>
    <w:uiPriority w:val="99"/>
    <w:rPr>
      <w:rFonts w:ascii="Times New Roman" w:hAnsi="Times New Roman" w:eastAsia="宋体" w:cs="Times New Roman"/>
      <w:kern w:val="2"/>
      <w:sz w:val="24"/>
      <w:szCs w:val="24"/>
    </w:rPr>
  </w:style>
  <w:style w:type="paragraph" w:customStyle="1" w:styleId="879">
    <w:name w:val="列出段落2"/>
    <w:basedOn w:val="1"/>
    <w:autoRedefine/>
    <w:qFormat/>
    <w:uiPriority w:val="34"/>
    <w:pPr>
      <w:spacing w:line="240" w:lineRule="auto"/>
      <w:ind w:firstLine="200" w:firstLineChars="200"/>
    </w:pPr>
    <w:rPr>
      <w:rFonts w:asciiTheme="minorHAnsi" w:hAnsiTheme="minorHAnsi" w:eastAsiaTheme="minorEastAsia" w:cstheme="minorBidi"/>
      <w:sz w:val="21"/>
    </w:rPr>
  </w:style>
  <w:style w:type="paragraph" w:customStyle="1" w:styleId="880">
    <w:name w:val="普通(网站)1"/>
    <w:basedOn w:val="1"/>
    <w:autoRedefine/>
    <w:qFormat/>
    <w:uiPriority w:val="0"/>
    <w:pPr>
      <w:widowControl/>
      <w:spacing w:before="100" w:beforeAutospacing="1" w:after="100" w:afterAutospacing="1" w:line="240" w:lineRule="auto"/>
      <w:ind w:firstLine="0"/>
      <w:jc w:val="left"/>
    </w:pPr>
    <w:rPr>
      <w:rFonts w:hint="eastAsia" w:ascii="宋体" w:hAnsi="宋体"/>
      <w:szCs w:val="20"/>
    </w:rPr>
  </w:style>
  <w:style w:type="paragraph" w:customStyle="1" w:styleId="881">
    <w:name w:val="样式 报告书正文 + 首行缩进:  2 字符"/>
    <w:basedOn w:val="1"/>
    <w:autoRedefine/>
    <w:qFormat/>
    <w:uiPriority w:val="0"/>
    <w:pPr>
      <w:ind w:firstLine="480" w:firstLineChars="200"/>
    </w:pPr>
    <w:rPr>
      <w:rFonts w:cs="宋体" w:asciiTheme="minorHAnsi" w:hAnsiTheme="minorHAnsi" w:eastAsiaTheme="minorEastAsia"/>
    </w:rPr>
  </w:style>
  <w:style w:type="paragraph" w:customStyle="1" w:styleId="882">
    <w:name w:val="1-正文"/>
    <w:basedOn w:val="1"/>
    <w:autoRedefine/>
    <w:qFormat/>
    <w:uiPriority w:val="0"/>
    <w:pPr>
      <w:ind w:firstLine="480" w:firstLineChars="200"/>
      <w:jc w:val="left"/>
    </w:pPr>
    <w:rPr>
      <w:rFonts w:hint="eastAsia" w:ascii="宋体" w:hAnsi="宋体"/>
      <w:kern w:val="0"/>
    </w:rPr>
  </w:style>
  <w:style w:type="character" w:customStyle="1" w:styleId="883">
    <w:name w:val="10"/>
    <w:basedOn w:val="102"/>
    <w:autoRedefine/>
    <w:qFormat/>
    <w:uiPriority w:val="0"/>
    <w:rPr>
      <w:rFonts w:hint="default" w:ascii="Calibri" w:hAnsi="Calibri" w:cs="Calibri"/>
    </w:rPr>
  </w:style>
  <w:style w:type="paragraph" w:customStyle="1" w:styleId="884">
    <w:name w:val="f 表标题"/>
    <w:basedOn w:val="1"/>
    <w:next w:val="1"/>
    <w:autoRedefine/>
    <w:qFormat/>
    <w:uiPriority w:val="0"/>
    <w:pPr>
      <w:adjustRightInd w:val="0"/>
      <w:snapToGrid w:val="0"/>
      <w:spacing w:line="240" w:lineRule="auto"/>
      <w:ind w:firstLine="0"/>
      <w:jc w:val="center"/>
    </w:pPr>
    <w:rPr>
      <w:b/>
      <w:sz w:val="21"/>
      <w:szCs w:val="21"/>
    </w:rPr>
  </w:style>
  <w:style w:type="paragraph" w:customStyle="1" w:styleId="885">
    <w:name w:val="h 表内文"/>
    <w:basedOn w:val="1"/>
    <w:autoRedefine/>
    <w:qFormat/>
    <w:uiPriority w:val="0"/>
    <w:pPr>
      <w:tabs>
        <w:tab w:val="left" w:pos="2760"/>
      </w:tabs>
      <w:adjustRightInd w:val="0"/>
      <w:snapToGrid w:val="0"/>
      <w:spacing w:line="240" w:lineRule="auto"/>
      <w:ind w:firstLine="0"/>
      <w:jc w:val="center"/>
      <w:textAlignment w:val="center"/>
    </w:pPr>
    <w:rPr>
      <w:rFonts w:asciiTheme="minorHAnsi" w:hAnsiTheme="minorHAnsi" w:eastAsiaTheme="minorEastAsia" w:cstheme="minorBidi"/>
      <w:snapToGrid w:val="0"/>
      <w:kern w:val="0"/>
      <w:sz w:val="21"/>
      <w:szCs w:val="21"/>
    </w:rPr>
  </w:style>
  <w:style w:type="paragraph" w:customStyle="1" w:styleId="886">
    <w:name w:val="报告书—表后空格"/>
    <w:basedOn w:val="1"/>
    <w:next w:val="1"/>
    <w:autoRedefine/>
    <w:qFormat/>
    <w:uiPriority w:val="0"/>
    <w:pPr>
      <w:tabs>
        <w:tab w:val="left" w:pos="2760"/>
      </w:tabs>
      <w:adjustRightInd w:val="0"/>
      <w:snapToGrid w:val="0"/>
      <w:spacing w:line="240" w:lineRule="auto"/>
      <w:ind w:firstLine="0"/>
      <w:jc w:val="left"/>
    </w:pPr>
    <w:rPr>
      <w:rFonts w:asciiTheme="minorHAnsi" w:hAnsiTheme="minorHAnsi" w:eastAsiaTheme="minorEastAsia" w:cstheme="minorBidi"/>
      <w:sz w:val="18"/>
      <w:szCs w:val="21"/>
    </w:rPr>
  </w:style>
  <w:style w:type="paragraph" w:customStyle="1" w:styleId="887">
    <w:name w:val="盂县"/>
    <w:basedOn w:val="1"/>
    <w:autoRedefine/>
    <w:qFormat/>
    <w:uiPriority w:val="0"/>
    <w:pPr>
      <w:adjustRightInd w:val="0"/>
      <w:snapToGrid w:val="0"/>
      <w:spacing w:line="312" w:lineRule="auto"/>
      <w:ind w:firstLine="560" w:firstLineChars="200"/>
    </w:pPr>
    <w:rPr>
      <w:rFonts w:asciiTheme="minorHAnsi" w:hAnsiTheme="minorHAnsi" w:eastAsiaTheme="minorEastAsia" w:cstheme="minorBidi"/>
      <w:sz w:val="28"/>
    </w:rPr>
  </w:style>
  <w:style w:type="paragraph" w:customStyle="1" w:styleId="888">
    <w:name w:val="_正文格式"/>
    <w:basedOn w:val="1"/>
    <w:link w:val="889"/>
    <w:autoRedefine/>
    <w:qFormat/>
    <w:uiPriority w:val="0"/>
    <w:pPr>
      <w:spacing w:line="480" w:lineRule="exact"/>
      <w:ind w:firstLine="200" w:firstLineChars="200"/>
    </w:pPr>
    <w:rPr>
      <w:rFonts w:ascii="仿宋_GB2312" w:hAnsi="Calibri" w:eastAsia="仿宋_GB2312" w:cstheme="minorBidi"/>
      <w:kern w:val="0"/>
      <w:sz w:val="28"/>
    </w:rPr>
  </w:style>
  <w:style w:type="character" w:customStyle="1" w:styleId="889">
    <w:name w:val="_正文格式 Char"/>
    <w:link w:val="888"/>
    <w:autoRedefine/>
    <w:qFormat/>
    <w:locked/>
    <w:uiPriority w:val="0"/>
    <w:rPr>
      <w:rFonts w:ascii="仿宋_GB2312" w:hAnsi="Calibri" w:eastAsia="仿宋_GB2312"/>
      <w:sz w:val="28"/>
      <w:szCs w:val="24"/>
    </w:rPr>
  </w:style>
  <w:style w:type="paragraph" w:customStyle="1" w:styleId="890">
    <w:name w:val="表头文字13"/>
    <w:basedOn w:val="1"/>
    <w:autoRedefine/>
    <w:qFormat/>
    <w:uiPriority w:val="0"/>
    <w:pPr>
      <w:adjustRightInd w:val="0"/>
      <w:snapToGrid w:val="0"/>
      <w:spacing w:before="120" w:line="460" w:lineRule="exact"/>
      <w:ind w:firstLine="0"/>
      <w:jc w:val="center"/>
    </w:pPr>
    <w:rPr>
      <w:rFonts w:ascii="黑体" w:eastAsia="黑体" w:hAnsiTheme="minorHAnsi" w:cstheme="minorBidi"/>
      <w:sz w:val="22"/>
      <w:szCs w:val="22"/>
    </w:rPr>
  </w:style>
  <w:style w:type="paragraph" w:customStyle="1" w:styleId="891">
    <w:name w:val="表中正文"/>
    <w:basedOn w:val="1"/>
    <w:autoRedefine/>
    <w:qFormat/>
    <w:uiPriority w:val="0"/>
    <w:pPr>
      <w:snapToGrid w:val="0"/>
      <w:spacing w:line="240" w:lineRule="auto"/>
      <w:ind w:firstLine="0"/>
      <w:jc w:val="center"/>
    </w:pPr>
    <w:rPr>
      <w:rFonts w:asciiTheme="minorHAnsi" w:hAnsiTheme="minorHAnsi" w:eastAsiaTheme="minorEastAsia" w:cstheme="minorBidi"/>
      <w:color w:val="000000"/>
      <w:sz w:val="21"/>
      <w:szCs w:val="20"/>
    </w:rPr>
  </w:style>
  <w:style w:type="paragraph" w:customStyle="1" w:styleId="892">
    <w:name w:val="表格内容小四号"/>
    <w:autoRedefine/>
    <w:qFormat/>
    <w:uiPriority w:val="0"/>
    <w:pPr>
      <w:snapToGrid w:val="0"/>
      <w:spacing w:line="240" w:lineRule="atLeast"/>
      <w:jc w:val="center"/>
    </w:pPr>
    <w:rPr>
      <w:rFonts w:ascii="Calibri" w:hAnsi="Calibri" w:eastAsia="宋体" w:cs="Times New Roman"/>
      <w:kern w:val="2"/>
      <w:sz w:val="24"/>
      <w:szCs w:val="24"/>
      <w:lang w:val="en-US" w:eastAsia="zh-CN" w:bidi="ar-SA"/>
    </w:rPr>
  </w:style>
  <w:style w:type="character" w:customStyle="1" w:styleId="893">
    <w:name w:val="Plain Text Char"/>
    <w:autoRedefine/>
    <w:qFormat/>
    <w:locked/>
    <w:uiPriority w:val="99"/>
    <w:rPr>
      <w:rFonts w:ascii="宋体" w:hAnsi="Courier New" w:eastAsia="宋体" w:cs="Courier New"/>
      <w:sz w:val="21"/>
      <w:szCs w:val="21"/>
    </w:rPr>
  </w:style>
  <w:style w:type="character" w:customStyle="1" w:styleId="894">
    <w:name w:val="样式 Arial 小四 段前: 7.8 磅 段后: 7.8 磅 行距: 固定值 21 磅 Char"/>
    <w:link w:val="895"/>
    <w:autoRedefine/>
    <w:qFormat/>
    <w:uiPriority w:val="0"/>
    <w:rPr>
      <w:rFonts w:ascii="Arial" w:hAnsi="Arial"/>
      <w:sz w:val="24"/>
    </w:rPr>
  </w:style>
  <w:style w:type="paragraph" w:customStyle="1" w:styleId="895">
    <w:name w:val="样式 Arial 小四 段前: 7.8 磅 段后: 7.8 磅 行距: 固定值 21 磅"/>
    <w:basedOn w:val="1"/>
    <w:link w:val="894"/>
    <w:autoRedefine/>
    <w:qFormat/>
    <w:uiPriority w:val="0"/>
    <w:pPr>
      <w:spacing w:before="60" w:after="156" w:line="420" w:lineRule="exact"/>
      <w:ind w:firstLine="200" w:firstLineChars="200"/>
    </w:pPr>
    <w:rPr>
      <w:rFonts w:ascii="Arial" w:hAnsi="Arial" w:eastAsiaTheme="minorEastAsia" w:cstheme="minorBidi"/>
      <w:kern w:val="0"/>
      <w:szCs w:val="20"/>
    </w:rPr>
  </w:style>
  <w:style w:type="character" w:customStyle="1" w:styleId="896">
    <w:name w:val="fontbt1"/>
    <w:autoRedefine/>
    <w:qFormat/>
    <w:uiPriority w:val="0"/>
    <w:rPr>
      <w:b/>
      <w:bCs/>
      <w:color w:val="990000"/>
      <w:sz w:val="28"/>
      <w:szCs w:val="28"/>
      <w:u w:val="none"/>
    </w:rPr>
  </w:style>
  <w:style w:type="character" w:customStyle="1" w:styleId="897">
    <w:name w:val="标题1"/>
    <w:basedOn w:val="102"/>
    <w:autoRedefine/>
    <w:qFormat/>
    <w:uiPriority w:val="0"/>
  </w:style>
  <w:style w:type="paragraph" w:customStyle="1" w:styleId="898">
    <w:name w:val="无间隔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9">
    <w:name w:val="1正文，首行缩进"/>
    <w:basedOn w:val="1"/>
    <w:autoRedefine/>
    <w:qFormat/>
    <w:uiPriority w:val="0"/>
    <w:pPr>
      <w:widowControl/>
      <w:topLinePunct/>
      <w:adjustRightInd w:val="0"/>
      <w:snapToGrid w:val="0"/>
      <w:ind w:firstLine="480" w:firstLineChars="200"/>
      <w:jc w:val="left"/>
    </w:pPr>
    <w:rPr>
      <w:rFonts w:ascii="Calibri" w:hAnsi="Calibri"/>
      <w:snapToGrid w:val="0"/>
      <w:color w:val="000000"/>
      <w:kern w:val="0"/>
      <w:lang w:val="zh-CN"/>
    </w:rPr>
  </w:style>
  <w:style w:type="paragraph" w:customStyle="1" w:styleId="900">
    <w:name w:val="样式 垃圾13-24 + 首行缩进:  2 字符"/>
    <w:basedOn w:val="1"/>
    <w:autoRedefine/>
    <w:qFormat/>
    <w:uiPriority w:val="0"/>
    <w:pPr>
      <w:spacing w:line="480" w:lineRule="exact"/>
      <w:ind w:firstLine="0"/>
    </w:pPr>
    <w:rPr>
      <w:rFonts w:ascii="宋体" w:hAnsi="宋体" w:cs="宋体"/>
      <w:color w:val="000000"/>
      <w:sz w:val="21"/>
      <w:szCs w:val="21"/>
    </w:rPr>
  </w:style>
  <w:style w:type="paragraph" w:customStyle="1" w:styleId="901">
    <w:name w:val="列出段落3"/>
    <w:basedOn w:val="1"/>
    <w:autoRedefine/>
    <w:qFormat/>
    <w:uiPriority w:val="34"/>
    <w:pPr>
      <w:spacing w:line="240" w:lineRule="auto"/>
      <w:ind w:firstLine="200" w:firstLineChars="200"/>
    </w:pPr>
    <w:rPr>
      <w:rFonts w:ascii="Calibri" w:hAnsi="Calibri"/>
      <w:sz w:val="21"/>
      <w:szCs w:val="22"/>
    </w:rPr>
  </w:style>
  <w:style w:type="paragraph" w:customStyle="1" w:styleId="902">
    <w:name w:val="TOC 标题2"/>
    <w:basedOn w:val="3"/>
    <w:next w:val="1"/>
    <w:autoRedefine/>
    <w:qFormat/>
    <w:uiPriority w:val="99"/>
    <w:pPr>
      <w:widowControl/>
      <w:spacing w:before="480" w:line="276" w:lineRule="auto"/>
      <w:textAlignment w:val="auto"/>
      <w:outlineLvl w:val="9"/>
    </w:pPr>
    <w:rPr>
      <w:rFonts w:ascii="Cambria" w:hAnsi="Cambria" w:eastAsia="宋体"/>
      <w:b/>
      <w:color w:val="365F91"/>
      <w:kern w:val="0"/>
      <w:sz w:val="28"/>
      <w:szCs w:val="28"/>
    </w:rPr>
  </w:style>
  <w:style w:type="paragraph" w:customStyle="1" w:styleId="903">
    <w:name w:val="Char11"/>
    <w:basedOn w:val="1"/>
    <w:next w:val="1"/>
    <w:autoRedefine/>
    <w:qFormat/>
    <w:uiPriority w:val="0"/>
    <w:pPr>
      <w:ind w:firstLine="200" w:firstLineChars="200"/>
    </w:pPr>
    <w:rPr>
      <w:rFonts w:ascii="宋体" w:hAnsi="宋体" w:cs="宋体"/>
    </w:rPr>
  </w:style>
  <w:style w:type="paragraph" w:customStyle="1" w:styleId="904">
    <w:name w:val="Char4"/>
    <w:basedOn w:val="1"/>
    <w:link w:val="1495"/>
    <w:autoRedefine/>
    <w:qFormat/>
    <w:uiPriority w:val="0"/>
    <w:pPr>
      <w:spacing w:line="240" w:lineRule="auto"/>
      <w:ind w:firstLine="0"/>
    </w:pPr>
    <w:rPr>
      <w:sz w:val="21"/>
    </w:rPr>
  </w:style>
  <w:style w:type="paragraph" w:customStyle="1" w:styleId="905">
    <w:name w:val="Char Char20"/>
    <w:basedOn w:val="1"/>
    <w:autoRedefine/>
    <w:qFormat/>
    <w:uiPriority w:val="0"/>
    <w:pPr>
      <w:spacing w:line="240" w:lineRule="auto"/>
      <w:ind w:firstLine="0"/>
    </w:pPr>
    <w:rPr>
      <w:sz w:val="21"/>
      <w:szCs w:val="20"/>
    </w:rPr>
  </w:style>
  <w:style w:type="paragraph" w:customStyle="1" w:styleId="906">
    <w:name w:val="cardlist-value"/>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paragraph" w:customStyle="1" w:styleId="907">
    <w:name w:val="cardlist-name"/>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paragraph" w:customStyle="1" w:styleId="908">
    <w:name w:val="样式 正文缩进正文（首行缩进两字）正文2 + 首行缩进:  2 字符"/>
    <w:basedOn w:val="21"/>
    <w:autoRedefine/>
    <w:qFormat/>
    <w:uiPriority w:val="0"/>
    <w:pPr>
      <w:spacing w:line="500" w:lineRule="exact"/>
    </w:pPr>
    <w:rPr>
      <w:rFonts w:cs="宋体"/>
      <w:kern w:val="0"/>
      <w:szCs w:val="20"/>
    </w:rPr>
  </w:style>
  <w:style w:type="paragraph" w:customStyle="1" w:styleId="909">
    <w:name w:val="正文 New New"/>
    <w:autoRedefine/>
    <w:qFormat/>
    <w:uiPriority w:val="99"/>
    <w:pPr>
      <w:widowControl w:val="0"/>
      <w:spacing w:beforeLines="50" w:afterLines="50" w:line="360" w:lineRule="auto"/>
      <w:jc w:val="both"/>
    </w:pPr>
    <w:rPr>
      <w:rFonts w:ascii="Calibri" w:hAnsi="Calibri" w:eastAsia="宋体" w:cs="Times New Roman"/>
      <w:kern w:val="2"/>
      <w:sz w:val="24"/>
      <w:szCs w:val="22"/>
      <w:lang w:val="en-US" w:eastAsia="zh-CN" w:bidi="ar-SA"/>
    </w:rPr>
  </w:style>
  <w:style w:type="paragraph" w:customStyle="1" w:styleId="910">
    <w:name w:val="List Paragraph1"/>
    <w:basedOn w:val="1"/>
    <w:autoRedefine/>
    <w:qFormat/>
    <w:uiPriority w:val="99"/>
    <w:pPr>
      <w:ind w:firstLine="200" w:firstLineChars="200"/>
    </w:pPr>
    <w:rPr>
      <w:rFonts w:ascii="Calibri" w:hAnsi="Calibri"/>
      <w:szCs w:val="22"/>
    </w:rPr>
  </w:style>
  <w:style w:type="paragraph" w:customStyle="1" w:styleId="911">
    <w:name w:val="默认段落字体 Para Char Char Char Char Char Char Char Char Char Char"/>
    <w:basedOn w:val="1"/>
    <w:autoRedefine/>
    <w:qFormat/>
    <w:uiPriority w:val="0"/>
    <w:pPr>
      <w:adjustRightInd w:val="0"/>
      <w:ind w:firstLine="0"/>
    </w:pPr>
    <w:rPr>
      <w:kern w:val="0"/>
      <w:szCs w:val="20"/>
    </w:rPr>
  </w:style>
  <w:style w:type="paragraph" w:customStyle="1" w:styleId="912">
    <w:name w:val="Table Paragraph"/>
    <w:basedOn w:val="1"/>
    <w:autoRedefine/>
    <w:qFormat/>
    <w:uiPriority w:val="1"/>
    <w:pPr>
      <w:autoSpaceDE w:val="0"/>
      <w:autoSpaceDN w:val="0"/>
      <w:spacing w:line="240" w:lineRule="auto"/>
      <w:ind w:firstLine="0"/>
      <w:jc w:val="left"/>
    </w:pPr>
    <w:rPr>
      <w:rFonts w:ascii="Noto Sans Mono CJK JP Regular" w:hAnsi="Noto Sans Mono CJK JP Regular" w:eastAsia="Noto Sans Mono CJK JP Regular" w:cs="Noto Sans Mono CJK JP Regular"/>
      <w:kern w:val="0"/>
      <w:sz w:val="22"/>
      <w:szCs w:val="22"/>
      <w:lang w:eastAsia="en-US"/>
    </w:rPr>
  </w:style>
  <w:style w:type="paragraph" w:customStyle="1" w:styleId="913">
    <w:name w:val="正文小四首缩1.3行距"/>
    <w:basedOn w:val="1"/>
    <w:link w:val="914"/>
    <w:autoRedefine/>
    <w:qFormat/>
    <w:uiPriority w:val="0"/>
    <w:pPr>
      <w:spacing w:line="312" w:lineRule="auto"/>
      <w:ind w:firstLine="200" w:firstLineChars="200"/>
    </w:pPr>
  </w:style>
  <w:style w:type="character" w:customStyle="1" w:styleId="914">
    <w:name w:val="正文小四首缩1.3行距 Char"/>
    <w:link w:val="913"/>
    <w:autoRedefine/>
    <w:qFormat/>
    <w:uiPriority w:val="0"/>
    <w:rPr>
      <w:rFonts w:ascii="Times New Roman" w:hAnsi="Times New Roman" w:eastAsia="宋体" w:cs="Times New Roman"/>
      <w:kern w:val="2"/>
      <w:sz w:val="24"/>
      <w:szCs w:val="24"/>
    </w:rPr>
  </w:style>
  <w:style w:type="character" w:customStyle="1" w:styleId="915">
    <w:name w:val="明显引用 Char"/>
    <w:link w:val="916"/>
    <w:autoRedefine/>
    <w:qFormat/>
    <w:uiPriority w:val="30"/>
    <w:rPr>
      <w:b/>
      <w:i/>
      <w:kern w:val="2"/>
      <w:sz w:val="24"/>
      <w:szCs w:val="24"/>
    </w:rPr>
  </w:style>
  <w:style w:type="paragraph" w:customStyle="1" w:styleId="916">
    <w:name w:val="明显引用1"/>
    <w:basedOn w:val="1"/>
    <w:next w:val="1"/>
    <w:link w:val="915"/>
    <w:autoRedefine/>
    <w:qFormat/>
    <w:uiPriority w:val="30"/>
    <w:pPr>
      <w:ind w:left="720" w:right="720" w:firstLine="200" w:firstLineChars="200"/>
    </w:pPr>
    <w:rPr>
      <w:rFonts w:asciiTheme="minorHAnsi" w:hAnsiTheme="minorHAnsi" w:eastAsiaTheme="minorEastAsia" w:cstheme="minorBidi"/>
      <w:b/>
      <w:i/>
    </w:rPr>
  </w:style>
  <w:style w:type="character" w:customStyle="1" w:styleId="917">
    <w:name w:val="表格文字 Char Char Char"/>
    <w:autoRedefine/>
    <w:qFormat/>
    <w:uiPriority w:val="0"/>
    <w:rPr>
      <w:rFonts w:ascii="Calibri" w:hAnsi="Calibri" w:eastAsia="宋体"/>
      <w:sz w:val="24"/>
      <w:szCs w:val="24"/>
    </w:rPr>
  </w:style>
  <w:style w:type="character" w:customStyle="1" w:styleId="918">
    <w:name w:val="标题2"/>
    <w:basedOn w:val="102"/>
    <w:autoRedefine/>
    <w:qFormat/>
    <w:uiPriority w:val="0"/>
  </w:style>
  <w:style w:type="character" w:customStyle="1" w:styleId="919">
    <w:name w:val="明显强调1"/>
    <w:autoRedefine/>
    <w:qFormat/>
    <w:uiPriority w:val="21"/>
    <w:rPr>
      <w:b/>
      <w:i/>
      <w:sz w:val="24"/>
      <w:szCs w:val="24"/>
      <w:u w:val="single"/>
    </w:rPr>
  </w:style>
  <w:style w:type="character" w:customStyle="1" w:styleId="920">
    <w:name w:val="不明显参考1"/>
    <w:autoRedefine/>
    <w:qFormat/>
    <w:uiPriority w:val="31"/>
    <w:rPr>
      <w:sz w:val="24"/>
      <w:szCs w:val="24"/>
      <w:u w:val="single"/>
    </w:rPr>
  </w:style>
  <w:style w:type="character" w:customStyle="1" w:styleId="921">
    <w:name w:val="书籍标题1"/>
    <w:autoRedefine/>
    <w:qFormat/>
    <w:uiPriority w:val="33"/>
    <w:rPr>
      <w:rFonts w:ascii="Cambria" w:hAnsi="Cambria" w:eastAsia="宋体"/>
      <w:b/>
      <w:i/>
      <w:sz w:val="24"/>
      <w:szCs w:val="24"/>
    </w:rPr>
  </w:style>
  <w:style w:type="character" w:customStyle="1" w:styleId="922">
    <w:name w:val="正文内容 Char"/>
    <w:link w:val="923"/>
    <w:autoRedefine/>
    <w:qFormat/>
    <w:uiPriority w:val="0"/>
    <w:rPr>
      <w:rFonts w:hAnsi="宋体"/>
      <w:color w:val="000000"/>
      <w:kern w:val="2"/>
      <w:sz w:val="24"/>
      <w:szCs w:val="24"/>
    </w:rPr>
  </w:style>
  <w:style w:type="paragraph" w:customStyle="1" w:styleId="923">
    <w:name w:val="正文内容"/>
    <w:basedOn w:val="1"/>
    <w:link w:val="922"/>
    <w:autoRedefine/>
    <w:qFormat/>
    <w:uiPriority w:val="0"/>
    <w:pPr>
      <w:spacing w:line="440" w:lineRule="exact"/>
      <w:ind w:firstLine="480" w:firstLineChars="200"/>
    </w:pPr>
    <w:rPr>
      <w:rFonts w:hAnsi="宋体" w:asciiTheme="minorHAnsi" w:eastAsiaTheme="minorEastAsia" w:cstheme="minorBidi"/>
      <w:color w:val="000000"/>
    </w:rPr>
  </w:style>
  <w:style w:type="character" w:customStyle="1" w:styleId="924">
    <w:name w:val="不明显强调1"/>
    <w:autoRedefine/>
    <w:qFormat/>
    <w:uiPriority w:val="19"/>
    <w:rPr>
      <w:i/>
      <w:color w:val="5A5A5A"/>
    </w:rPr>
  </w:style>
  <w:style w:type="character" w:customStyle="1" w:styleId="925">
    <w:name w:val="明显参考1"/>
    <w:autoRedefine/>
    <w:qFormat/>
    <w:uiPriority w:val="32"/>
    <w:rPr>
      <w:b/>
      <w:sz w:val="24"/>
      <w:u w:val="single"/>
    </w:rPr>
  </w:style>
  <w:style w:type="character" w:customStyle="1" w:styleId="926">
    <w:name w:val="引用 Char"/>
    <w:link w:val="927"/>
    <w:autoRedefine/>
    <w:qFormat/>
    <w:uiPriority w:val="29"/>
    <w:rPr>
      <w:i/>
      <w:kern w:val="2"/>
      <w:sz w:val="24"/>
      <w:szCs w:val="24"/>
    </w:rPr>
  </w:style>
  <w:style w:type="paragraph" w:customStyle="1" w:styleId="927">
    <w:name w:val="引用1"/>
    <w:basedOn w:val="1"/>
    <w:next w:val="1"/>
    <w:link w:val="926"/>
    <w:autoRedefine/>
    <w:qFormat/>
    <w:uiPriority w:val="29"/>
    <w:pPr>
      <w:ind w:firstLine="200" w:firstLineChars="200"/>
    </w:pPr>
    <w:rPr>
      <w:rFonts w:asciiTheme="minorHAnsi" w:hAnsiTheme="minorHAnsi" w:eastAsiaTheme="minorEastAsia" w:cstheme="minorBidi"/>
      <w:i/>
    </w:rPr>
  </w:style>
  <w:style w:type="character" w:customStyle="1" w:styleId="928">
    <w:name w:val="引用 Char1"/>
    <w:basedOn w:val="102"/>
    <w:autoRedefine/>
    <w:semiHidden/>
    <w:qFormat/>
    <w:uiPriority w:val="99"/>
    <w:rPr>
      <w:rFonts w:asciiTheme="minorHAnsi" w:hAnsiTheme="minorHAnsi" w:eastAsiaTheme="minorEastAsia" w:cstheme="minorBidi"/>
      <w:i/>
      <w:iCs/>
      <w:color w:val="000000" w:themeColor="text1"/>
      <w:kern w:val="2"/>
      <w:sz w:val="21"/>
      <w:szCs w:val="24"/>
      <w14:textFill>
        <w14:solidFill>
          <w14:schemeClr w14:val="tx1"/>
        </w14:solidFill>
      </w14:textFill>
    </w:rPr>
  </w:style>
  <w:style w:type="paragraph" w:customStyle="1" w:styleId="929">
    <w:name w:val="无间隔3"/>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930">
    <w:name w:val="标题-表"/>
    <w:basedOn w:val="1"/>
    <w:autoRedefine/>
    <w:qFormat/>
    <w:uiPriority w:val="0"/>
    <w:pPr>
      <w:spacing w:before="240" w:after="120"/>
      <w:ind w:firstLine="200" w:firstLineChars="200"/>
      <w:jc w:val="center"/>
    </w:pPr>
    <w:rPr>
      <w:b/>
    </w:rPr>
  </w:style>
  <w:style w:type="paragraph" w:customStyle="1" w:styleId="931">
    <w:name w:val="TOC 标题3"/>
    <w:basedOn w:val="3"/>
    <w:next w:val="1"/>
    <w:autoRedefine/>
    <w:qFormat/>
    <w:uiPriority w:val="39"/>
    <w:pPr>
      <w:widowControl/>
      <w:spacing w:before="480" w:line="276" w:lineRule="auto"/>
      <w:textAlignment w:val="auto"/>
      <w:outlineLvl w:val="9"/>
    </w:pPr>
    <w:rPr>
      <w:rFonts w:ascii="Cambria" w:hAnsi="Cambria" w:eastAsia="宋体"/>
      <w:b/>
      <w:color w:val="365F91"/>
      <w:kern w:val="0"/>
      <w:sz w:val="28"/>
      <w:szCs w:val="28"/>
    </w:rPr>
  </w:style>
  <w:style w:type="paragraph" w:customStyle="1" w:styleId="932">
    <w:name w:val="列出段落4"/>
    <w:basedOn w:val="1"/>
    <w:autoRedefine/>
    <w:qFormat/>
    <w:uiPriority w:val="0"/>
    <w:pPr>
      <w:spacing w:line="240" w:lineRule="auto"/>
      <w:ind w:firstLine="200" w:firstLineChars="200"/>
    </w:pPr>
    <w:rPr>
      <w:rFonts w:ascii="Calibri" w:hAnsi="Calibri"/>
      <w:sz w:val="21"/>
      <w:szCs w:val="22"/>
    </w:rPr>
  </w:style>
  <w:style w:type="character" w:customStyle="1" w:styleId="933">
    <w:name w:val="明显引用 Char1"/>
    <w:basedOn w:val="102"/>
    <w:autoRedefine/>
    <w:semiHidden/>
    <w:qFormat/>
    <w:uiPriority w:val="99"/>
    <w:rPr>
      <w:rFonts w:asciiTheme="minorHAnsi" w:hAnsiTheme="minorHAnsi" w:eastAsiaTheme="minorEastAsia" w:cstheme="minorBidi"/>
      <w:b/>
      <w:bCs/>
      <w:i/>
      <w:iCs/>
      <w:color w:val="4F81BD" w:themeColor="accent1"/>
      <w:kern w:val="2"/>
      <w:sz w:val="21"/>
      <w:szCs w:val="24"/>
      <w14:textFill>
        <w14:solidFill>
          <w14:schemeClr w14:val="accent1"/>
        </w14:solidFill>
      </w14:textFill>
    </w:rPr>
  </w:style>
  <w:style w:type="character" w:customStyle="1" w:styleId="934">
    <w:name w:val="环评正文 Char"/>
    <w:basedOn w:val="102"/>
    <w:link w:val="729"/>
    <w:autoRedefine/>
    <w:qFormat/>
    <w:uiPriority w:val="0"/>
    <w:rPr>
      <w:rFonts w:ascii="Times New Roman" w:hAnsi="Times New Roman" w:eastAsia="宋体" w:cs="Times New Roman"/>
      <w:kern w:val="2"/>
      <w:sz w:val="24"/>
      <w:szCs w:val="24"/>
    </w:rPr>
  </w:style>
  <w:style w:type="paragraph" w:customStyle="1" w:styleId="935">
    <w:name w:val="p3"/>
    <w:basedOn w:val="1"/>
    <w:autoRedefine/>
    <w:qFormat/>
    <w:uiPriority w:val="0"/>
    <w:pPr>
      <w:spacing w:line="240" w:lineRule="auto"/>
      <w:ind w:firstLine="0"/>
      <w:jc w:val="left"/>
    </w:pPr>
    <w:rPr>
      <w:rFonts w:eastAsiaTheme="minorEastAsia"/>
      <w:kern w:val="0"/>
      <w:sz w:val="23"/>
      <w:szCs w:val="23"/>
    </w:rPr>
  </w:style>
  <w:style w:type="character" w:customStyle="1" w:styleId="936">
    <w:name w:val="s3"/>
    <w:basedOn w:val="102"/>
    <w:autoRedefine/>
    <w:qFormat/>
    <w:uiPriority w:val="0"/>
    <w:rPr>
      <w:rFonts w:ascii="Helvetica" w:hAnsi="Helvetica" w:eastAsia="Helvetica" w:cs="Helvetica"/>
      <w:sz w:val="17"/>
      <w:szCs w:val="17"/>
    </w:rPr>
  </w:style>
  <w:style w:type="character" w:customStyle="1" w:styleId="937">
    <w:name w:val="s1"/>
    <w:basedOn w:val="102"/>
    <w:autoRedefine/>
    <w:qFormat/>
    <w:uiPriority w:val="0"/>
    <w:rPr>
      <w:rFonts w:hint="default" w:ascii="Times New Roman" w:hAnsi="Times New Roman" w:cs="Times New Roman"/>
      <w:sz w:val="23"/>
      <w:szCs w:val="23"/>
    </w:rPr>
  </w:style>
  <w:style w:type="paragraph" w:customStyle="1" w:styleId="938">
    <w:name w:val="p1"/>
    <w:basedOn w:val="1"/>
    <w:autoRedefine/>
    <w:qFormat/>
    <w:uiPriority w:val="0"/>
    <w:pPr>
      <w:spacing w:line="240" w:lineRule="auto"/>
      <w:ind w:firstLine="0"/>
      <w:jc w:val="left"/>
    </w:pPr>
    <w:rPr>
      <w:rFonts w:ascii="Helvetica" w:hAnsi="Helvetica" w:eastAsia="Helvetica"/>
      <w:kern w:val="0"/>
      <w:sz w:val="17"/>
      <w:szCs w:val="17"/>
    </w:rPr>
  </w:style>
  <w:style w:type="paragraph" w:customStyle="1" w:styleId="939">
    <w:name w:val="p2"/>
    <w:basedOn w:val="1"/>
    <w:autoRedefine/>
    <w:qFormat/>
    <w:uiPriority w:val="0"/>
    <w:pPr>
      <w:spacing w:line="240" w:lineRule="auto"/>
      <w:ind w:firstLine="0"/>
      <w:jc w:val="left"/>
    </w:pPr>
    <w:rPr>
      <w:rFonts w:ascii="Helvetica" w:hAnsi="Helvetica" w:eastAsia="Helvetica"/>
      <w:kern w:val="0"/>
      <w:sz w:val="23"/>
      <w:szCs w:val="23"/>
    </w:rPr>
  </w:style>
  <w:style w:type="character" w:customStyle="1" w:styleId="940">
    <w:name w:val="s2"/>
    <w:basedOn w:val="102"/>
    <w:autoRedefine/>
    <w:qFormat/>
    <w:uiPriority w:val="0"/>
    <w:rPr>
      <w:rFonts w:hint="default" w:ascii="Helvetica" w:hAnsi="Helvetica" w:eastAsia="Helvetica" w:cs="Helvetica"/>
      <w:sz w:val="23"/>
      <w:szCs w:val="23"/>
    </w:rPr>
  </w:style>
  <w:style w:type="paragraph" w:customStyle="1" w:styleId="941">
    <w:name w:val="列出段落5"/>
    <w:basedOn w:val="1"/>
    <w:autoRedefine/>
    <w:qFormat/>
    <w:uiPriority w:val="34"/>
    <w:pPr>
      <w:spacing w:line="240" w:lineRule="auto"/>
      <w:ind w:firstLine="200" w:firstLineChars="200"/>
    </w:pPr>
    <w:rPr>
      <w:rFonts w:asciiTheme="minorHAnsi" w:hAnsiTheme="minorHAnsi" w:eastAsiaTheme="minorEastAsia" w:cstheme="minorBidi"/>
      <w:sz w:val="21"/>
    </w:rPr>
  </w:style>
  <w:style w:type="paragraph" w:customStyle="1" w:styleId="942">
    <w:name w:val="明显引用2"/>
    <w:basedOn w:val="1"/>
    <w:next w:val="1"/>
    <w:autoRedefine/>
    <w:qFormat/>
    <w:uiPriority w:val="30"/>
    <w:pPr>
      <w:ind w:left="720" w:right="720" w:firstLine="200" w:firstLineChars="200"/>
    </w:pPr>
    <w:rPr>
      <w:b/>
      <w:i/>
    </w:rPr>
  </w:style>
  <w:style w:type="character" w:customStyle="1" w:styleId="943">
    <w:name w:val="明显引用 Char2"/>
    <w:basedOn w:val="102"/>
    <w:autoRedefine/>
    <w:semiHidden/>
    <w:qFormat/>
    <w:uiPriority w:val="99"/>
    <w:rPr>
      <w:rFonts w:asciiTheme="minorHAnsi" w:hAnsiTheme="minorHAnsi" w:eastAsiaTheme="minorEastAsia" w:cstheme="minorBidi"/>
      <w:b/>
      <w:bCs/>
      <w:i/>
      <w:iCs/>
      <w:color w:val="4F81BD" w:themeColor="accent1"/>
      <w:kern w:val="2"/>
      <w:sz w:val="21"/>
      <w:szCs w:val="24"/>
      <w14:textFill>
        <w14:solidFill>
          <w14:schemeClr w14:val="accent1"/>
        </w14:solidFill>
      </w14:textFill>
    </w:rPr>
  </w:style>
  <w:style w:type="paragraph" w:customStyle="1" w:styleId="944">
    <w:name w:val="引用2"/>
    <w:basedOn w:val="1"/>
    <w:next w:val="1"/>
    <w:autoRedefine/>
    <w:qFormat/>
    <w:uiPriority w:val="29"/>
    <w:pPr>
      <w:ind w:firstLine="200" w:firstLineChars="200"/>
    </w:pPr>
    <w:rPr>
      <w:i/>
    </w:rPr>
  </w:style>
  <w:style w:type="character" w:customStyle="1" w:styleId="945">
    <w:name w:val="引用 Char2"/>
    <w:basedOn w:val="102"/>
    <w:autoRedefine/>
    <w:semiHidden/>
    <w:qFormat/>
    <w:uiPriority w:val="99"/>
    <w:rPr>
      <w:rFonts w:asciiTheme="minorHAnsi" w:hAnsiTheme="minorHAnsi" w:eastAsiaTheme="minorEastAsia" w:cstheme="minorBidi"/>
      <w:i/>
      <w:iCs/>
      <w:color w:val="000000" w:themeColor="text1"/>
      <w:kern w:val="2"/>
      <w:sz w:val="21"/>
      <w:szCs w:val="24"/>
      <w14:textFill>
        <w14:solidFill>
          <w14:schemeClr w14:val="tx1"/>
        </w14:solidFill>
      </w14:textFill>
    </w:rPr>
  </w:style>
  <w:style w:type="paragraph" w:customStyle="1" w:styleId="946">
    <w:name w:val="无间隔4"/>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947">
    <w:name w:val="列出段落6"/>
    <w:basedOn w:val="1"/>
    <w:autoRedefine/>
    <w:qFormat/>
    <w:uiPriority w:val="0"/>
    <w:pPr>
      <w:spacing w:line="240" w:lineRule="auto"/>
      <w:ind w:firstLine="200" w:firstLineChars="200"/>
    </w:pPr>
    <w:rPr>
      <w:rFonts w:ascii="Calibri" w:hAnsi="Calibri"/>
      <w:sz w:val="21"/>
      <w:szCs w:val="22"/>
    </w:rPr>
  </w:style>
  <w:style w:type="character" w:customStyle="1" w:styleId="948">
    <w:name w:val="表内容 Char"/>
    <w:link w:val="744"/>
    <w:autoRedefine/>
    <w:qFormat/>
    <w:uiPriority w:val="0"/>
    <w:rPr>
      <w:rFonts w:ascii="Times New Roman" w:hAnsi="Times New Roman" w:eastAsia="宋体" w:cs="Times New Roman"/>
    </w:rPr>
  </w:style>
  <w:style w:type="paragraph" w:customStyle="1" w:styleId="949">
    <w:name w:val="正1211"/>
    <w:basedOn w:val="1"/>
    <w:autoRedefine/>
    <w:qFormat/>
    <w:uiPriority w:val="0"/>
    <w:pPr>
      <w:adjustRightInd w:val="0"/>
      <w:spacing w:line="400" w:lineRule="exact"/>
      <w:ind w:firstLine="200" w:firstLineChars="200"/>
      <w:textAlignment w:val="baseline"/>
    </w:pPr>
    <w:rPr>
      <w:snapToGrid w:val="0"/>
      <w:spacing w:val="6"/>
      <w:kern w:val="0"/>
      <w:szCs w:val="20"/>
    </w:rPr>
  </w:style>
  <w:style w:type="paragraph" w:customStyle="1" w:styleId="950">
    <w:name w:val="表格文字2"/>
    <w:basedOn w:val="141"/>
    <w:autoRedefine/>
    <w:qFormat/>
    <w:uiPriority w:val="0"/>
    <w:pPr>
      <w:adjustRightInd/>
      <w:spacing w:line="360" w:lineRule="atLeast"/>
    </w:pPr>
    <w:rPr>
      <w:rFonts w:hAnsi="Times New Roman" w:cs="宋体"/>
      <w:color w:val="auto"/>
      <w:kern w:val="2"/>
      <w:sz w:val="21"/>
      <w:szCs w:val="24"/>
      <w:lang w:bidi="ar-SA"/>
    </w:rPr>
  </w:style>
  <w:style w:type="paragraph" w:customStyle="1" w:styleId="951">
    <w:name w:val="Char Char Char Char Char"/>
    <w:basedOn w:val="1"/>
    <w:autoRedefine/>
    <w:qFormat/>
    <w:uiPriority w:val="0"/>
    <w:pPr>
      <w:spacing w:line="240" w:lineRule="auto"/>
      <w:ind w:firstLine="0"/>
    </w:pPr>
    <w:rPr>
      <w:sz w:val="21"/>
    </w:rPr>
  </w:style>
  <w:style w:type="paragraph" w:customStyle="1" w:styleId="952">
    <w:name w:val="默认段落字体 Para Char Char Char Char"/>
    <w:basedOn w:val="1"/>
    <w:autoRedefine/>
    <w:qFormat/>
    <w:uiPriority w:val="0"/>
    <w:pPr>
      <w:spacing w:line="240" w:lineRule="auto"/>
      <w:ind w:firstLine="0"/>
    </w:pPr>
    <w:rPr>
      <w:sz w:val="21"/>
    </w:rPr>
  </w:style>
  <w:style w:type="paragraph" w:customStyle="1" w:styleId="953">
    <w:name w:val="Char5"/>
    <w:basedOn w:val="1"/>
    <w:autoRedefine/>
    <w:qFormat/>
    <w:uiPriority w:val="0"/>
    <w:pPr>
      <w:spacing w:line="240" w:lineRule="auto"/>
      <w:ind w:firstLine="0"/>
    </w:pPr>
    <w:rPr>
      <w:sz w:val="30"/>
    </w:rPr>
  </w:style>
  <w:style w:type="paragraph" w:customStyle="1" w:styleId="954">
    <w:name w:val="样式 标题 3条标题1.1.13h33rd levelH3l3CT标题 3 Char Char三级标题标题3..."/>
    <w:basedOn w:val="5"/>
    <w:autoRedefine/>
    <w:qFormat/>
    <w:uiPriority w:val="0"/>
    <w:pPr>
      <w:keepNext/>
      <w:keepLines/>
      <w:spacing w:before="40" w:after="40" w:line="480" w:lineRule="exact"/>
      <w:ind w:firstLine="482"/>
      <w:jc w:val="both"/>
    </w:pPr>
    <w:rPr>
      <w:rFonts w:eastAsia="宋体" w:cs="宋体"/>
      <w:b/>
      <w:bCs/>
      <w:sz w:val="28"/>
      <w:szCs w:val="20"/>
    </w:rPr>
  </w:style>
  <w:style w:type="paragraph" w:customStyle="1" w:styleId="955">
    <w:name w:val="样式 标题 3标题 3 Char Char条标题1.1.13h33rd levelH3l3CT三级标题标题3..."/>
    <w:basedOn w:val="5"/>
    <w:autoRedefine/>
    <w:qFormat/>
    <w:uiPriority w:val="0"/>
    <w:pPr>
      <w:keepNext/>
      <w:keepLines/>
      <w:spacing w:before="40" w:after="40" w:line="480" w:lineRule="exact"/>
      <w:ind w:firstLine="561"/>
      <w:jc w:val="both"/>
    </w:pPr>
    <w:rPr>
      <w:rFonts w:eastAsia="宋体" w:cs="宋体"/>
      <w:b/>
      <w:bCs/>
      <w:sz w:val="28"/>
      <w:szCs w:val="20"/>
    </w:rPr>
  </w:style>
  <w:style w:type="paragraph" w:customStyle="1" w:styleId="956">
    <w:name w:val="样式 标题 2节标题 1.11.1标题2b21.1标题 22nd levelh22Header 2Headin..."/>
    <w:basedOn w:val="4"/>
    <w:autoRedefine/>
    <w:qFormat/>
    <w:uiPriority w:val="0"/>
    <w:pPr>
      <w:tabs>
        <w:tab w:val="left" w:pos="5880"/>
      </w:tabs>
      <w:snapToGrid w:val="0"/>
      <w:spacing w:before="80" w:after="80" w:line="480" w:lineRule="exact"/>
      <w:ind w:firstLine="482"/>
      <w:textAlignment w:val="auto"/>
    </w:pPr>
    <w:rPr>
      <w:rFonts w:ascii="宋体" w:hAnsi="宋体" w:eastAsia="宋体"/>
      <w:b/>
      <w:bCs/>
      <w:snapToGrid w:val="0"/>
      <w:kern w:val="30"/>
      <w:sz w:val="30"/>
      <w:lang w:bidi="ar-SA"/>
    </w:rPr>
  </w:style>
  <w:style w:type="character" w:customStyle="1" w:styleId="957">
    <w:name w:val="徐-正文 Char"/>
    <w:link w:val="958"/>
    <w:autoRedefine/>
    <w:qFormat/>
    <w:uiPriority w:val="0"/>
    <w:rPr>
      <w:kern w:val="2"/>
      <w:sz w:val="24"/>
    </w:rPr>
  </w:style>
  <w:style w:type="paragraph" w:customStyle="1" w:styleId="958">
    <w:name w:val="徐-正文"/>
    <w:basedOn w:val="1"/>
    <w:link w:val="957"/>
    <w:autoRedefine/>
    <w:qFormat/>
    <w:uiPriority w:val="0"/>
    <w:pPr>
      <w:snapToGrid w:val="0"/>
      <w:ind w:firstLine="200" w:firstLineChars="200"/>
      <w:textAlignment w:val="baseline"/>
    </w:pPr>
    <w:rPr>
      <w:rFonts w:asciiTheme="minorHAnsi" w:hAnsiTheme="minorHAnsi" w:eastAsiaTheme="minorEastAsia" w:cstheme="minorBidi"/>
      <w:szCs w:val="20"/>
    </w:rPr>
  </w:style>
  <w:style w:type="paragraph" w:customStyle="1" w:styleId="959">
    <w:name w:val="样式 正文缩进正文缩进 Char正文缩进1 Char正文缩进1正文（首行缩进两字） Char正文缩进 Char Cha..."/>
    <w:basedOn w:val="21"/>
    <w:autoRedefine/>
    <w:semiHidden/>
    <w:qFormat/>
    <w:uiPriority w:val="0"/>
    <w:pPr>
      <w:spacing w:before="156" w:beforeLines="50"/>
      <w:ind w:firstLine="567" w:firstLineChars="0"/>
      <w:jc w:val="left"/>
    </w:pPr>
    <w:rPr>
      <w:szCs w:val="20"/>
    </w:rPr>
  </w:style>
  <w:style w:type="paragraph" w:customStyle="1" w:styleId="960">
    <w:name w:val="正文文字"/>
    <w:basedOn w:val="1"/>
    <w:autoRedefine/>
    <w:semiHidden/>
    <w:qFormat/>
    <w:uiPriority w:val="0"/>
    <w:pPr>
      <w:widowControl/>
      <w:spacing w:after="200"/>
      <w:ind w:left="539" w:firstLine="200" w:firstLineChars="200"/>
      <w:jc w:val="left"/>
    </w:pPr>
    <w:rPr>
      <w:rFonts w:ascii="Arial" w:hAnsi="宋体" w:cs="Arial"/>
      <w:kern w:val="0"/>
      <w:szCs w:val="22"/>
      <w:lang w:bidi="en-US"/>
    </w:rPr>
  </w:style>
  <w:style w:type="paragraph" w:customStyle="1" w:styleId="961">
    <w:name w:val="文本"/>
    <w:basedOn w:val="1"/>
    <w:autoRedefine/>
    <w:semiHidden/>
    <w:qFormat/>
    <w:uiPriority w:val="0"/>
    <w:pPr>
      <w:ind w:firstLine="480" w:firstLineChars="200"/>
    </w:pPr>
    <w:rPr>
      <w:rFonts w:cs="宋体"/>
    </w:rPr>
  </w:style>
  <w:style w:type="paragraph" w:customStyle="1" w:styleId="962">
    <w:name w:val="Char Char Char Char4"/>
    <w:basedOn w:val="1"/>
    <w:autoRedefine/>
    <w:qFormat/>
    <w:uiPriority w:val="0"/>
    <w:pPr>
      <w:spacing w:line="240" w:lineRule="auto"/>
      <w:ind w:firstLine="0"/>
    </w:pPr>
    <w:rPr>
      <w:sz w:val="21"/>
    </w:rPr>
  </w:style>
  <w:style w:type="paragraph" w:customStyle="1" w:styleId="963">
    <w:name w:val="正文 首行缩进:  2 字符"/>
    <w:basedOn w:val="1"/>
    <w:link w:val="964"/>
    <w:autoRedefine/>
    <w:qFormat/>
    <w:uiPriority w:val="0"/>
    <w:pPr>
      <w:ind w:firstLine="480" w:firstLineChars="200"/>
    </w:pPr>
    <w:rPr>
      <w:rFonts w:cs="宋体"/>
      <w:szCs w:val="20"/>
    </w:rPr>
  </w:style>
  <w:style w:type="character" w:customStyle="1" w:styleId="964">
    <w:name w:val="正文 首行缩进:  2 字符 Char"/>
    <w:link w:val="963"/>
    <w:autoRedefine/>
    <w:qFormat/>
    <w:uiPriority w:val="0"/>
    <w:rPr>
      <w:rFonts w:ascii="Times New Roman" w:hAnsi="Times New Roman" w:eastAsia="宋体" w:cs="宋体"/>
      <w:kern w:val="2"/>
      <w:sz w:val="24"/>
    </w:rPr>
  </w:style>
  <w:style w:type="paragraph" w:customStyle="1" w:styleId="965">
    <w:name w:val="Char Char Char4"/>
    <w:basedOn w:val="1"/>
    <w:next w:val="1"/>
    <w:autoRedefine/>
    <w:qFormat/>
    <w:uiPriority w:val="0"/>
    <w:pPr>
      <w:spacing w:line="240" w:lineRule="auto"/>
      <w:ind w:firstLine="0"/>
    </w:pPr>
    <w:rPr>
      <w:sz w:val="21"/>
    </w:rPr>
  </w:style>
  <w:style w:type="character" w:customStyle="1" w:styleId="966">
    <w:name w:val="yyp Char Char"/>
    <w:link w:val="967"/>
    <w:autoRedefine/>
    <w:qFormat/>
    <w:uiPriority w:val="0"/>
    <w:rPr>
      <w:rFonts w:cs="Mangal"/>
      <w:sz w:val="24"/>
      <w:lang w:bidi="hi-IN"/>
    </w:rPr>
  </w:style>
  <w:style w:type="paragraph" w:customStyle="1" w:styleId="967">
    <w:name w:val="yyp"/>
    <w:basedOn w:val="1"/>
    <w:link w:val="966"/>
    <w:autoRedefine/>
    <w:qFormat/>
    <w:uiPriority w:val="0"/>
    <w:pPr>
      <w:spacing w:after="120"/>
      <w:ind w:firstLine="480" w:firstLineChars="200"/>
    </w:pPr>
    <w:rPr>
      <w:rFonts w:cs="Mangal" w:asciiTheme="minorHAnsi" w:hAnsiTheme="minorHAnsi" w:eastAsiaTheme="minorEastAsia"/>
      <w:kern w:val="0"/>
      <w:szCs w:val="20"/>
      <w:lang w:bidi="hi-IN"/>
    </w:rPr>
  </w:style>
  <w:style w:type="paragraph" w:customStyle="1" w:styleId="968">
    <w:name w:val="1"/>
    <w:basedOn w:val="1"/>
    <w:autoRedefine/>
    <w:qFormat/>
    <w:uiPriority w:val="0"/>
    <w:pPr>
      <w:ind w:firstLine="200" w:firstLineChars="200"/>
    </w:pPr>
    <w:rPr>
      <w:rFonts w:ascii="宋体" w:hAnsi="宋体" w:cs="宋体"/>
    </w:rPr>
  </w:style>
  <w:style w:type="paragraph" w:customStyle="1" w:styleId="969">
    <w:name w:val="Char Char Char1 Char Char Char Char"/>
    <w:basedOn w:val="1"/>
    <w:autoRedefine/>
    <w:qFormat/>
    <w:uiPriority w:val="0"/>
    <w:pPr>
      <w:ind w:firstLine="200" w:firstLineChars="200"/>
    </w:pPr>
    <w:rPr>
      <w:sz w:val="21"/>
    </w:rPr>
  </w:style>
  <w:style w:type="paragraph" w:customStyle="1" w:styleId="970">
    <w:name w:val="普通表格1"/>
    <w:basedOn w:val="45"/>
    <w:autoRedefine/>
    <w:qFormat/>
    <w:uiPriority w:val="0"/>
    <w:pPr>
      <w:snapToGrid w:val="0"/>
      <w:spacing w:line="380" w:lineRule="exact"/>
      <w:ind w:firstLine="567"/>
    </w:pPr>
    <w:rPr>
      <w:rFonts w:ascii="Times New Roman" w:hAnsi="Times New Roman"/>
      <w:sz w:val="24"/>
      <w:szCs w:val="24"/>
    </w:rPr>
  </w:style>
  <w:style w:type="character" w:customStyle="1" w:styleId="971">
    <w:name w:val="表文字 Char1"/>
    <w:autoRedefine/>
    <w:qFormat/>
    <w:uiPriority w:val="0"/>
    <w:rPr>
      <w:sz w:val="21"/>
      <w:szCs w:val="21"/>
    </w:rPr>
  </w:style>
  <w:style w:type="table" w:customStyle="1" w:styleId="972">
    <w:name w:val="网格型5"/>
    <w:basedOn w:val="88"/>
    <w:autoRedefine/>
    <w:qFormat/>
    <w:uiPriority w:val="39"/>
    <w:rPr>
      <w:rFonts w:ascii="宋体" w:hAnsi="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73">
    <w:name w:val="No Spacing"/>
    <w:next w:val="1"/>
    <w:autoRedefine/>
    <w:qFormat/>
    <w:uiPriority w:val="1"/>
    <w:pPr>
      <w:widowControl w:val="0"/>
      <w:spacing w:line="240" w:lineRule="atLeast"/>
      <w:jc w:val="center"/>
    </w:pPr>
    <w:rPr>
      <w:rFonts w:asciiTheme="minorHAnsi" w:hAnsiTheme="minorHAnsi" w:eastAsiaTheme="minorEastAsia" w:cstheme="minorBidi"/>
      <w:kern w:val="2"/>
      <w:sz w:val="21"/>
      <w:szCs w:val="22"/>
      <w:lang w:val="en-US" w:eastAsia="zh-CN" w:bidi="ar-SA"/>
    </w:rPr>
  </w:style>
  <w:style w:type="character" w:customStyle="1" w:styleId="974">
    <w:name w:val="表格文字-五号 Char Char"/>
    <w:link w:val="975"/>
    <w:autoRedefine/>
    <w:qFormat/>
    <w:locked/>
    <w:uiPriority w:val="0"/>
    <w:rPr>
      <w:rFonts w:ascii="宋体" w:hAnsi="宋体" w:eastAsia="宋体"/>
      <w:color w:val="000000"/>
      <w:szCs w:val="24"/>
    </w:rPr>
  </w:style>
  <w:style w:type="paragraph" w:customStyle="1" w:styleId="975">
    <w:name w:val="表格文字-五号"/>
    <w:basedOn w:val="1"/>
    <w:next w:val="1"/>
    <w:link w:val="974"/>
    <w:autoRedefine/>
    <w:qFormat/>
    <w:uiPriority w:val="0"/>
    <w:pPr>
      <w:widowControl/>
      <w:tabs>
        <w:tab w:val="left" w:pos="2340"/>
      </w:tabs>
      <w:adjustRightInd w:val="0"/>
      <w:snapToGrid w:val="0"/>
      <w:spacing w:line="240" w:lineRule="auto"/>
      <w:ind w:firstLine="0"/>
      <w:jc w:val="center"/>
    </w:pPr>
    <w:rPr>
      <w:rFonts w:ascii="宋体" w:hAnsi="宋体" w:cstheme="minorBidi"/>
      <w:color w:val="000000"/>
      <w:kern w:val="0"/>
      <w:sz w:val="20"/>
    </w:rPr>
  </w:style>
  <w:style w:type="character" w:customStyle="1" w:styleId="976">
    <w:name w:val="我的正文 Char"/>
    <w:link w:val="118"/>
    <w:autoRedefine/>
    <w:qFormat/>
    <w:locked/>
    <w:uiPriority w:val="0"/>
    <w:rPr>
      <w:rFonts w:ascii="Times New Roman" w:hAnsi="Times New Roman" w:eastAsia="宋体" w:cs="Times New Roman"/>
      <w:kern w:val="2"/>
      <w:sz w:val="24"/>
      <w:szCs w:val="24"/>
    </w:rPr>
  </w:style>
  <w:style w:type="paragraph" w:customStyle="1" w:styleId="977">
    <w:name w:val="表格内字体"/>
    <w:basedOn w:val="525"/>
    <w:next w:val="525"/>
    <w:link w:val="978"/>
    <w:autoRedefine/>
    <w:qFormat/>
    <w:uiPriority w:val="0"/>
    <w:pPr>
      <w:spacing w:line="240" w:lineRule="auto"/>
      <w:ind w:firstLine="0"/>
      <w:jc w:val="center"/>
    </w:pPr>
    <w:rPr>
      <w:rFonts w:hAnsi="宋体"/>
      <w:color w:val="FF0000"/>
      <w:sz w:val="21"/>
    </w:rPr>
  </w:style>
  <w:style w:type="character" w:customStyle="1" w:styleId="978">
    <w:name w:val="表格内字体 Char"/>
    <w:link w:val="977"/>
    <w:autoRedefine/>
    <w:qFormat/>
    <w:uiPriority w:val="0"/>
    <w:rPr>
      <w:rFonts w:ascii="宋体" w:hAnsi="宋体" w:eastAsia="宋体" w:cs="Times New Roman"/>
      <w:color w:val="FF0000"/>
      <w:kern w:val="2"/>
      <w:sz w:val="21"/>
      <w:szCs w:val="24"/>
    </w:rPr>
  </w:style>
  <w:style w:type="character" w:customStyle="1" w:styleId="979">
    <w:name w:val="font61"/>
    <w:basedOn w:val="102"/>
    <w:autoRedefine/>
    <w:qFormat/>
    <w:uiPriority w:val="0"/>
    <w:rPr>
      <w:rFonts w:hint="eastAsia" w:ascii="宋体" w:hAnsi="宋体" w:eastAsia="宋体" w:cs="宋体"/>
      <w:color w:val="000000"/>
      <w:sz w:val="22"/>
      <w:szCs w:val="22"/>
      <w:u w:val="none"/>
    </w:rPr>
  </w:style>
  <w:style w:type="table" w:customStyle="1" w:styleId="980">
    <w:name w:val="zhou自定义"/>
    <w:basedOn w:val="89"/>
    <w:autoRedefine/>
    <w:qFormat/>
    <w:uiPriority w:val="0"/>
    <w:pPr>
      <w:spacing w:line="360" w:lineRule="exact"/>
      <w:jc w:val="center"/>
    </w:pPr>
    <w:rPr>
      <w:rFonts w:eastAsia="Times New Roman"/>
      <w:sz w:val="21"/>
    </w:rPr>
  </w:style>
  <w:style w:type="paragraph" w:customStyle="1" w:styleId="981">
    <w:name w:val="excel1"/>
    <w:basedOn w:val="1"/>
    <w:link w:val="982"/>
    <w:autoRedefine/>
    <w:qFormat/>
    <w:uiPriority w:val="0"/>
    <w:pPr>
      <w:widowControl/>
      <w:spacing w:line="240" w:lineRule="auto"/>
      <w:ind w:firstLine="0"/>
      <w:jc w:val="center"/>
    </w:pPr>
    <w:rPr>
      <w:rFonts w:cs="宋体"/>
      <w:kern w:val="0"/>
      <w:sz w:val="21"/>
    </w:rPr>
  </w:style>
  <w:style w:type="character" w:customStyle="1" w:styleId="982">
    <w:name w:val="excel1 字符"/>
    <w:basedOn w:val="102"/>
    <w:link w:val="981"/>
    <w:autoRedefine/>
    <w:qFormat/>
    <w:uiPriority w:val="0"/>
    <w:rPr>
      <w:rFonts w:cs="宋体"/>
      <w:sz w:val="21"/>
      <w:szCs w:val="24"/>
    </w:rPr>
  </w:style>
  <w:style w:type="table" w:customStyle="1" w:styleId="983">
    <w:name w:val="公司格式"/>
    <w:basedOn w:val="88"/>
    <w:autoRedefine/>
    <w:qFormat/>
    <w:uiPriority w:val="99"/>
    <w:pPr>
      <w:adjustRightInd w:val="0"/>
      <w:snapToGrid w:val="0"/>
      <w:spacing w:line="240" w:lineRule="atLeast"/>
      <w:jc w:val="center"/>
    </w:pPr>
    <w:rPr>
      <w:rFonts w:eastAsiaTheme="minorEastAsia" w:cstheme="minorBidi"/>
      <w:kern w:val="2"/>
      <w:sz w:val="21"/>
      <w:szCs w:val="22"/>
    </w:rPr>
    <w:tblPr>
      <w:jc w:val="center"/>
      <w:tblBorders>
        <w:top w:val="single" w:color="auto" w:sz="12" w:space="0"/>
        <w:bottom w:val="single" w:color="auto" w:sz="12" w:space="0"/>
        <w:insideH w:val="single" w:color="auto" w:sz="6" w:space="0"/>
        <w:insideV w:val="single" w:color="auto" w:sz="6" w:space="0"/>
      </w:tblBorders>
    </w:tblPr>
    <w:trPr>
      <w:jc w:val="center"/>
    </w:trPr>
    <w:tcPr>
      <w:tcMar>
        <w:left w:w="57" w:type="dxa"/>
        <w:right w:w="57" w:type="dxa"/>
      </w:tcMar>
      <w:vAlign w:val="center"/>
    </w:tcPr>
  </w:style>
  <w:style w:type="table" w:customStyle="1" w:styleId="984">
    <w:name w:val="TableGrid3"/>
    <w:autoRedefine/>
    <w:qFormat/>
    <w:uiPriority w:val="0"/>
    <w:rPr>
      <w:color w:val="000000"/>
      <w:kern w:val="2"/>
      <w:sz w:val="24"/>
      <w:szCs w:val="22"/>
    </w:rPr>
    <w:tblPr>
      <w:tblCellMar>
        <w:top w:w="0" w:type="dxa"/>
        <w:left w:w="0" w:type="dxa"/>
        <w:bottom w:w="0" w:type="dxa"/>
        <w:right w:w="0" w:type="dxa"/>
      </w:tblCellMar>
    </w:tblPr>
  </w:style>
  <w:style w:type="table" w:customStyle="1" w:styleId="985">
    <w:name w:val="TableGrid4"/>
    <w:autoRedefine/>
    <w:qFormat/>
    <w:uiPriority w:val="0"/>
    <w:rPr>
      <w:color w:val="000000"/>
      <w:kern w:val="2"/>
      <w:sz w:val="24"/>
      <w:szCs w:val="22"/>
    </w:rPr>
    <w:tblPr>
      <w:tblCellMar>
        <w:top w:w="0" w:type="dxa"/>
        <w:left w:w="0" w:type="dxa"/>
        <w:bottom w:w="0" w:type="dxa"/>
        <w:right w:w="0" w:type="dxa"/>
      </w:tblCellMar>
    </w:tblPr>
  </w:style>
  <w:style w:type="table" w:customStyle="1" w:styleId="986">
    <w:name w:val="TableGrid5"/>
    <w:autoRedefine/>
    <w:qFormat/>
    <w:uiPriority w:val="0"/>
    <w:rPr>
      <w:color w:val="000000"/>
      <w:kern w:val="2"/>
      <w:sz w:val="24"/>
      <w:szCs w:val="22"/>
    </w:rPr>
    <w:tblPr>
      <w:tblCellMar>
        <w:top w:w="0" w:type="dxa"/>
        <w:left w:w="0" w:type="dxa"/>
        <w:bottom w:w="0" w:type="dxa"/>
        <w:right w:w="0" w:type="dxa"/>
      </w:tblCellMar>
    </w:tblPr>
  </w:style>
  <w:style w:type="table" w:customStyle="1" w:styleId="987">
    <w:name w:val="TableGrid6"/>
    <w:autoRedefine/>
    <w:qFormat/>
    <w:uiPriority w:val="0"/>
    <w:rPr>
      <w:color w:val="000000"/>
      <w:kern w:val="2"/>
      <w:sz w:val="24"/>
      <w:szCs w:val="22"/>
    </w:rPr>
    <w:tblPr>
      <w:tblCellMar>
        <w:top w:w="0" w:type="dxa"/>
        <w:left w:w="0" w:type="dxa"/>
        <w:bottom w:w="0" w:type="dxa"/>
        <w:right w:w="0" w:type="dxa"/>
      </w:tblCellMar>
    </w:tblPr>
  </w:style>
  <w:style w:type="table" w:customStyle="1" w:styleId="988">
    <w:name w:val="TableGrid7"/>
    <w:autoRedefine/>
    <w:qFormat/>
    <w:uiPriority w:val="0"/>
    <w:rPr>
      <w:color w:val="000000"/>
      <w:kern w:val="2"/>
      <w:sz w:val="24"/>
      <w:szCs w:val="22"/>
    </w:rPr>
    <w:tblPr>
      <w:tblCellMar>
        <w:top w:w="0" w:type="dxa"/>
        <w:left w:w="0" w:type="dxa"/>
        <w:bottom w:w="0" w:type="dxa"/>
        <w:right w:w="0" w:type="dxa"/>
      </w:tblCellMar>
    </w:tblPr>
  </w:style>
  <w:style w:type="table" w:customStyle="1" w:styleId="989">
    <w:name w:val="TableGrid8"/>
    <w:autoRedefine/>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table" w:customStyle="1" w:styleId="990">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table" w:customStyle="1" w:styleId="991">
    <w:name w:val="Table Normal1"/>
    <w:autoRedefine/>
    <w:semiHidden/>
    <w:qFormat/>
    <w:uiPriority w:val="2"/>
    <w:pPr>
      <w:widowControl w:val="0"/>
      <w:autoSpaceDE w:val="0"/>
      <w:autoSpaceDN w:val="0"/>
    </w:pPr>
    <w:rPr>
      <w:rFonts w:ascii="等线" w:hAnsi="等线" w:eastAsia="等线"/>
      <w:sz w:val="22"/>
      <w:szCs w:val="22"/>
      <w:lang w:eastAsia="en-US"/>
    </w:rPr>
    <w:tblPr>
      <w:tblCellMar>
        <w:top w:w="0" w:type="dxa"/>
        <w:left w:w="0" w:type="dxa"/>
        <w:bottom w:w="0" w:type="dxa"/>
        <w:right w:w="0" w:type="dxa"/>
      </w:tblCellMar>
    </w:tblPr>
  </w:style>
  <w:style w:type="table" w:customStyle="1" w:styleId="992">
    <w:name w:val="TableGrid9"/>
    <w:autoRedefine/>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table" w:customStyle="1" w:styleId="993">
    <w:name w:val="TableGrid41"/>
    <w:autoRedefine/>
    <w:qFormat/>
    <w:uiPriority w:val="0"/>
    <w:rPr>
      <w:color w:val="000000"/>
      <w:kern w:val="2"/>
      <w:sz w:val="24"/>
      <w:szCs w:val="22"/>
    </w:rPr>
    <w:tblPr>
      <w:tblCellMar>
        <w:top w:w="0" w:type="dxa"/>
        <w:left w:w="0" w:type="dxa"/>
        <w:bottom w:w="0" w:type="dxa"/>
        <w:right w:w="0" w:type="dxa"/>
      </w:tblCellMar>
    </w:tblPr>
  </w:style>
  <w:style w:type="table" w:customStyle="1" w:styleId="994">
    <w:name w:val="TableGrid51"/>
    <w:autoRedefine/>
    <w:qFormat/>
    <w:uiPriority w:val="0"/>
    <w:rPr>
      <w:color w:val="000000"/>
      <w:kern w:val="2"/>
      <w:sz w:val="24"/>
      <w:szCs w:val="22"/>
    </w:rPr>
    <w:tblPr>
      <w:tblCellMar>
        <w:top w:w="0" w:type="dxa"/>
        <w:left w:w="0" w:type="dxa"/>
        <w:bottom w:w="0" w:type="dxa"/>
        <w:right w:w="0" w:type="dxa"/>
      </w:tblCellMar>
    </w:tblPr>
  </w:style>
  <w:style w:type="table" w:customStyle="1" w:styleId="995">
    <w:name w:val="TableGrid61"/>
    <w:autoRedefine/>
    <w:qFormat/>
    <w:uiPriority w:val="0"/>
    <w:rPr>
      <w:color w:val="000000"/>
      <w:kern w:val="2"/>
      <w:sz w:val="24"/>
      <w:szCs w:val="22"/>
    </w:rPr>
    <w:tblPr>
      <w:tblCellMar>
        <w:top w:w="0" w:type="dxa"/>
        <w:left w:w="0" w:type="dxa"/>
        <w:bottom w:w="0" w:type="dxa"/>
        <w:right w:w="0" w:type="dxa"/>
      </w:tblCellMar>
    </w:tblPr>
  </w:style>
  <w:style w:type="table" w:customStyle="1" w:styleId="996">
    <w:name w:val="TableGrid71"/>
    <w:autoRedefine/>
    <w:qFormat/>
    <w:uiPriority w:val="0"/>
    <w:rPr>
      <w:color w:val="000000"/>
      <w:kern w:val="2"/>
      <w:sz w:val="24"/>
      <w:szCs w:val="22"/>
    </w:rPr>
    <w:tblPr>
      <w:tblCellMar>
        <w:top w:w="0" w:type="dxa"/>
        <w:left w:w="0" w:type="dxa"/>
        <w:bottom w:w="0" w:type="dxa"/>
        <w:right w:w="0" w:type="dxa"/>
      </w:tblCellMar>
    </w:tblPr>
  </w:style>
  <w:style w:type="table" w:customStyle="1" w:styleId="997">
    <w:name w:val="TableGrid81"/>
    <w:autoRedefine/>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table" w:customStyle="1" w:styleId="998">
    <w:name w:val="Table Normal2"/>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table" w:customStyle="1" w:styleId="999">
    <w:name w:val="Table Normal11"/>
    <w:autoRedefine/>
    <w:semiHidden/>
    <w:qFormat/>
    <w:uiPriority w:val="2"/>
    <w:pPr>
      <w:widowControl w:val="0"/>
      <w:autoSpaceDE w:val="0"/>
      <w:autoSpaceDN w:val="0"/>
    </w:pPr>
    <w:rPr>
      <w:rFonts w:ascii="等线" w:hAnsi="等线" w:eastAsia="等线"/>
      <w:sz w:val="22"/>
      <w:szCs w:val="22"/>
      <w:lang w:eastAsia="en-US"/>
    </w:rPr>
    <w:tblPr>
      <w:tblCellMar>
        <w:top w:w="0" w:type="dxa"/>
        <w:left w:w="0" w:type="dxa"/>
        <w:bottom w:w="0" w:type="dxa"/>
        <w:right w:w="0" w:type="dxa"/>
      </w:tblCellMar>
    </w:tblPr>
  </w:style>
  <w:style w:type="character" w:customStyle="1" w:styleId="1000">
    <w:name w:val="5表文 Char Char"/>
    <w:link w:val="1001"/>
    <w:autoRedefine/>
    <w:qFormat/>
    <w:uiPriority w:val="0"/>
  </w:style>
  <w:style w:type="paragraph" w:customStyle="1" w:styleId="1001">
    <w:name w:val="5表文"/>
    <w:basedOn w:val="1"/>
    <w:link w:val="1000"/>
    <w:autoRedefine/>
    <w:qFormat/>
    <w:uiPriority w:val="0"/>
    <w:pPr>
      <w:spacing w:line="240" w:lineRule="auto"/>
      <w:ind w:firstLine="0"/>
      <w:jc w:val="center"/>
    </w:pPr>
    <w:rPr>
      <w:kern w:val="0"/>
      <w:sz w:val="20"/>
      <w:szCs w:val="20"/>
    </w:rPr>
  </w:style>
  <w:style w:type="character" w:customStyle="1" w:styleId="1002">
    <w:name w:val="环小四文中说明 Char"/>
    <w:link w:val="1003"/>
    <w:autoRedefine/>
    <w:qFormat/>
    <w:uiPriority w:val="0"/>
    <w:rPr>
      <w:rFonts w:ascii="宋体" w:hAnsi="宋体"/>
      <w:sz w:val="24"/>
      <w:szCs w:val="24"/>
    </w:rPr>
  </w:style>
  <w:style w:type="paragraph" w:customStyle="1" w:styleId="1003">
    <w:name w:val="环小四文中说明"/>
    <w:link w:val="1002"/>
    <w:autoRedefine/>
    <w:qFormat/>
    <w:uiPriority w:val="0"/>
    <w:pPr>
      <w:widowControl w:val="0"/>
      <w:ind w:firstLine="200" w:firstLineChars="200"/>
      <w:jc w:val="both"/>
    </w:pPr>
    <w:rPr>
      <w:rFonts w:ascii="宋体" w:hAnsi="宋体" w:eastAsia="宋体" w:cs="Times New Roman"/>
      <w:sz w:val="24"/>
      <w:szCs w:val="24"/>
      <w:lang w:val="en-US" w:eastAsia="zh-CN" w:bidi="ar-SA"/>
    </w:rPr>
  </w:style>
  <w:style w:type="table" w:customStyle="1" w:styleId="1004">
    <w:name w:val="专业网格3"/>
    <w:basedOn w:val="88"/>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5">
    <w:name w:val="专业网格4"/>
    <w:basedOn w:val="88"/>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6">
    <w:name w:val="专业网格5"/>
    <w:basedOn w:val="88"/>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07">
    <w:name w:val="图表"/>
    <w:basedOn w:val="73"/>
    <w:autoRedefine/>
    <w:qFormat/>
    <w:uiPriority w:val="0"/>
    <w:pPr>
      <w:spacing w:beforeLines="50" w:afterLines="50"/>
      <w:ind w:left="0" w:firstLine="0"/>
      <w:jc w:val="center"/>
    </w:pPr>
    <w:rPr>
      <w:rFonts w:ascii="黑体" w:eastAsia="黑体"/>
      <w:sz w:val="21"/>
      <w:szCs w:val="18"/>
    </w:rPr>
  </w:style>
  <w:style w:type="paragraph" w:customStyle="1" w:styleId="1008">
    <w:name w:val="缩进"/>
    <w:basedOn w:val="1"/>
    <w:link w:val="1586"/>
    <w:autoRedefine/>
    <w:qFormat/>
    <w:uiPriority w:val="0"/>
    <w:pPr>
      <w:ind w:firstLine="200" w:firstLineChars="200"/>
    </w:pPr>
  </w:style>
  <w:style w:type="table" w:customStyle="1" w:styleId="1009">
    <w:name w:val="公司格式1"/>
    <w:basedOn w:val="88"/>
    <w:autoRedefine/>
    <w:qFormat/>
    <w:uiPriority w:val="99"/>
    <w:pPr>
      <w:adjustRightInd w:val="0"/>
      <w:snapToGrid w:val="0"/>
      <w:spacing w:line="240" w:lineRule="atLeast"/>
      <w:jc w:val="center"/>
    </w:pPr>
    <w:rPr>
      <w:rFonts w:eastAsia="等线"/>
      <w:kern w:val="2"/>
      <w:sz w:val="21"/>
      <w:szCs w:val="22"/>
    </w:rPr>
    <w:tblPr>
      <w:jc w:val="center"/>
      <w:tblBorders>
        <w:top w:val="single" w:color="auto" w:sz="12" w:space="0"/>
        <w:bottom w:val="single" w:color="auto" w:sz="12" w:space="0"/>
        <w:insideH w:val="single" w:color="auto" w:sz="6" w:space="0"/>
        <w:insideV w:val="single" w:color="auto" w:sz="6" w:space="0"/>
      </w:tblBorders>
    </w:tblPr>
    <w:trPr>
      <w:jc w:val="center"/>
    </w:trPr>
    <w:tcPr>
      <w:tcMar>
        <w:left w:w="57" w:type="dxa"/>
        <w:right w:w="57" w:type="dxa"/>
      </w:tcMar>
      <w:vAlign w:val="center"/>
    </w:tcPr>
  </w:style>
  <w:style w:type="table" w:customStyle="1" w:styleId="1010">
    <w:name w:val="公司格式2"/>
    <w:basedOn w:val="88"/>
    <w:autoRedefine/>
    <w:qFormat/>
    <w:uiPriority w:val="99"/>
    <w:pPr>
      <w:adjustRightInd w:val="0"/>
      <w:snapToGrid w:val="0"/>
      <w:spacing w:line="240" w:lineRule="atLeast"/>
      <w:jc w:val="center"/>
    </w:pPr>
    <w:rPr>
      <w:rFonts w:eastAsia="等线"/>
      <w:kern w:val="2"/>
      <w:sz w:val="21"/>
      <w:szCs w:val="22"/>
    </w:rPr>
    <w:tblPr>
      <w:jc w:val="center"/>
      <w:tblBorders>
        <w:top w:val="single" w:color="auto" w:sz="12" w:space="0"/>
        <w:bottom w:val="single" w:color="auto" w:sz="12" w:space="0"/>
        <w:insideH w:val="single" w:color="auto" w:sz="6" w:space="0"/>
        <w:insideV w:val="single" w:color="auto" w:sz="6" w:space="0"/>
      </w:tblBorders>
    </w:tblPr>
    <w:trPr>
      <w:jc w:val="center"/>
    </w:trPr>
    <w:tcPr>
      <w:tcMar>
        <w:left w:w="57" w:type="dxa"/>
        <w:right w:w="57" w:type="dxa"/>
      </w:tcMar>
      <w:vAlign w:val="center"/>
    </w:tcPr>
  </w:style>
  <w:style w:type="table" w:customStyle="1" w:styleId="1011">
    <w:name w:val="公司格式3"/>
    <w:basedOn w:val="88"/>
    <w:autoRedefine/>
    <w:qFormat/>
    <w:uiPriority w:val="99"/>
    <w:pPr>
      <w:adjustRightInd w:val="0"/>
      <w:snapToGrid w:val="0"/>
      <w:spacing w:line="240" w:lineRule="atLeast"/>
      <w:jc w:val="center"/>
    </w:pPr>
    <w:rPr>
      <w:rFonts w:eastAsia="等线"/>
      <w:kern w:val="2"/>
      <w:sz w:val="21"/>
      <w:szCs w:val="22"/>
    </w:rPr>
    <w:tblPr>
      <w:jc w:val="center"/>
      <w:tblBorders>
        <w:top w:val="single" w:color="auto" w:sz="12" w:space="0"/>
        <w:bottom w:val="single" w:color="auto" w:sz="12" w:space="0"/>
        <w:insideH w:val="single" w:color="auto" w:sz="6" w:space="0"/>
        <w:insideV w:val="single" w:color="auto" w:sz="6" w:space="0"/>
      </w:tblBorders>
    </w:tblPr>
    <w:trPr>
      <w:jc w:val="center"/>
    </w:trPr>
    <w:tcPr>
      <w:tcMar>
        <w:left w:w="57" w:type="dxa"/>
        <w:right w:w="57" w:type="dxa"/>
      </w:tcMar>
      <w:vAlign w:val="center"/>
    </w:tcPr>
  </w:style>
  <w:style w:type="table" w:customStyle="1" w:styleId="1012">
    <w:name w:val="公司格式4"/>
    <w:basedOn w:val="88"/>
    <w:autoRedefine/>
    <w:qFormat/>
    <w:uiPriority w:val="99"/>
    <w:pPr>
      <w:adjustRightInd w:val="0"/>
      <w:snapToGrid w:val="0"/>
      <w:spacing w:line="240" w:lineRule="atLeast"/>
      <w:jc w:val="center"/>
    </w:pPr>
    <w:rPr>
      <w:rFonts w:eastAsia="等线"/>
      <w:kern w:val="2"/>
      <w:sz w:val="21"/>
      <w:szCs w:val="22"/>
    </w:rPr>
    <w:tblPr>
      <w:jc w:val="center"/>
      <w:tblBorders>
        <w:top w:val="single" w:color="auto" w:sz="12" w:space="0"/>
        <w:bottom w:val="single" w:color="auto" w:sz="12" w:space="0"/>
        <w:insideH w:val="single" w:color="auto" w:sz="6" w:space="0"/>
        <w:insideV w:val="single" w:color="auto" w:sz="6" w:space="0"/>
      </w:tblBorders>
    </w:tblPr>
    <w:trPr>
      <w:jc w:val="center"/>
    </w:trPr>
    <w:tcPr>
      <w:tcMar>
        <w:left w:w="57" w:type="dxa"/>
        <w:right w:w="57" w:type="dxa"/>
      </w:tcMar>
      <w:vAlign w:val="center"/>
    </w:tcPr>
  </w:style>
  <w:style w:type="table" w:customStyle="1" w:styleId="1013">
    <w:name w:val="公司格式5"/>
    <w:basedOn w:val="88"/>
    <w:autoRedefine/>
    <w:qFormat/>
    <w:uiPriority w:val="99"/>
    <w:pPr>
      <w:adjustRightInd w:val="0"/>
      <w:snapToGrid w:val="0"/>
      <w:spacing w:line="240" w:lineRule="atLeast"/>
      <w:jc w:val="center"/>
    </w:pPr>
    <w:rPr>
      <w:rFonts w:eastAsia="等线"/>
      <w:kern w:val="2"/>
      <w:sz w:val="21"/>
      <w:szCs w:val="22"/>
    </w:rPr>
    <w:tblPr>
      <w:jc w:val="center"/>
      <w:tblBorders>
        <w:top w:val="single" w:color="auto" w:sz="12" w:space="0"/>
        <w:bottom w:val="single" w:color="auto" w:sz="12" w:space="0"/>
        <w:insideH w:val="single" w:color="auto" w:sz="6" w:space="0"/>
        <w:insideV w:val="single" w:color="auto" w:sz="6" w:space="0"/>
      </w:tblBorders>
    </w:tblPr>
    <w:trPr>
      <w:jc w:val="center"/>
    </w:trPr>
    <w:tcPr>
      <w:tcMar>
        <w:left w:w="57" w:type="dxa"/>
        <w:right w:w="57" w:type="dxa"/>
      </w:tcMar>
      <w:vAlign w:val="center"/>
    </w:tcPr>
  </w:style>
  <w:style w:type="table" w:customStyle="1" w:styleId="1014">
    <w:name w:val="公司格式6"/>
    <w:basedOn w:val="88"/>
    <w:autoRedefine/>
    <w:qFormat/>
    <w:uiPriority w:val="99"/>
    <w:pPr>
      <w:adjustRightInd w:val="0"/>
      <w:snapToGrid w:val="0"/>
      <w:spacing w:line="240" w:lineRule="atLeast"/>
      <w:jc w:val="center"/>
    </w:pPr>
    <w:rPr>
      <w:rFonts w:eastAsia="等线"/>
      <w:kern w:val="2"/>
      <w:sz w:val="21"/>
      <w:szCs w:val="22"/>
    </w:rPr>
    <w:tblPr>
      <w:jc w:val="center"/>
      <w:tblBorders>
        <w:top w:val="single" w:color="auto" w:sz="12" w:space="0"/>
        <w:bottom w:val="single" w:color="auto" w:sz="12" w:space="0"/>
        <w:insideH w:val="single" w:color="auto" w:sz="6" w:space="0"/>
        <w:insideV w:val="single" w:color="auto" w:sz="6" w:space="0"/>
      </w:tblBorders>
    </w:tblPr>
    <w:trPr>
      <w:jc w:val="center"/>
    </w:trPr>
    <w:tcPr>
      <w:tcMar>
        <w:left w:w="57" w:type="dxa"/>
        <w:right w:w="57" w:type="dxa"/>
      </w:tcMar>
      <w:vAlign w:val="center"/>
    </w:tcPr>
  </w:style>
  <w:style w:type="table" w:customStyle="1" w:styleId="1015">
    <w:name w:val="网格型6"/>
    <w:basedOn w:val="8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16">
    <w:name w:val="报告书二级标题"/>
    <w:basedOn w:val="4"/>
    <w:autoRedefine/>
    <w:qFormat/>
    <w:uiPriority w:val="0"/>
    <w:pPr>
      <w:spacing w:before="120" w:after="120"/>
      <w:jc w:val="both"/>
    </w:pPr>
    <w:rPr>
      <w:rFonts w:eastAsia="宋体"/>
      <w:b/>
      <w:kern w:val="44"/>
      <w:sz w:val="30"/>
    </w:rPr>
  </w:style>
  <w:style w:type="paragraph" w:customStyle="1" w:styleId="1017">
    <w:name w:val="表标题"/>
    <w:basedOn w:val="1"/>
    <w:autoRedefine/>
    <w:qFormat/>
    <w:uiPriority w:val="0"/>
    <w:pPr>
      <w:spacing w:line="240" w:lineRule="auto"/>
      <w:jc w:val="center"/>
    </w:pPr>
    <w:rPr>
      <w:rFonts w:eastAsia="黑体"/>
      <w:b/>
      <w:sz w:val="21"/>
      <w:szCs w:val="20"/>
    </w:rPr>
  </w:style>
  <w:style w:type="paragraph" w:customStyle="1" w:styleId="1018">
    <w:name w:val="正文-表格-居左"/>
    <w:next w:val="1"/>
    <w:autoRedefine/>
    <w:qFormat/>
    <w:uiPriority w:val="0"/>
    <w:rPr>
      <w:rFonts w:ascii="宋体" w:hAnsi="宋体" w:eastAsia="宋体" w:cs="宋体"/>
      <w:sz w:val="21"/>
      <w:szCs w:val="21"/>
      <w:lang w:val="en-US" w:eastAsia="zh-CN" w:bidi="ar-SA"/>
    </w:rPr>
  </w:style>
  <w:style w:type="paragraph" w:customStyle="1" w:styleId="1019">
    <w:name w:val="正文-表格-居中"/>
    <w:next w:val="1"/>
    <w:autoRedefine/>
    <w:qFormat/>
    <w:uiPriority w:val="14"/>
    <w:pPr>
      <w:jc w:val="center"/>
    </w:pPr>
    <w:rPr>
      <w:rFonts w:ascii="宋体" w:hAnsi="宋体" w:eastAsia="宋体" w:cs="宋体"/>
      <w:sz w:val="21"/>
      <w:szCs w:val="28"/>
      <w:lang w:val="en-US" w:eastAsia="zh-CN" w:bidi="ar-SA"/>
    </w:rPr>
  </w:style>
  <w:style w:type="paragraph" w:customStyle="1" w:styleId="1020">
    <w:name w:val="批注主题1"/>
    <w:basedOn w:val="28"/>
    <w:next w:val="28"/>
    <w:link w:val="1266"/>
    <w:autoRedefine/>
    <w:qFormat/>
    <w:uiPriority w:val="99"/>
    <w:pPr>
      <w:spacing w:afterLines="20"/>
      <w:ind w:firstLine="880" w:firstLineChars="200"/>
    </w:pPr>
    <w:rPr>
      <w:b/>
      <w:bCs/>
      <w:lang w:val="zh-CN" w:eastAsia="zh-CN"/>
    </w:rPr>
  </w:style>
  <w:style w:type="paragraph" w:customStyle="1" w:styleId="1021">
    <w:name w:val="正文缩进1"/>
    <w:basedOn w:val="1"/>
    <w:autoRedefine/>
    <w:qFormat/>
    <w:uiPriority w:val="0"/>
    <w:pPr>
      <w:spacing w:afterLines="20"/>
      <w:ind w:firstLine="200" w:firstLineChars="200"/>
    </w:pPr>
    <w:rPr>
      <w:lang w:val="zh-CN" w:eastAsia="zh-CN"/>
    </w:rPr>
  </w:style>
  <w:style w:type="paragraph" w:customStyle="1" w:styleId="1022">
    <w:name w:val="文档结构图1"/>
    <w:basedOn w:val="1"/>
    <w:link w:val="1267"/>
    <w:autoRedefine/>
    <w:qFormat/>
    <w:uiPriority w:val="99"/>
    <w:pPr>
      <w:shd w:val="clear" w:color="auto" w:fill="000080"/>
      <w:spacing w:afterLines="20"/>
      <w:ind w:firstLine="880" w:firstLineChars="200"/>
    </w:pPr>
    <w:rPr>
      <w:shd w:val="clear" w:color="auto" w:fill="000080"/>
      <w:lang w:val="zh-CN" w:eastAsia="zh-CN"/>
    </w:rPr>
  </w:style>
  <w:style w:type="paragraph" w:customStyle="1" w:styleId="1023">
    <w:name w:val="正文文本缩进1"/>
    <w:basedOn w:val="1"/>
    <w:link w:val="1268"/>
    <w:autoRedefine/>
    <w:qFormat/>
    <w:uiPriority w:val="0"/>
    <w:pPr>
      <w:spacing w:after="120" w:afterLines="20"/>
      <w:ind w:left="420" w:leftChars="200" w:firstLine="880" w:firstLineChars="200"/>
    </w:pPr>
    <w:rPr>
      <w:lang w:val="zh-CN" w:eastAsia="zh-CN"/>
    </w:rPr>
  </w:style>
  <w:style w:type="paragraph" w:customStyle="1" w:styleId="1024">
    <w:name w:val="环评表格正文"/>
    <w:basedOn w:val="1"/>
    <w:link w:val="1278"/>
    <w:autoRedefine/>
    <w:qFormat/>
    <w:uiPriority w:val="0"/>
    <w:pPr>
      <w:spacing w:afterLines="20" w:line="240" w:lineRule="auto"/>
      <w:ind w:firstLine="0"/>
      <w:jc w:val="center"/>
    </w:pPr>
    <w:rPr>
      <w:sz w:val="18"/>
      <w:szCs w:val="21"/>
    </w:rPr>
  </w:style>
  <w:style w:type="paragraph" w:customStyle="1" w:styleId="1025">
    <w:name w:val="标题 51"/>
    <w:basedOn w:val="1"/>
    <w:next w:val="1"/>
    <w:link w:val="1273"/>
    <w:autoRedefine/>
    <w:qFormat/>
    <w:uiPriority w:val="0"/>
    <w:pPr>
      <w:keepNext/>
      <w:keepLines/>
      <w:spacing w:afterLines="20"/>
      <w:ind w:firstLine="880" w:firstLineChars="200"/>
      <w:outlineLvl w:val="4"/>
    </w:pPr>
    <w:rPr>
      <w:b/>
      <w:bCs/>
      <w:kern w:val="0"/>
      <w:szCs w:val="28"/>
      <w:lang w:val="zh-CN" w:eastAsia="zh-CN"/>
    </w:rPr>
  </w:style>
  <w:style w:type="paragraph" w:customStyle="1" w:styleId="1026">
    <w:name w:val="表格外粗1内细0.25字体5号"/>
    <w:basedOn w:val="1"/>
    <w:autoRedefine/>
    <w:qFormat/>
    <w:uiPriority w:val="0"/>
    <w:pPr>
      <w:adjustRightInd w:val="0"/>
      <w:snapToGrid w:val="0"/>
      <w:spacing w:afterLines="20" w:line="0" w:lineRule="atLeast"/>
      <w:ind w:firstLine="454"/>
      <w:jc w:val="center"/>
    </w:pPr>
    <w:rPr>
      <w:rFonts w:ascii="宋体" w:hAnsi="宋体"/>
      <w:sz w:val="21"/>
    </w:rPr>
  </w:style>
  <w:style w:type="paragraph" w:customStyle="1" w:styleId="1027">
    <w:name w:val="样式 标题 3 + (中文) 仿宋"/>
    <w:basedOn w:val="265"/>
    <w:link w:val="1286"/>
    <w:autoRedefine/>
    <w:qFormat/>
    <w:uiPriority w:val="0"/>
    <w:pPr>
      <w:spacing w:line="240" w:lineRule="auto"/>
      <w:ind w:firstLine="0" w:firstLineChars="0"/>
      <w:jc w:val="left"/>
    </w:pPr>
    <w:rPr>
      <w:rFonts w:eastAsia="仿宋"/>
      <w:sz w:val="30"/>
      <w:lang w:val="zh-CN" w:eastAsia="zh-CN"/>
    </w:rPr>
  </w:style>
  <w:style w:type="paragraph" w:customStyle="1" w:styleId="1028">
    <w:name w:val="样式 样式 样式 首行缩进:  2 字符 + 首行缩进:  2 字符 + 首行缩进:  2 字符"/>
    <w:basedOn w:val="1"/>
    <w:autoRedefine/>
    <w:qFormat/>
    <w:uiPriority w:val="0"/>
    <w:pPr>
      <w:spacing w:afterLines="20" w:line="560" w:lineRule="exact"/>
      <w:ind w:firstLine="200" w:firstLineChars="200"/>
    </w:pPr>
    <w:rPr>
      <w:rFonts w:ascii="仿宋_GB2312" w:eastAsia="仿宋_GB2312" w:cs="宋体"/>
      <w:sz w:val="28"/>
      <w:szCs w:val="20"/>
    </w:rPr>
  </w:style>
  <w:style w:type="paragraph" w:customStyle="1" w:styleId="1029">
    <w:name w:val="标题 41"/>
    <w:basedOn w:val="1"/>
    <w:next w:val="1"/>
    <w:link w:val="1285"/>
    <w:autoRedefine/>
    <w:qFormat/>
    <w:uiPriority w:val="0"/>
    <w:pPr>
      <w:keepNext/>
      <w:keepLines/>
      <w:tabs>
        <w:tab w:val="left" w:pos="1440"/>
        <w:tab w:val="left" w:pos="1894"/>
        <w:tab w:val="left" w:pos="2520"/>
        <w:tab w:val="left" w:pos="3050"/>
      </w:tabs>
      <w:spacing w:beforeLines="50" w:afterLines="50" w:line="440" w:lineRule="exact"/>
      <w:ind w:left="814" w:firstLine="0"/>
      <w:outlineLvl w:val="3"/>
    </w:pPr>
    <w:rPr>
      <w:rFonts w:eastAsia="黑体"/>
      <w:bCs/>
      <w:iCs/>
      <w:lang w:val="zh-CN" w:eastAsia="zh-CN"/>
    </w:rPr>
  </w:style>
  <w:style w:type="paragraph" w:customStyle="1" w:styleId="1030">
    <w:name w:val="环评3级标题"/>
    <w:basedOn w:val="265"/>
    <w:link w:val="1276"/>
    <w:autoRedefine/>
    <w:qFormat/>
    <w:uiPriority w:val="0"/>
    <w:pPr>
      <w:ind w:firstLine="0" w:firstLineChars="0"/>
    </w:pPr>
    <w:rPr>
      <w:rFonts w:ascii="Arial" w:hAnsi="Arial"/>
      <w:bCs/>
      <w:sz w:val="28"/>
      <w:szCs w:val="30"/>
    </w:rPr>
  </w:style>
  <w:style w:type="paragraph" w:customStyle="1" w:styleId="1031">
    <w:name w:val="标题 81"/>
    <w:basedOn w:val="1"/>
    <w:next w:val="1"/>
    <w:autoRedefine/>
    <w:qFormat/>
    <w:uiPriority w:val="0"/>
    <w:pPr>
      <w:keepLines/>
      <w:wordWrap w:val="0"/>
      <w:adjustRightInd w:val="0"/>
      <w:snapToGrid w:val="0"/>
      <w:spacing w:afterLines="20" w:line="400" w:lineRule="exact"/>
      <w:ind w:right="1308" w:firstLine="880" w:firstLineChars="200"/>
      <w:textAlignment w:val="baseline"/>
      <w:outlineLvl w:val="7"/>
    </w:pPr>
    <w:rPr>
      <w:rFonts w:ascii="楷体_GB2312" w:eastAsia="楷体_GB2312"/>
      <w:color w:val="000000"/>
      <w:spacing w:val="4"/>
      <w:kern w:val="21"/>
      <w:sz w:val="21"/>
      <w:lang w:val="zh-CN" w:eastAsia="zh-CN"/>
    </w:rPr>
  </w:style>
  <w:style w:type="paragraph" w:customStyle="1" w:styleId="1032">
    <w:name w:val="正文缩进12"/>
    <w:basedOn w:val="1"/>
    <w:autoRedefine/>
    <w:qFormat/>
    <w:uiPriority w:val="0"/>
    <w:pPr>
      <w:spacing w:afterLines="20" w:line="420" w:lineRule="exact"/>
    </w:pPr>
  </w:style>
  <w:style w:type="paragraph" w:customStyle="1" w:styleId="1033">
    <w:name w:val="标题 61"/>
    <w:basedOn w:val="1"/>
    <w:next w:val="1"/>
    <w:link w:val="1293"/>
    <w:autoRedefine/>
    <w:qFormat/>
    <w:uiPriority w:val="0"/>
    <w:pPr>
      <w:snapToGrid w:val="0"/>
      <w:spacing w:before="120" w:afterLines="20"/>
      <w:ind w:firstLine="200" w:firstLineChars="200"/>
      <w:outlineLvl w:val="5"/>
    </w:pPr>
    <w:rPr>
      <w:b/>
      <w:bCs/>
      <w:sz w:val="28"/>
      <w:szCs w:val="28"/>
      <w:lang w:val="zh-CN" w:eastAsia="zh-CN"/>
    </w:rPr>
  </w:style>
  <w:style w:type="paragraph" w:customStyle="1" w:styleId="1034">
    <w:name w:val="正文 New New New New New New New New New New New New New New"/>
    <w:autoRedefine/>
    <w:qFormat/>
    <w:uiPriority w:val="0"/>
    <w:pPr>
      <w:widowControl w:val="0"/>
      <w:spacing w:afterLines="20" w:line="400" w:lineRule="exact"/>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1035">
    <w:name w:val="环评表格标题"/>
    <w:basedOn w:val="1"/>
    <w:link w:val="1274"/>
    <w:autoRedefine/>
    <w:qFormat/>
    <w:uiPriority w:val="0"/>
    <w:pPr>
      <w:spacing w:afterLines="20" w:line="240" w:lineRule="auto"/>
      <w:ind w:firstLine="0"/>
      <w:jc w:val="center"/>
    </w:pPr>
    <w:rPr>
      <w:rFonts w:eastAsia="黑体"/>
      <w:b/>
      <w:szCs w:val="21"/>
    </w:rPr>
  </w:style>
  <w:style w:type="paragraph" w:customStyle="1" w:styleId="1036">
    <w:name w:val="样式 正文（首行缩进两字） + 行距: 固定值 20 磅"/>
    <w:basedOn w:val="1032"/>
    <w:autoRedefine/>
    <w:qFormat/>
    <w:uiPriority w:val="0"/>
    <w:pPr>
      <w:spacing w:line="400" w:lineRule="exact"/>
      <w:ind w:firstLine="480" w:firstLineChars="200"/>
    </w:pPr>
  </w:style>
  <w:style w:type="paragraph" w:customStyle="1" w:styleId="1037">
    <w:name w:val="样式 样式 样式 表名 + 首行缩进:  1 字符 + 首行缩进:  1 字符 + 首行缩进:  1 字符"/>
    <w:basedOn w:val="1"/>
    <w:autoRedefine/>
    <w:qFormat/>
    <w:uiPriority w:val="0"/>
    <w:pPr>
      <w:spacing w:afterLines="20" w:line="560" w:lineRule="exact"/>
      <w:ind w:firstLine="100" w:firstLineChars="100"/>
    </w:pPr>
    <w:rPr>
      <w:rFonts w:ascii="黑体" w:hAnsi="宋体" w:eastAsia="黑体" w:cs="宋体"/>
      <w:szCs w:val="20"/>
    </w:rPr>
  </w:style>
  <w:style w:type="paragraph" w:customStyle="1" w:styleId="1038">
    <w:name w:val="正文段落"/>
    <w:basedOn w:val="1"/>
    <w:link w:val="1527"/>
    <w:autoRedefine/>
    <w:qFormat/>
    <w:uiPriority w:val="0"/>
    <w:pPr>
      <w:spacing w:afterLines="20"/>
      <w:ind w:firstLine="540" w:firstLineChars="224"/>
    </w:pPr>
    <w:rPr>
      <w:b/>
      <w:color w:val="000000"/>
      <w:kern w:val="10"/>
      <w:lang w:val="zh-CN" w:eastAsia="zh-CN"/>
    </w:rPr>
  </w:style>
  <w:style w:type="paragraph" w:customStyle="1" w:styleId="1039">
    <w:name w:val="p15"/>
    <w:basedOn w:val="1"/>
    <w:autoRedefine/>
    <w:qFormat/>
    <w:uiPriority w:val="0"/>
    <w:pPr>
      <w:widowControl/>
      <w:spacing w:afterLines="20"/>
      <w:jc w:val="left"/>
    </w:pPr>
    <w:rPr>
      <w:kern w:val="0"/>
      <w:sz w:val="18"/>
      <w:szCs w:val="18"/>
    </w:rPr>
  </w:style>
  <w:style w:type="paragraph" w:customStyle="1" w:styleId="1040">
    <w:name w:val="正文 New New New New New New New New New New New New"/>
    <w:autoRedefine/>
    <w:qFormat/>
    <w:uiPriority w:val="0"/>
    <w:pPr>
      <w:widowControl w:val="0"/>
      <w:spacing w:afterLines="20" w:line="400" w:lineRule="exact"/>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1041">
    <w:name w:val="标题 91"/>
    <w:basedOn w:val="1"/>
    <w:next w:val="1"/>
    <w:link w:val="1282"/>
    <w:autoRedefine/>
    <w:qFormat/>
    <w:uiPriority w:val="0"/>
    <w:pPr>
      <w:keepNext/>
      <w:keepLines/>
      <w:widowControl/>
      <w:spacing w:before="240" w:afterLines="20" w:line="320" w:lineRule="atLeast"/>
      <w:ind w:left="1584" w:hanging="1584" w:firstLineChars="200"/>
      <w:jc w:val="left"/>
      <w:textAlignment w:val="baseline"/>
      <w:outlineLvl w:val="8"/>
    </w:pPr>
    <w:rPr>
      <w:rFonts w:ascii="Arial" w:hAnsi="Arial" w:eastAsia="黑体"/>
      <w:caps/>
      <w:kern w:val="0"/>
      <w:sz w:val="21"/>
      <w:szCs w:val="20"/>
      <w:lang w:val="zh-CN" w:eastAsia="zh-CN"/>
    </w:rPr>
  </w:style>
  <w:style w:type="paragraph" w:customStyle="1" w:styleId="1042">
    <w:name w:val="括号"/>
    <w:basedOn w:val="1"/>
    <w:link w:val="1290"/>
    <w:autoRedefine/>
    <w:qFormat/>
    <w:uiPriority w:val="0"/>
    <w:pPr>
      <w:spacing w:afterLines="20" w:line="560" w:lineRule="exact"/>
      <w:ind w:firstLine="200" w:firstLineChars="200"/>
    </w:pPr>
    <w:rPr>
      <w:rFonts w:ascii="楷体_GB2312" w:eastAsia="楷体_GB2312"/>
      <w:sz w:val="28"/>
      <w:szCs w:val="28"/>
      <w:lang w:val="zh-CN" w:eastAsia="zh-CN"/>
    </w:rPr>
  </w:style>
  <w:style w:type="paragraph" w:customStyle="1" w:styleId="1043">
    <w:name w:val="样式 样式 首行缩进:  2 字符 + 首行缩进:  2 字符"/>
    <w:basedOn w:val="529"/>
    <w:link w:val="1291"/>
    <w:autoRedefine/>
    <w:qFormat/>
    <w:uiPriority w:val="0"/>
    <w:pPr>
      <w:spacing w:afterLines="20" w:line="560" w:lineRule="exact"/>
      <w:ind w:firstLine="200"/>
    </w:pPr>
    <w:rPr>
      <w:rFonts w:ascii="仿宋_GB2312" w:eastAsia="仿宋_GB2312" w:cs="Times New Roman"/>
      <w:sz w:val="28"/>
      <w:lang w:val="zh-CN" w:eastAsia="zh-CN"/>
    </w:rPr>
  </w:style>
  <w:style w:type="paragraph" w:customStyle="1" w:styleId="1044">
    <w:name w:val="3"/>
    <w:basedOn w:val="1"/>
    <w:next w:val="147"/>
    <w:autoRedefine/>
    <w:qFormat/>
    <w:uiPriority w:val="0"/>
    <w:pPr>
      <w:spacing w:afterLines="20"/>
      <w:ind w:firstLine="454"/>
    </w:pPr>
    <w:rPr>
      <w:rFonts w:ascii="宋体" w:hAnsi="Courier New"/>
      <w:sz w:val="21"/>
      <w:szCs w:val="20"/>
    </w:rPr>
  </w:style>
  <w:style w:type="paragraph" w:customStyle="1" w:styleId="1045">
    <w:name w:val="标题 11"/>
    <w:basedOn w:val="1"/>
    <w:next w:val="1"/>
    <w:link w:val="1272"/>
    <w:autoRedefine/>
    <w:qFormat/>
    <w:uiPriority w:val="0"/>
    <w:pPr>
      <w:keepNext/>
      <w:keepLines/>
      <w:spacing w:afterLines="20" w:line="240" w:lineRule="auto"/>
      <w:ind w:firstLine="0"/>
      <w:outlineLvl w:val="0"/>
    </w:pPr>
    <w:rPr>
      <w:b/>
      <w:kern w:val="44"/>
      <w:sz w:val="28"/>
      <w:szCs w:val="20"/>
      <w:lang w:val="zh-CN" w:eastAsia="zh-CN"/>
    </w:rPr>
  </w:style>
  <w:style w:type="paragraph" w:customStyle="1" w:styleId="1046">
    <w:name w:val="样式 括号 + 首行缩进:  2 字符"/>
    <w:basedOn w:val="1042"/>
    <w:autoRedefine/>
    <w:qFormat/>
    <w:uiPriority w:val="0"/>
    <w:rPr>
      <w:rFonts w:cs="宋体"/>
      <w:szCs w:val="20"/>
    </w:rPr>
  </w:style>
  <w:style w:type="paragraph" w:customStyle="1" w:styleId="1047">
    <w:name w:val="正文 New New New New New New New New New New New New New New New"/>
    <w:autoRedefine/>
    <w:qFormat/>
    <w:uiPriority w:val="0"/>
    <w:pPr>
      <w:widowControl w:val="0"/>
      <w:spacing w:afterLines="20" w:line="400" w:lineRule="exact"/>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1048">
    <w:name w:val="标题 21"/>
    <w:basedOn w:val="1"/>
    <w:next w:val="1"/>
    <w:autoRedefine/>
    <w:qFormat/>
    <w:uiPriority w:val="0"/>
    <w:pPr>
      <w:keepNext/>
      <w:keepLines/>
      <w:spacing w:afterLines="20"/>
      <w:ind w:firstLine="0"/>
      <w:outlineLvl w:val="1"/>
    </w:pPr>
    <w:rPr>
      <w:rFonts w:eastAsia="黑体"/>
      <w:b/>
      <w:kern w:val="0"/>
      <w:sz w:val="28"/>
      <w:szCs w:val="20"/>
      <w:lang w:val="zh-CN" w:eastAsia="zh-CN"/>
    </w:rPr>
  </w:style>
  <w:style w:type="paragraph" w:customStyle="1" w:styleId="1049">
    <w:name w:val="xl102"/>
    <w:basedOn w:val="1"/>
    <w:autoRedefine/>
    <w:qFormat/>
    <w:uiPriority w:val="0"/>
    <w:pPr>
      <w:widowControl/>
      <w:pBdr>
        <w:left w:val="double" w:color="auto" w:sz="6" w:space="0"/>
      </w:pBdr>
      <w:spacing w:before="100" w:beforeAutospacing="1" w:afterLines="20" w:afterAutospacing="1" w:line="240" w:lineRule="auto"/>
      <w:ind w:firstLine="0"/>
      <w:jc w:val="center"/>
    </w:pPr>
    <w:rPr>
      <w:rFonts w:ascii="宋体" w:hAnsi="宋体" w:cs="宋体"/>
      <w:kern w:val="0"/>
    </w:rPr>
  </w:style>
  <w:style w:type="paragraph" w:customStyle="1" w:styleId="1050">
    <w:name w:val="纯文本11"/>
    <w:autoRedefine/>
    <w:qFormat/>
    <w:uiPriority w:val="0"/>
    <w:rPr>
      <w:rFonts w:ascii="宋体" w:hAnsi="Courier New" w:eastAsia="Times New Roman" w:cs="Times New Roman"/>
      <w:kern w:val="2"/>
      <w:sz w:val="21"/>
      <w:lang w:val="en-US" w:eastAsia="zh-CN" w:bidi="ar-SA"/>
    </w:rPr>
  </w:style>
  <w:style w:type="paragraph" w:customStyle="1" w:styleId="1051">
    <w:name w:val="xl106"/>
    <w:basedOn w:val="1"/>
    <w:autoRedefine/>
    <w:qFormat/>
    <w:uiPriority w:val="0"/>
    <w:pPr>
      <w:widowControl/>
      <w:spacing w:before="100" w:beforeAutospacing="1" w:afterLines="20" w:afterAutospacing="1" w:line="240" w:lineRule="auto"/>
      <w:ind w:firstLine="0"/>
      <w:jc w:val="center"/>
    </w:pPr>
    <w:rPr>
      <w:rFonts w:ascii="宋体" w:hAnsi="宋体" w:cs="宋体"/>
      <w:kern w:val="0"/>
    </w:rPr>
  </w:style>
  <w:style w:type="paragraph" w:customStyle="1" w:styleId="1052">
    <w:name w:val="xl97"/>
    <w:basedOn w:val="1"/>
    <w:autoRedefine/>
    <w:qFormat/>
    <w:uiPriority w:val="0"/>
    <w:pPr>
      <w:widowControl/>
      <w:pBdr>
        <w:left w:val="double" w:color="auto" w:sz="6" w:space="0"/>
        <w:right w:val="single" w:color="auto" w:sz="8" w:space="0"/>
      </w:pBdr>
      <w:spacing w:before="100" w:beforeAutospacing="1" w:afterLines="20" w:afterAutospacing="1" w:line="240" w:lineRule="auto"/>
      <w:ind w:firstLine="0"/>
      <w:jc w:val="center"/>
    </w:pPr>
    <w:rPr>
      <w:kern w:val="0"/>
    </w:rPr>
  </w:style>
  <w:style w:type="paragraph" w:customStyle="1" w:styleId="1053">
    <w:name w:val="表格hy"/>
    <w:basedOn w:val="1023"/>
    <w:link w:val="1277"/>
    <w:autoRedefine/>
    <w:qFormat/>
    <w:uiPriority w:val="0"/>
    <w:pPr>
      <w:adjustRightInd w:val="0"/>
      <w:snapToGrid w:val="0"/>
      <w:spacing w:line="0" w:lineRule="atLeast"/>
      <w:ind w:left="0" w:leftChars="0" w:firstLine="0" w:firstLineChars="0"/>
      <w:jc w:val="center"/>
    </w:pPr>
    <w:rPr>
      <w:rFonts w:ascii="楷体_GB2312" w:eastAsia="楷体_GB2312"/>
      <w:bCs/>
      <w:kern w:val="0"/>
      <w:sz w:val="21"/>
      <w:szCs w:val="20"/>
    </w:rPr>
  </w:style>
  <w:style w:type="paragraph" w:customStyle="1" w:styleId="1054">
    <w:name w:val="普通(网站)11"/>
    <w:basedOn w:val="1"/>
    <w:autoRedefine/>
    <w:qFormat/>
    <w:uiPriority w:val="0"/>
    <w:pPr>
      <w:spacing w:before="100" w:beforeAutospacing="1" w:afterLines="20" w:afterAutospacing="1" w:line="240" w:lineRule="auto"/>
      <w:ind w:firstLine="880" w:firstLineChars="200"/>
    </w:pPr>
    <w:rPr>
      <w:rFonts w:ascii="宋体" w:hAnsi="宋体" w:cs="宋体"/>
    </w:rPr>
  </w:style>
  <w:style w:type="paragraph" w:customStyle="1" w:styleId="1055">
    <w:name w:val="xl98"/>
    <w:basedOn w:val="1"/>
    <w:autoRedefine/>
    <w:qFormat/>
    <w:uiPriority w:val="0"/>
    <w:pPr>
      <w:widowControl/>
      <w:pBdr>
        <w:left w:val="double" w:color="auto" w:sz="6" w:space="0"/>
        <w:bottom w:val="single" w:color="auto" w:sz="8" w:space="0"/>
        <w:right w:val="single" w:color="auto" w:sz="8" w:space="0"/>
      </w:pBdr>
      <w:spacing w:before="100" w:beforeAutospacing="1" w:afterLines="20" w:afterAutospacing="1" w:line="240" w:lineRule="auto"/>
      <w:ind w:firstLine="0"/>
      <w:jc w:val="center"/>
    </w:pPr>
    <w:rPr>
      <w:i/>
      <w:iCs/>
      <w:kern w:val="0"/>
    </w:rPr>
  </w:style>
  <w:style w:type="paragraph" w:customStyle="1" w:styleId="1056">
    <w:name w:val="正文缩进11"/>
    <w:basedOn w:val="1"/>
    <w:autoRedefine/>
    <w:qFormat/>
    <w:uiPriority w:val="0"/>
    <w:pPr>
      <w:spacing w:afterLines="20"/>
      <w:ind w:firstLine="200" w:firstLineChars="200"/>
    </w:pPr>
  </w:style>
  <w:style w:type="paragraph" w:customStyle="1" w:styleId="1057">
    <w:name w:val="xl103"/>
    <w:basedOn w:val="1"/>
    <w:autoRedefine/>
    <w:qFormat/>
    <w:uiPriority w:val="0"/>
    <w:pPr>
      <w:widowControl/>
      <w:pBdr>
        <w:left w:val="double" w:color="auto" w:sz="6" w:space="0"/>
      </w:pBdr>
      <w:spacing w:before="100" w:beforeAutospacing="1" w:afterLines="20" w:afterAutospacing="1" w:line="240" w:lineRule="auto"/>
      <w:ind w:firstLine="0"/>
      <w:jc w:val="center"/>
    </w:pPr>
    <w:rPr>
      <w:rFonts w:ascii="宋体" w:hAnsi="宋体" w:cs="宋体"/>
      <w:i/>
      <w:iCs/>
      <w:kern w:val="0"/>
    </w:rPr>
  </w:style>
  <w:style w:type="paragraph" w:customStyle="1" w:styleId="1058">
    <w:name w:val="_Style 77"/>
    <w:autoRedefine/>
    <w:qFormat/>
    <w:uiPriority w:val="0"/>
    <w:pPr>
      <w:widowControl w:val="0"/>
      <w:spacing w:afterLines="20" w:line="360" w:lineRule="auto"/>
      <w:ind w:firstLine="880" w:firstLineChars="200"/>
      <w:jc w:val="both"/>
    </w:pPr>
    <w:rPr>
      <w:rFonts w:ascii="Times New Roman" w:hAnsi="Times New Roman" w:eastAsia="宋体" w:cs="Times New Roman"/>
      <w:kern w:val="2"/>
      <w:sz w:val="24"/>
      <w:szCs w:val="24"/>
      <w:lang w:val="en-US" w:eastAsia="zh-CN" w:bidi="ar-SA"/>
    </w:rPr>
  </w:style>
  <w:style w:type="paragraph" w:customStyle="1" w:styleId="1059">
    <w:name w:val="_Style 12"/>
    <w:basedOn w:val="1"/>
    <w:autoRedefine/>
    <w:qFormat/>
    <w:uiPriority w:val="0"/>
    <w:pPr>
      <w:spacing w:afterLines="20"/>
      <w:ind w:firstLine="880" w:firstLineChars="200"/>
    </w:pPr>
  </w:style>
  <w:style w:type="paragraph" w:customStyle="1" w:styleId="1060">
    <w:name w:val="正文四级标题"/>
    <w:autoRedefine/>
    <w:qFormat/>
    <w:uiPriority w:val="0"/>
    <w:pPr>
      <w:tabs>
        <w:tab w:val="left" w:pos="0"/>
      </w:tabs>
      <w:adjustRightInd w:val="0"/>
      <w:snapToGrid w:val="0"/>
      <w:spacing w:beforeLines="50" w:line="360" w:lineRule="auto"/>
      <w:ind w:left="1574" w:hanging="864"/>
      <w:outlineLvl w:val="3"/>
    </w:pPr>
    <w:rPr>
      <w:rFonts w:ascii="Times New Roman" w:hAnsi="Times New Roman" w:eastAsia="仿宋" w:cs="Times New Roman"/>
      <w:b/>
      <w:snapToGrid w:val="0"/>
      <w:kern w:val="24"/>
      <w:sz w:val="24"/>
      <w:szCs w:val="24"/>
      <w:lang w:val="en-US" w:eastAsia="zh-CN" w:bidi="ar-SA"/>
    </w:rPr>
  </w:style>
  <w:style w:type="paragraph" w:customStyle="1" w:styleId="1061">
    <w:name w:val="批注框文本 Char Char"/>
    <w:basedOn w:val="1"/>
    <w:link w:val="1280"/>
    <w:autoRedefine/>
    <w:qFormat/>
    <w:uiPriority w:val="0"/>
    <w:pPr>
      <w:spacing w:afterLines="20"/>
      <w:ind w:firstLine="880" w:firstLineChars="200"/>
    </w:pPr>
    <w:rPr>
      <w:sz w:val="18"/>
      <w:szCs w:val="18"/>
      <w:lang w:val="zh-CN" w:eastAsia="zh-CN"/>
    </w:rPr>
  </w:style>
  <w:style w:type="paragraph" w:customStyle="1" w:styleId="1062">
    <w:name w:val="普通(网站)2"/>
    <w:basedOn w:val="1"/>
    <w:autoRedefine/>
    <w:qFormat/>
    <w:uiPriority w:val="0"/>
    <w:pPr>
      <w:spacing w:before="100" w:beforeAutospacing="1" w:afterLines="20" w:afterAutospacing="1" w:line="240" w:lineRule="auto"/>
      <w:ind w:firstLine="880" w:firstLineChars="200"/>
    </w:pPr>
    <w:rPr>
      <w:rFonts w:ascii="宋体" w:hAnsi="宋体" w:cs="宋体"/>
    </w:rPr>
  </w:style>
  <w:style w:type="paragraph" w:customStyle="1" w:styleId="1063">
    <w:name w:val="标题 71"/>
    <w:next w:val="1031"/>
    <w:autoRedefine/>
    <w:qFormat/>
    <w:uiPriority w:val="0"/>
    <w:pPr>
      <w:adjustRightInd w:val="0"/>
      <w:snapToGrid w:val="0"/>
      <w:spacing w:before="120" w:after="60" w:line="400" w:lineRule="exact"/>
      <w:jc w:val="center"/>
      <w:outlineLvl w:val="6"/>
    </w:pPr>
    <w:rPr>
      <w:rFonts w:ascii="华文细黑" w:hAnsi="Times New Roman" w:eastAsia="华文细黑" w:cs="Times New Roman"/>
      <w:b/>
      <w:i/>
      <w:snapToGrid w:val="0"/>
      <w:color w:val="000000"/>
      <w:spacing w:val="10"/>
      <w:kern w:val="28"/>
      <w:sz w:val="24"/>
      <w:szCs w:val="24"/>
      <w:lang w:val="en-US" w:eastAsia="zh-CN" w:bidi="ar-SA"/>
    </w:rPr>
  </w:style>
  <w:style w:type="paragraph" w:customStyle="1" w:styleId="1064">
    <w:name w:val="正文修改"/>
    <w:basedOn w:val="1"/>
    <w:link w:val="1284"/>
    <w:autoRedefine/>
    <w:qFormat/>
    <w:uiPriority w:val="0"/>
    <w:pPr>
      <w:spacing w:afterLines="20"/>
      <w:ind w:left="420" w:firstLine="480" w:firstLineChars="200"/>
    </w:pPr>
    <w:rPr>
      <w:kern w:val="0"/>
      <w:lang w:val="zh-CN" w:eastAsia="zh-CN"/>
    </w:rPr>
  </w:style>
  <w:style w:type="paragraph" w:customStyle="1" w:styleId="1065">
    <w:name w:val="样式 样式3 + 首行缩进:  2 字符1"/>
    <w:link w:val="1269"/>
    <w:autoRedefine/>
    <w:qFormat/>
    <w:uiPriority w:val="0"/>
    <w:rPr>
      <w:rFonts w:ascii="Times New Roman" w:hAnsi="Times New Roman" w:eastAsia="宋体" w:cs="Times New Roman"/>
      <w:lang w:val="en-US" w:eastAsia="zh-CN" w:bidi="ar-SA"/>
    </w:rPr>
  </w:style>
  <w:style w:type="paragraph" w:customStyle="1" w:styleId="1066">
    <w:name w:val="xl90"/>
    <w:basedOn w:val="1"/>
    <w:autoRedefine/>
    <w:qFormat/>
    <w:uiPriority w:val="0"/>
    <w:pPr>
      <w:widowControl/>
      <w:pBdr>
        <w:bottom w:val="double" w:color="auto" w:sz="6" w:space="0"/>
      </w:pBdr>
      <w:spacing w:before="100" w:beforeAutospacing="1" w:afterLines="20" w:afterAutospacing="1" w:line="240" w:lineRule="auto"/>
      <w:ind w:firstLine="0"/>
      <w:jc w:val="center"/>
    </w:pPr>
    <w:rPr>
      <w:rFonts w:ascii="宋体" w:hAnsi="宋体" w:cs="宋体"/>
      <w:kern w:val="0"/>
    </w:rPr>
  </w:style>
  <w:style w:type="paragraph" w:customStyle="1" w:styleId="1067">
    <w:name w:val="标题3hy"/>
    <w:basedOn w:val="265"/>
    <w:autoRedefine/>
    <w:qFormat/>
    <w:uiPriority w:val="0"/>
    <w:pPr>
      <w:spacing w:line="560" w:lineRule="exact"/>
      <w:ind w:firstLine="0" w:firstLineChars="0"/>
      <w:jc w:val="left"/>
      <w:outlineLvl w:val="0"/>
    </w:pPr>
    <w:rPr>
      <w:rFonts w:ascii="Arial" w:hAnsi="Arial" w:eastAsia="方正小标宋_GBK"/>
      <w:b/>
      <w:kern w:val="0"/>
      <w:sz w:val="28"/>
      <w:szCs w:val="28"/>
    </w:rPr>
  </w:style>
  <w:style w:type="paragraph" w:customStyle="1" w:styleId="1068">
    <w:name w:val="正文 New New New New New New New New New New New New New"/>
    <w:autoRedefine/>
    <w:qFormat/>
    <w:uiPriority w:val="0"/>
    <w:pPr>
      <w:widowControl w:val="0"/>
      <w:spacing w:afterLines="20" w:line="400" w:lineRule="exact"/>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1069">
    <w:name w:val="正文 New New New New New"/>
    <w:autoRedefine/>
    <w:qFormat/>
    <w:uiPriority w:val="0"/>
    <w:pPr>
      <w:widowControl w:val="0"/>
      <w:spacing w:afterLines="20" w:line="400" w:lineRule="exact"/>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1070">
    <w:name w:val="标题3"/>
    <w:basedOn w:val="265"/>
    <w:autoRedefine/>
    <w:qFormat/>
    <w:uiPriority w:val="0"/>
    <w:pPr>
      <w:spacing w:line="560" w:lineRule="exact"/>
      <w:ind w:firstLine="0" w:firstLineChars="0"/>
      <w:jc w:val="left"/>
    </w:pPr>
    <w:rPr>
      <w:rFonts w:ascii="Arial" w:hAnsi="Arial" w:eastAsia="方正小标宋_GBK"/>
      <w:b/>
      <w:spacing w:val="-6"/>
      <w:kern w:val="0"/>
      <w:sz w:val="28"/>
      <w:szCs w:val="28"/>
    </w:rPr>
  </w:style>
  <w:style w:type="paragraph" w:customStyle="1" w:styleId="1071">
    <w:name w:val="样式 括号hy + 首行缩进:  2 字符"/>
    <w:basedOn w:val="1"/>
    <w:autoRedefine/>
    <w:qFormat/>
    <w:uiPriority w:val="0"/>
    <w:pPr>
      <w:spacing w:afterLines="20" w:line="560" w:lineRule="exact"/>
      <w:ind w:firstLine="560" w:firstLineChars="200"/>
    </w:pPr>
    <w:rPr>
      <w:rFonts w:ascii="楷体_GB2312" w:eastAsia="楷体_GB2312" w:cs="宋体"/>
      <w:kern w:val="0"/>
      <w:sz w:val="28"/>
    </w:rPr>
  </w:style>
  <w:style w:type="paragraph" w:customStyle="1" w:styleId="1072">
    <w:name w:val="xl105"/>
    <w:basedOn w:val="1"/>
    <w:autoRedefine/>
    <w:qFormat/>
    <w:uiPriority w:val="0"/>
    <w:pPr>
      <w:widowControl/>
      <w:pBdr>
        <w:left w:val="double" w:color="auto" w:sz="6" w:space="0"/>
        <w:bottom w:val="single" w:color="auto" w:sz="8" w:space="0"/>
        <w:right w:val="single" w:color="auto" w:sz="8" w:space="0"/>
      </w:pBdr>
      <w:spacing w:before="100" w:beforeAutospacing="1" w:afterLines="20" w:afterAutospacing="1" w:line="240" w:lineRule="auto"/>
      <w:ind w:firstLine="0"/>
      <w:jc w:val="center"/>
    </w:pPr>
    <w:rPr>
      <w:kern w:val="0"/>
    </w:rPr>
  </w:style>
  <w:style w:type="paragraph" w:customStyle="1" w:styleId="1073">
    <w:name w:val="xl93"/>
    <w:basedOn w:val="1"/>
    <w:autoRedefine/>
    <w:qFormat/>
    <w:uiPriority w:val="0"/>
    <w:pPr>
      <w:widowControl/>
      <w:pBdr>
        <w:top w:val="single" w:color="auto" w:sz="8" w:space="0"/>
        <w:left w:val="single" w:color="auto" w:sz="8" w:space="0"/>
        <w:right w:val="single" w:color="auto" w:sz="8" w:space="0"/>
      </w:pBdr>
      <w:spacing w:before="100" w:beforeAutospacing="1" w:afterLines="20" w:afterAutospacing="1" w:line="240" w:lineRule="auto"/>
      <w:ind w:firstLine="0"/>
    </w:pPr>
    <w:rPr>
      <w:rFonts w:ascii="宋体" w:hAnsi="宋体" w:cs="宋体"/>
      <w:kern w:val="0"/>
    </w:rPr>
  </w:style>
  <w:style w:type="paragraph" w:customStyle="1" w:styleId="1074">
    <w:name w:val="纯文本2"/>
    <w:autoRedefine/>
    <w:qFormat/>
    <w:uiPriority w:val="0"/>
    <w:rPr>
      <w:rFonts w:ascii="宋体" w:hAnsi="Courier New" w:eastAsia="Times New Roman" w:cs="Times New Roman"/>
      <w:kern w:val="2"/>
      <w:sz w:val="21"/>
      <w:lang w:val="en-US" w:eastAsia="zh-CN" w:bidi="ar-SA"/>
    </w:rPr>
  </w:style>
  <w:style w:type="paragraph" w:customStyle="1" w:styleId="1075">
    <w:name w:val="样式 表名 + 首行缩进:  1 字符1"/>
    <w:basedOn w:val="1"/>
    <w:link w:val="1288"/>
    <w:autoRedefine/>
    <w:qFormat/>
    <w:uiPriority w:val="0"/>
    <w:pPr>
      <w:spacing w:afterLines="20" w:line="560" w:lineRule="exact"/>
      <w:ind w:firstLine="100" w:firstLineChars="100"/>
    </w:pPr>
    <w:rPr>
      <w:rFonts w:ascii="黑体" w:hAnsi="宋体" w:eastAsia="黑体"/>
      <w:szCs w:val="20"/>
    </w:rPr>
  </w:style>
  <w:style w:type="paragraph" w:customStyle="1" w:styleId="1076">
    <w:name w:val="xl92"/>
    <w:basedOn w:val="1"/>
    <w:autoRedefine/>
    <w:qFormat/>
    <w:uiPriority w:val="0"/>
    <w:pPr>
      <w:widowControl/>
      <w:pBdr>
        <w:bottom w:val="single" w:color="auto" w:sz="8" w:space="0"/>
        <w:right w:val="double" w:color="auto" w:sz="6" w:space="0"/>
      </w:pBdr>
      <w:spacing w:before="100" w:beforeAutospacing="1" w:afterLines="20" w:afterAutospacing="1" w:line="240" w:lineRule="auto"/>
      <w:ind w:firstLine="0"/>
      <w:jc w:val="center"/>
    </w:pPr>
    <w:rPr>
      <w:kern w:val="0"/>
    </w:rPr>
  </w:style>
  <w:style w:type="paragraph" w:customStyle="1" w:styleId="1077">
    <w:name w:val="正文缩进2"/>
    <w:basedOn w:val="1"/>
    <w:autoRedefine/>
    <w:qFormat/>
    <w:uiPriority w:val="0"/>
    <w:pPr>
      <w:spacing w:after="62" w:afterLines="20"/>
      <w:ind w:firstLine="200" w:firstLineChars="200"/>
    </w:pPr>
  </w:style>
  <w:style w:type="paragraph" w:customStyle="1" w:styleId="1078">
    <w:name w:val="xl99"/>
    <w:basedOn w:val="1"/>
    <w:autoRedefine/>
    <w:qFormat/>
    <w:uiPriority w:val="0"/>
    <w:pPr>
      <w:widowControl/>
      <w:pBdr>
        <w:left w:val="double" w:color="auto" w:sz="6" w:space="0"/>
        <w:bottom w:val="double" w:color="auto" w:sz="6" w:space="0"/>
        <w:right w:val="single" w:color="auto" w:sz="8" w:space="0"/>
      </w:pBdr>
      <w:spacing w:before="100" w:beforeAutospacing="1" w:afterLines="20" w:afterAutospacing="1" w:line="240" w:lineRule="auto"/>
      <w:ind w:firstLine="0"/>
      <w:jc w:val="center"/>
    </w:pPr>
    <w:rPr>
      <w:i/>
      <w:iCs/>
      <w:kern w:val="0"/>
    </w:rPr>
  </w:style>
  <w:style w:type="paragraph" w:customStyle="1" w:styleId="1079">
    <w:name w:val="xl89"/>
    <w:basedOn w:val="1"/>
    <w:autoRedefine/>
    <w:qFormat/>
    <w:uiPriority w:val="0"/>
    <w:pPr>
      <w:widowControl/>
      <w:spacing w:before="100" w:beforeAutospacing="1" w:afterLines="20" w:afterAutospacing="1" w:line="240" w:lineRule="auto"/>
      <w:ind w:firstLine="0"/>
      <w:jc w:val="center"/>
    </w:pPr>
    <w:rPr>
      <w:kern w:val="0"/>
    </w:rPr>
  </w:style>
  <w:style w:type="paragraph" w:customStyle="1" w:styleId="1080">
    <w:name w:val="xl91"/>
    <w:basedOn w:val="1"/>
    <w:autoRedefine/>
    <w:qFormat/>
    <w:uiPriority w:val="0"/>
    <w:pPr>
      <w:widowControl/>
      <w:pBdr>
        <w:bottom w:val="double" w:color="auto" w:sz="6" w:space="0"/>
      </w:pBdr>
      <w:spacing w:before="100" w:beforeAutospacing="1" w:afterLines="20" w:afterAutospacing="1" w:line="240" w:lineRule="auto"/>
      <w:ind w:firstLine="0"/>
      <w:jc w:val="center"/>
    </w:pPr>
    <w:rPr>
      <w:kern w:val="0"/>
    </w:rPr>
  </w:style>
  <w:style w:type="paragraph" w:customStyle="1" w:styleId="1081">
    <w:name w:val="xl94"/>
    <w:basedOn w:val="1"/>
    <w:autoRedefine/>
    <w:qFormat/>
    <w:uiPriority w:val="0"/>
    <w:pPr>
      <w:widowControl/>
      <w:pBdr>
        <w:left w:val="single" w:color="auto" w:sz="8" w:space="0"/>
        <w:bottom w:val="single" w:color="auto" w:sz="8" w:space="0"/>
        <w:right w:val="single" w:color="auto" w:sz="8" w:space="0"/>
      </w:pBdr>
      <w:spacing w:before="100" w:beforeAutospacing="1" w:afterLines="20" w:afterAutospacing="1" w:line="240" w:lineRule="auto"/>
      <w:ind w:firstLine="0"/>
    </w:pPr>
    <w:rPr>
      <w:rFonts w:ascii="宋体" w:hAnsi="宋体" w:cs="宋体"/>
      <w:kern w:val="0"/>
    </w:rPr>
  </w:style>
  <w:style w:type="paragraph" w:customStyle="1" w:styleId="1082">
    <w:name w:val="xl95"/>
    <w:basedOn w:val="1"/>
    <w:autoRedefine/>
    <w:qFormat/>
    <w:uiPriority w:val="0"/>
    <w:pPr>
      <w:widowControl/>
      <w:pBdr>
        <w:bottom w:val="single" w:color="auto" w:sz="8" w:space="0"/>
        <w:right w:val="single" w:color="auto" w:sz="8" w:space="0"/>
      </w:pBdr>
      <w:spacing w:before="100" w:beforeAutospacing="1" w:afterLines="20" w:afterAutospacing="1" w:line="240" w:lineRule="auto"/>
      <w:ind w:firstLine="0"/>
      <w:jc w:val="center"/>
    </w:pPr>
    <w:rPr>
      <w:rFonts w:ascii="宋体" w:hAnsi="宋体" w:cs="宋体"/>
      <w:kern w:val="0"/>
    </w:rPr>
  </w:style>
  <w:style w:type="paragraph" w:customStyle="1" w:styleId="1083">
    <w:name w:val="xl96"/>
    <w:basedOn w:val="1"/>
    <w:autoRedefine/>
    <w:qFormat/>
    <w:uiPriority w:val="0"/>
    <w:pPr>
      <w:widowControl/>
      <w:pBdr>
        <w:bottom w:val="single" w:color="auto" w:sz="8" w:space="0"/>
        <w:right w:val="single" w:color="auto" w:sz="8" w:space="0"/>
      </w:pBdr>
      <w:spacing w:before="100" w:beforeAutospacing="1" w:afterLines="20" w:afterAutospacing="1" w:line="240" w:lineRule="auto"/>
      <w:ind w:firstLine="0"/>
      <w:jc w:val="center"/>
    </w:pPr>
    <w:rPr>
      <w:kern w:val="0"/>
    </w:rPr>
  </w:style>
  <w:style w:type="paragraph" w:customStyle="1" w:styleId="1084">
    <w:name w:val="xl100"/>
    <w:basedOn w:val="1"/>
    <w:autoRedefine/>
    <w:qFormat/>
    <w:uiPriority w:val="0"/>
    <w:pPr>
      <w:widowControl/>
      <w:pBdr>
        <w:left w:val="double" w:color="auto" w:sz="6" w:space="0"/>
      </w:pBdr>
      <w:spacing w:before="100" w:beforeAutospacing="1" w:afterLines="20" w:afterAutospacing="1" w:line="240" w:lineRule="auto"/>
      <w:ind w:firstLine="0"/>
      <w:jc w:val="center"/>
    </w:pPr>
    <w:rPr>
      <w:kern w:val="0"/>
    </w:rPr>
  </w:style>
  <w:style w:type="paragraph" w:customStyle="1" w:styleId="1085">
    <w:name w:val="xl101"/>
    <w:basedOn w:val="1"/>
    <w:autoRedefine/>
    <w:qFormat/>
    <w:uiPriority w:val="0"/>
    <w:pPr>
      <w:widowControl/>
      <w:pBdr>
        <w:left w:val="double" w:color="auto" w:sz="6" w:space="0"/>
      </w:pBdr>
      <w:spacing w:before="100" w:beforeAutospacing="1" w:afterLines="20" w:afterAutospacing="1" w:line="240" w:lineRule="auto"/>
      <w:ind w:firstLine="0"/>
      <w:jc w:val="center"/>
    </w:pPr>
    <w:rPr>
      <w:i/>
      <w:iCs/>
      <w:kern w:val="0"/>
    </w:rPr>
  </w:style>
  <w:style w:type="paragraph" w:customStyle="1" w:styleId="1086">
    <w:name w:val="xl104"/>
    <w:basedOn w:val="1"/>
    <w:autoRedefine/>
    <w:qFormat/>
    <w:uiPriority w:val="0"/>
    <w:pPr>
      <w:widowControl/>
      <w:pBdr>
        <w:left w:val="double" w:color="auto" w:sz="6" w:space="0"/>
        <w:bottom w:val="single" w:color="auto" w:sz="8" w:space="0"/>
        <w:right w:val="single" w:color="auto" w:sz="8" w:space="0"/>
      </w:pBdr>
      <w:spacing w:before="100" w:beforeAutospacing="1" w:afterLines="20" w:afterAutospacing="1" w:line="240" w:lineRule="auto"/>
      <w:ind w:firstLine="0"/>
      <w:jc w:val="center"/>
    </w:pPr>
    <w:rPr>
      <w:i/>
      <w:iCs/>
      <w:color w:val="000000"/>
      <w:kern w:val="0"/>
    </w:rPr>
  </w:style>
  <w:style w:type="paragraph" w:customStyle="1" w:styleId="1087">
    <w:name w:val="xl107"/>
    <w:basedOn w:val="1"/>
    <w:autoRedefine/>
    <w:qFormat/>
    <w:uiPriority w:val="0"/>
    <w:pPr>
      <w:widowControl/>
      <w:pBdr>
        <w:left w:val="double" w:color="auto" w:sz="6" w:space="0"/>
        <w:right w:val="single" w:color="auto" w:sz="8" w:space="0"/>
      </w:pBdr>
      <w:spacing w:before="100" w:beforeAutospacing="1" w:afterLines="20" w:afterAutospacing="1" w:line="240" w:lineRule="auto"/>
      <w:ind w:firstLine="0"/>
      <w:jc w:val="center"/>
    </w:pPr>
    <w:rPr>
      <w:rFonts w:ascii="宋体" w:hAnsi="宋体" w:cs="宋体"/>
      <w:kern w:val="0"/>
    </w:rPr>
  </w:style>
  <w:style w:type="paragraph" w:customStyle="1" w:styleId="1088">
    <w:name w:val="xl108"/>
    <w:basedOn w:val="1"/>
    <w:autoRedefine/>
    <w:qFormat/>
    <w:uiPriority w:val="0"/>
    <w:pPr>
      <w:widowControl/>
      <w:spacing w:before="100" w:beforeAutospacing="1" w:afterLines="20" w:afterAutospacing="1" w:line="240" w:lineRule="auto"/>
      <w:ind w:firstLine="0"/>
      <w:jc w:val="center"/>
    </w:pPr>
    <w:rPr>
      <w:i/>
      <w:iCs/>
      <w:color w:val="000000"/>
      <w:kern w:val="0"/>
      <w:sz w:val="18"/>
      <w:szCs w:val="18"/>
    </w:rPr>
  </w:style>
  <w:style w:type="paragraph" w:customStyle="1" w:styleId="1089">
    <w:name w:val="Char Char1 Char Char Char Char Char Char Char Char Char Char Char Char Char Char Char Char Char Char Char Char1 Char"/>
    <w:basedOn w:val="1"/>
    <w:link w:val="1294"/>
    <w:autoRedefine/>
    <w:qFormat/>
    <w:uiPriority w:val="0"/>
    <w:pPr>
      <w:spacing w:afterLines="20" w:line="240" w:lineRule="auto"/>
      <w:ind w:firstLine="0"/>
    </w:pPr>
    <w:rPr>
      <w:rFonts w:ascii="仿宋_GB2312" w:hAnsi="宋体" w:eastAsia="仿宋_GB2312"/>
      <w:sz w:val="28"/>
      <w:lang w:val="zh-CN" w:eastAsia="zh-CN"/>
    </w:rPr>
  </w:style>
  <w:style w:type="paragraph" w:customStyle="1" w:styleId="1090">
    <w:name w:val="样式 样式 样式 ZW + 首行缩进:  2 字符 + 首行缩进:  2 字符 + 首行缩进:  2 字符1"/>
    <w:basedOn w:val="1"/>
    <w:autoRedefine/>
    <w:qFormat/>
    <w:uiPriority w:val="0"/>
    <w:pPr>
      <w:adjustRightInd w:val="0"/>
      <w:snapToGrid w:val="0"/>
      <w:spacing w:afterLines="20" w:line="560" w:lineRule="exact"/>
      <w:ind w:firstLine="200" w:firstLineChars="200"/>
    </w:pPr>
    <w:rPr>
      <w:rFonts w:ascii="仿宋_GB2312" w:hAnsi="宋体" w:eastAsia="仿宋_GB2312" w:cs="仿宋_GB2312"/>
      <w:sz w:val="28"/>
      <w:szCs w:val="28"/>
      <w:lang w:val="zh-CN"/>
    </w:rPr>
  </w:style>
  <w:style w:type="paragraph" w:customStyle="1" w:styleId="1091">
    <w:name w:val="文档结构图2"/>
    <w:basedOn w:val="1"/>
    <w:link w:val="1296"/>
    <w:autoRedefine/>
    <w:qFormat/>
    <w:uiPriority w:val="99"/>
    <w:pPr>
      <w:spacing w:afterLines="20"/>
      <w:ind w:firstLine="880" w:firstLineChars="200"/>
    </w:pPr>
    <w:rPr>
      <w:rFonts w:ascii="宋体"/>
      <w:sz w:val="18"/>
      <w:szCs w:val="18"/>
      <w:lang w:val="zh-CN" w:eastAsia="zh-CN"/>
    </w:rPr>
  </w:style>
  <w:style w:type="paragraph" w:customStyle="1" w:styleId="1092">
    <w:name w:val="批注主题2"/>
    <w:basedOn w:val="28"/>
    <w:next w:val="28"/>
    <w:link w:val="1298"/>
    <w:autoRedefine/>
    <w:qFormat/>
    <w:uiPriority w:val="99"/>
    <w:pPr>
      <w:spacing w:afterLines="20"/>
      <w:ind w:firstLine="880" w:firstLineChars="200"/>
    </w:pPr>
    <w:rPr>
      <w:b/>
      <w:bCs/>
      <w:lang w:val="zh-CN" w:eastAsia="zh-CN"/>
    </w:rPr>
  </w:style>
  <w:style w:type="paragraph" w:customStyle="1" w:styleId="1093">
    <w:name w:val="样式 样式 表名 + 首行缩进:  1 字符1 + 首行缩进:  1 字符"/>
    <w:basedOn w:val="1075"/>
    <w:link w:val="1301"/>
    <w:autoRedefine/>
    <w:qFormat/>
    <w:uiPriority w:val="0"/>
    <w:pPr>
      <w:spacing w:afterLines="0"/>
    </w:pPr>
    <w:rPr>
      <w:rFonts w:cs="宋体"/>
      <w:bCs/>
    </w:rPr>
  </w:style>
  <w:style w:type="paragraph" w:customStyle="1" w:styleId="1094">
    <w:name w:val="BAOGAO正文"/>
    <w:basedOn w:val="1"/>
    <w:link w:val="1303"/>
    <w:autoRedefine/>
    <w:qFormat/>
    <w:uiPriority w:val="0"/>
    <w:pPr>
      <w:adjustRightInd w:val="0"/>
      <w:snapToGrid w:val="0"/>
      <w:ind w:firstLine="200" w:firstLineChars="200"/>
    </w:pPr>
    <w:rPr>
      <w:szCs w:val="20"/>
      <w:lang w:val="zh-CN" w:eastAsia="zh-CN"/>
    </w:rPr>
  </w:style>
  <w:style w:type="paragraph" w:customStyle="1" w:styleId="1095">
    <w:name w:val="2"/>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096">
    <w:name w:val="纯文本3"/>
    <w:basedOn w:val="1"/>
    <w:link w:val="1353"/>
    <w:autoRedefine/>
    <w:qFormat/>
    <w:uiPriority w:val="0"/>
    <w:pPr>
      <w:spacing w:line="240" w:lineRule="auto"/>
      <w:ind w:firstLine="0"/>
    </w:pPr>
    <w:rPr>
      <w:rFonts w:ascii="宋体" w:hAnsi="Courier New"/>
      <w:kern w:val="0"/>
      <w:sz w:val="20"/>
      <w:szCs w:val="20"/>
      <w:lang w:val="zh-CN" w:eastAsia="zh-CN"/>
    </w:rPr>
  </w:style>
  <w:style w:type="paragraph" w:customStyle="1" w:styleId="1097">
    <w:name w:val="Char Char Char Char Char Char Char Char1 Char Char Char Char"/>
    <w:basedOn w:val="1"/>
    <w:autoRedefine/>
    <w:qFormat/>
    <w:uiPriority w:val="0"/>
    <w:pPr>
      <w:spacing w:line="240" w:lineRule="auto"/>
      <w:ind w:firstLine="0"/>
    </w:pPr>
    <w:rPr>
      <w:sz w:val="21"/>
    </w:rPr>
  </w:style>
  <w:style w:type="paragraph" w:customStyle="1" w:styleId="1098">
    <w:name w:val="正文1 小四"/>
    <w:basedOn w:val="1"/>
    <w:autoRedefine/>
    <w:qFormat/>
    <w:uiPriority w:val="0"/>
    <w:pPr>
      <w:adjustRightInd w:val="0"/>
      <w:spacing w:line="420" w:lineRule="exact"/>
      <w:ind w:firstLine="200" w:firstLineChars="200"/>
      <w:jc w:val="left"/>
      <w:textAlignment w:val="baseline"/>
    </w:pPr>
    <w:rPr>
      <w:kern w:val="0"/>
      <w:szCs w:val="20"/>
    </w:rPr>
  </w:style>
  <w:style w:type="paragraph" w:customStyle="1" w:styleId="1099">
    <w:name w:val="样式 样式 样式 宋体 四号 首行缩进:  0.98 厘米 行距: 1.5 倍行距 + 首行缩进:  2 字符 + 首行缩进: ..."/>
    <w:basedOn w:val="1"/>
    <w:link w:val="1351"/>
    <w:autoRedefine/>
    <w:qFormat/>
    <w:uiPriority w:val="0"/>
    <w:pPr>
      <w:spacing w:line="560" w:lineRule="exact"/>
      <w:ind w:firstLine="560" w:firstLineChars="200"/>
    </w:pPr>
    <w:rPr>
      <w:rFonts w:ascii="仿宋_GB2312" w:hAnsi="宋体" w:eastAsia="仿宋_GB2312"/>
      <w:sz w:val="28"/>
      <w:szCs w:val="20"/>
      <w:lang w:val="zh-CN" w:eastAsia="zh-CN"/>
    </w:rPr>
  </w:style>
  <w:style w:type="paragraph" w:customStyle="1" w:styleId="1100">
    <w:name w:val="bm"/>
    <w:basedOn w:val="1"/>
    <w:autoRedefine/>
    <w:qFormat/>
    <w:uiPriority w:val="0"/>
    <w:pPr>
      <w:adjustRightInd w:val="0"/>
      <w:snapToGrid w:val="0"/>
      <w:spacing w:line="520" w:lineRule="exact"/>
      <w:ind w:firstLine="0"/>
      <w:jc w:val="center"/>
    </w:pPr>
    <w:rPr>
      <w:rFonts w:eastAsia="黑体"/>
      <w:bCs/>
    </w:rPr>
  </w:style>
  <w:style w:type="paragraph" w:customStyle="1" w:styleId="1101">
    <w:name w:val="样式 标题 3条标题1.1.13h33rd levelH3l3CT白鹤滩标题 3Bold Headbh段..."/>
    <w:basedOn w:val="5"/>
    <w:autoRedefine/>
    <w:qFormat/>
    <w:uiPriority w:val="0"/>
    <w:pPr>
      <w:keepNext/>
      <w:keepLines/>
      <w:adjustRightInd w:val="0"/>
      <w:snapToGrid w:val="0"/>
      <w:spacing w:before="60" w:line="520" w:lineRule="exact"/>
      <w:ind w:firstLine="560" w:firstLineChars="200"/>
      <w:jc w:val="both"/>
      <w:textAlignment w:val="baseline"/>
    </w:pPr>
    <w:rPr>
      <w:snapToGrid w:val="0"/>
      <w:kern w:val="0"/>
      <w:sz w:val="28"/>
      <w:szCs w:val="28"/>
    </w:rPr>
  </w:style>
  <w:style w:type="paragraph" w:customStyle="1" w:styleId="1102">
    <w:name w:val="表格表头"/>
    <w:basedOn w:val="1"/>
    <w:autoRedefine/>
    <w:qFormat/>
    <w:uiPriority w:val="0"/>
    <w:pPr>
      <w:widowControl/>
      <w:spacing w:line="240" w:lineRule="auto"/>
      <w:ind w:firstLine="400" w:firstLineChars="200"/>
      <w:jc w:val="left"/>
    </w:pPr>
    <w:rPr>
      <w:rFonts w:ascii="宋体" w:hAnsi="宋体" w:cs="宋体"/>
      <w:kern w:val="0"/>
      <w:sz w:val="18"/>
      <w:szCs w:val="18"/>
    </w:rPr>
  </w:style>
  <w:style w:type="paragraph" w:customStyle="1" w:styleId="1103">
    <w:name w:val="Char Char Char Char Char Char Char Char Char Char Char Char Char Char Char Char Char Char Char"/>
    <w:basedOn w:val="1"/>
    <w:autoRedefine/>
    <w:qFormat/>
    <w:uiPriority w:val="0"/>
    <w:pPr>
      <w:ind w:firstLine="200" w:firstLineChars="200"/>
    </w:pPr>
  </w:style>
  <w:style w:type="paragraph" w:customStyle="1" w:styleId="1104">
    <w:name w:val="Char Char Char Char Char Char Char Char Char Char1"/>
    <w:basedOn w:val="1"/>
    <w:autoRedefine/>
    <w:qFormat/>
    <w:uiPriority w:val="0"/>
    <w:pPr>
      <w:ind w:firstLine="200" w:firstLineChars="200"/>
    </w:pPr>
    <w:rPr>
      <w:rFonts w:ascii="宋体" w:hAnsi="宋体" w:cs="宋体"/>
    </w:rPr>
  </w:style>
  <w:style w:type="paragraph" w:customStyle="1" w:styleId="1105">
    <w:name w:val="样式 正文首行缩进 + 首行缩进:  1 字符"/>
    <w:basedOn w:val="86"/>
    <w:next w:val="86"/>
    <w:autoRedefine/>
    <w:qFormat/>
    <w:uiPriority w:val="0"/>
    <w:pPr>
      <w:spacing w:after="0"/>
      <w:ind w:firstLine="200"/>
    </w:pPr>
    <w:rPr>
      <w:rFonts w:ascii="黑体" w:hAnsi="黑体" w:cs="宋体"/>
      <w:b/>
      <w:color w:val="auto"/>
      <w:spacing w:val="0"/>
      <w:kern w:val="2"/>
      <w:szCs w:val="24"/>
      <w:lang w:val="zh-CN" w:eastAsia="zh-CN"/>
    </w:rPr>
  </w:style>
  <w:style w:type="paragraph" w:customStyle="1" w:styleId="1106">
    <w:name w:val="Char Char Char Char Char Char Char Char Char2 Char Char Char Char Char Char Char Char Char Char Char Char"/>
    <w:basedOn w:val="1"/>
    <w:autoRedefine/>
    <w:qFormat/>
    <w:uiPriority w:val="0"/>
    <w:pPr>
      <w:ind w:firstLine="200" w:firstLineChars="200"/>
    </w:pPr>
    <w:rPr>
      <w:rFonts w:ascii="宋体" w:hAnsi="宋体" w:cs="宋体"/>
    </w:rPr>
  </w:style>
  <w:style w:type="paragraph" w:customStyle="1" w:styleId="1107">
    <w:name w:val="列出段落52"/>
    <w:basedOn w:val="1"/>
    <w:autoRedefine/>
    <w:qFormat/>
    <w:uiPriority w:val="99"/>
    <w:pPr>
      <w:ind w:firstLine="200" w:firstLineChars="200"/>
    </w:pPr>
  </w:style>
  <w:style w:type="paragraph" w:customStyle="1" w:styleId="1108">
    <w:name w:val="样式 蓝色 首行缩进:  0.85 厘米"/>
    <w:basedOn w:val="1"/>
    <w:autoRedefine/>
    <w:qFormat/>
    <w:uiPriority w:val="0"/>
    <w:pPr>
      <w:ind w:firstLine="200" w:firstLineChars="200"/>
    </w:pPr>
    <w:rPr>
      <w:rFonts w:cs="宋体"/>
      <w:color w:val="0000FF"/>
      <w:szCs w:val="20"/>
    </w:rPr>
  </w:style>
  <w:style w:type="paragraph" w:customStyle="1" w:styleId="1109">
    <w:name w:val="标题 4 水电"/>
    <w:basedOn w:val="6"/>
    <w:autoRedefine/>
    <w:qFormat/>
    <w:uiPriority w:val="0"/>
    <w:pPr>
      <w:tabs>
        <w:tab w:val="left" w:pos="1260"/>
      </w:tabs>
      <w:spacing w:before="0" w:beforeLines="25" w:after="0" w:afterLines="25" w:line="360" w:lineRule="auto"/>
      <w:ind w:firstLine="420"/>
    </w:pPr>
    <w:rPr>
      <w:rFonts w:ascii="宋体" w:hAnsi="宋体" w:eastAsia="宋体"/>
      <w:color w:val="0000FF"/>
      <w:sz w:val="24"/>
      <w:szCs w:val="24"/>
    </w:rPr>
  </w:style>
  <w:style w:type="paragraph" w:customStyle="1" w:styleId="1110">
    <w:name w:val="标题 2 水电"/>
    <w:basedOn w:val="4"/>
    <w:autoRedefine/>
    <w:qFormat/>
    <w:uiPriority w:val="0"/>
    <w:pPr>
      <w:tabs>
        <w:tab w:val="left" w:pos="426"/>
        <w:tab w:val="left" w:pos="1360"/>
        <w:tab w:val="left" w:pos="3440"/>
        <w:tab w:val="left" w:pos="5926"/>
      </w:tabs>
      <w:ind w:left="380"/>
      <w:jc w:val="both"/>
      <w:textAlignment w:val="auto"/>
    </w:pPr>
    <w:rPr>
      <w:rFonts w:eastAsia="宋体"/>
      <w:b/>
      <w:bCs/>
      <w:snapToGrid w:val="0"/>
      <w:color w:val="FF0000"/>
      <w:szCs w:val="28"/>
      <w:lang w:val="zh-CN" w:eastAsia="zh-CN" w:bidi="ar-SA"/>
    </w:rPr>
  </w:style>
  <w:style w:type="paragraph" w:customStyle="1" w:styleId="1111">
    <w:name w:val="符号后文字"/>
    <w:basedOn w:val="21"/>
    <w:autoRedefine/>
    <w:qFormat/>
    <w:uiPriority w:val="0"/>
    <w:pPr>
      <w:spacing w:line="240" w:lineRule="auto"/>
      <w:ind w:firstLine="420"/>
    </w:pPr>
    <w:rPr>
      <w:sz w:val="21"/>
    </w:rPr>
  </w:style>
  <w:style w:type="paragraph" w:customStyle="1" w:styleId="1112">
    <w:name w:val="haydonli"/>
    <w:basedOn w:val="1"/>
    <w:link w:val="1374"/>
    <w:autoRedefine/>
    <w:qFormat/>
    <w:uiPriority w:val="0"/>
    <w:pPr>
      <w:snapToGrid w:val="0"/>
      <w:ind w:firstLine="482" w:firstLineChars="200"/>
    </w:pPr>
    <w:rPr>
      <w:lang w:val="zh-CN" w:eastAsia="zh-CN"/>
    </w:rPr>
  </w:style>
  <w:style w:type="paragraph" w:customStyle="1" w:styleId="1113">
    <w:name w:val="标题 3 水电"/>
    <w:basedOn w:val="5"/>
    <w:link w:val="1305"/>
    <w:autoRedefine/>
    <w:qFormat/>
    <w:uiPriority w:val="0"/>
    <w:pPr>
      <w:keepNext/>
      <w:keepLines/>
      <w:tabs>
        <w:tab w:val="left" w:pos="1080"/>
      </w:tabs>
      <w:spacing w:afterLines="25"/>
      <w:jc w:val="both"/>
    </w:pPr>
    <w:rPr>
      <w:rFonts w:ascii="宋体" w:hAnsi="宋体" w:eastAsia="宋体"/>
      <w:b/>
      <w:bCs/>
      <w:color w:val="0000FF"/>
      <w:sz w:val="28"/>
      <w:szCs w:val="28"/>
      <w:lang w:val="zh-CN" w:eastAsia="zh-CN"/>
    </w:rPr>
  </w:style>
  <w:style w:type="paragraph" w:customStyle="1" w:styleId="1114">
    <w:name w:val="XCHG论文正文 Char Char Char Char Char Char Char"/>
    <w:basedOn w:val="1"/>
    <w:link w:val="1310"/>
    <w:autoRedefine/>
    <w:qFormat/>
    <w:uiPriority w:val="0"/>
    <w:pPr>
      <w:spacing w:line="288" w:lineRule="auto"/>
      <w:ind w:firstLine="480" w:firstLineChars="200"/>
    </w:pPr>
    <w:rPr>
      <w:color w:val="000000"/>
      <w:kern w:val="0"/>
      <w:lang w:val="zh-CN" w:eastAsia="zh-CN"/>
    </w:rPr>
  </w:style>
  <w:style w:type="paragraph" w:customStyle="1" w:styleId="1115">
    <w:name w:val="表格文字1-小4居中"/>
    <w:basedOn w:val="1"/>
    <w:autoRedefine/>
    <w:qFormat/>
    <w:uiPriority w:val="0"/>
    <w:pPr>
      <w:snapToGrid w:val="0"/>
      <w:spacing w:line="240" w:lineRule="auto"/>
      <w:ind w:firstLine="0"/>
      <w:jc w:val="center"/>
    </w:pPr>
  </w:style>
  <w:style w:type="paragraph" w:customStyle="1" w:styleId="1116">
    <w:name w:val="样式 首行缩进:  2 字符3"/>
    <w:basedOn w:val="1"/>
    <w:link w:val="1319"/>
    <w:autoRedefine/>
    <w:qFormat/>
    <w:uiPriority w:val="0"/>
    <w:pPr>
      <w:spacing w:line="560" w:lineRule="exact"/>
      <w:ind w:firstLine="560" w:firstLineChars="200"/>
    </w:pPr>
    <w:rPr>
      <w:rFonts w:eastAsia="仿宋_GB2312"/>
      <w:sz w:val="28"/>
      <w:szCs w:val="28"/>
      <w:lang w:val="zh-CN" w:eastAsia="zh-CN"/>
    </w:rPr>
  </w:style>
  <w:style w:type="paragraph" w:customStyle="1" w:styleId="1117">
    <w:name w:val="PP 行"/>
    <w:basedOn w:val="58"/>
    <w:autoRedefine/>
    <w:qFormat/>
    <w:uiPriority w:val="0"/>
    <w:rPr>
      <w:lang w:val="zh-CN" w:eastAsia="zh-CN"/>
    </w:rPr>
  </w:style>
  <w:style w:type="paragraph" w:customStyle="1" w:styleId="1118">
    <w:name w:val="Char Char Char Char Char Char1 Char Char Char Char Char Char Char Char Char Char"/>
    <w:basedOn w:val="1"/>
    <w:autoRedefine/>
    <w:qFormat/>
    <w:uiPriority w:val="0"/>
    <w:pPr>
      <w:spacing w:line="560" w:lineRule="exact"/>
      <w:ind w:firstLine="200" w:firstLineChars="200"/>
      <w:jc w:val="left"/>
    </w:pPr>
    <w:rPr>
      <w:rFonts w:ascii="Arial" w:hAnsi="Arial" w:eastAsia="方正小标宋_GBK"/>
      <w:sz w:val="28"/>
      <w:szCs w:val="28"/>
    </w:rPr>
  </w:style>
  <w:style w:type="paragraph" w:customStyle="1" w:styleId="1119">
    <w:name w:val="Char Char Char Char Char Char Char Char Char Char Char Char1"/>
    <w:basedOn w:val="1"/>
    <w:autoRedefine/>
    <w:qFormat/>
    <w:uiPriority w:val="0"/>
    <w:pPr>
      <w:spacing w:line="240" w:lineRule="auto"/>
      <w:ind w:firstLine="0"/>
    </w:pPr>
    <w:rPr>
      <w:sz w:val="21"/>
    </w:rPr>
  </w:style>
  <w:style w:type="paragraph" w:customStyle="1" w:styleId="1120">
    <w:name w:val="五号表格"/>
    <w:basedOn w:val="1"/>
    <w:autoRedefine/>
    <w:qFormat/>
    <w:uiPriority w:val="0"/>
    <w:pPr>
      <w:adjustRightInd w:val="0"/>
      <w:spacing w:line="240" w:lineRule="auto"/>
      <w:ind w:firstLine="0"/>
      <w:jc w:val="center"/>
      <w:textAlignment w:val="baseline"/>
    </w:pPr>
    <w:rPr>
      <w:sz w:val="21"/>
    </w:rPr>
  </w:style>
  <w:style w:type="paragraph" w:customStyle="1" w:styleId="1121">
    <w:name w:val="byd"/>
    <w:basedOn w:val="1"/>
    <w:link w:val="1309"/>
    <w:autoRedefine/>
    <w:qFormat/>
    <w:uiPriority w:val="0"/>
    <w:pPr>
      <w:spacing w:line="520" w:lineRule="exact"/>
      <w:ind w:firstLine="560" w:firstLineChars="200"/>
    </w:pPr>
    <w:rPr>
      <w:rFonts w:eastAsia="仿宋_GB2312"/>
      <w:sz w:val="28"/>
      <w:szCs w:val="28"/>
      <w:lang w:val="zh-CN" w:eastAsia="zh-CN"/>
    </w:rPr>
  </w:style>
  <w:style w:type="paragraph" w:customStyle="1" w:styleId="1122">
    <w:name w:val="条文 水电"/>
    <w:basedOn w:val="1"/>
    <w:autoRedefine/>
    <w:qFormat/>
    <w:uiPriority w:val="0"/>
    <w:pPr>
      <w:spacing w:line="540" w:lineRule="exact"/>
      <w:ind w:firstLine="0"/>
      <w:textAlignment w:val="baseline"/>
    </w:pPr>
  </w:style>
  <w:style w:type="paragraph" w:customStyle="1" w:styleId="1123">
    <w:name w:val="技术规范"/>
    <w:basedOn w:val="1"/>
    <w:autoRedefine/>
    <w:qFormat/>
    <w:uiPriority w:val="0"/>
    <w:pPr>
      <w:widowControl/>
      <w:tabs>
        <w:tab w:val="left" w:pos="360"/>
      </w:tabs>
      <w:spacing w:line="240" w:lineRule="auto"/>
      <w:ind w:left="1202" w:hanging="420"/>
      <w:jc w:val="left"/>
    </w:pPr>
    <w:rPr>
      <w:kern w:val="0"/>
      <w:szCs w:val="20"/>
    </w:rPr>
  </w:style>
  <w:style w:type="paragraph" w:customStyle="1" w:styleId="1124">
    <w:name w:val="默认段落字体 Para Char Char Char Char Char Char Char Char Char Char1 Char Char Char Char"/>
    <w:basedOn w:val="1"/>
    <w:autoRedefine/>
    <w:qFormat/>
    <w:uiPriority w:val="0"/>
    <w:pPr>
      <w:spacing w:line="240" w:lineRule="auto"/>
      <w:ind w:firstLine="0"/>
    </w:pPr>
    <w:rPr>
      <w:sz w:val="21"/>
    </w:rPr>
  </w:style>
  <w:style w:type="paragraph" w:customStyle="1" w:styleId="1125">
    <w:name w:val="默认段落字体 Para Char Char Char Char Char Char Char"/>
    <w:basedOn w:val="1"/>
    <w:autoRedefine/>
    <w:qFormat/>
    <w:uiPriority w:val="0"/>
    <w:pPr>
      <w:spacing w:line="240" w:lineRule="auto"/>
      <w:ind w:firstLine="0"/>
    </w:pPr>
    <w:rPr>
      <w:sz w:val="21"/>
    </w:rPr>
  </w:style>
  <w:style w:type="paragraph" w:customStyle="1" w:styleId="1126">
    <w:name w:val="Char21"/>
    <w:basedOn w:val="1"/>
    <w:autoRedefine/>
    <w:qFormat/>
    <w:uiPriority w:val="0"/>
    <w:pPr>
      <w:spacing w:line="240" w:lineRule="auto"/>
      <w:ind w:left="-48" w:firstLine="0"/>
    </w:pPr>
    <w:rPr>
      <w:sz w:val="21"/>
    </w:rPr>
  </w:style>
  <w:style w:type="paragraph" w:customStyle="1" w:styleId="1127">
    <w:name w:val="Char2 Char Char Char Char Char Char Char Char Char Char Char Char Char Char Char Char Char Char"/>
    <w:basedOn w:val="1"/>
    <w:autoRedefine/>
    <w:qFormat/>
    <w:uiPriority w:val="0"/>
    <w:pPr>
      <w:spacing w:line="240" w:lineRule="auto"/>
      <w:ind w:left="-48" w:firstLine="0"/>
    </w:pPr>
    <w:rPr>
      <w:sz w:val="21"/>
    </w:rPr>
  </w:style>
  <w:style w:type="paragraph" w:customStyle="1" w:styleId="1128">
    <w:name w:val="1 Char Char Char Char Char Char Char"/>
    <w:basedOn w:val="1"/>
    <w:autoRedefine/>
    <w:qFormat/>
    <w:uiPriority w:val="0"/>
    <w:pPr>
      <w:spacing w:line="240" w:lineRule="auto"/>
      <w:ind w:firstLine="0"/>
    </w:pPr>
    <w:rPr>
      <w:bCs/>
      <w:kern w:val="0"/>
      <w:sz w:val="21"/>
    </w:rPr>
  </w:style>
  <w:style w:type="paragraph" w:customStyle="1" w:styleId="1129">
    <w:name w:val="表格 Char Char Char Char Char"/>
    <w:basedOn w:val="1"/>
    <w:link w:val="1331"/>
    <w:autoRedefine/>
    <w:qFormat/>
    <w:uiPriority w:val="0"/>
    <w:pPr>
      <w:widowControl/>
      <w:adjustRightInd w:val="0"/>
      <w:snapToGrid w:val="0"/>
      <w:spacing w:line="240" w:lineRule="auto"/>
      <w:ind w:firstLine="0"/>
      <w:jc w:val="center"/>
    </w:pPr>
    <w:rPr>
      <w:rFonts w:ascii="宋体" w:hAnsi="宋体"/>
      <w:kern w:val="0"/>
      <w:sz w:val="20"/>
      <w:szCs w:val="21"/>
      <w:lang w:val="zh-CN" w:eastAsia="zh-CN"/>
    </w:rPr>
  </w:style>
  <w:style w:type="paragraph" w:customStyle="1" w:styleId="1130">
    <w:name w:val="样式 标题 4 + 红色"/>
    <w:basedOn w:val="6"/>
    <w:autoRedefine/>
    <w:qFormat/>
    <w:uiPriority w:val="0"/>
    <w:pPr>
      <w:tabs>
        <w:tab w:val="left" w:pos="864"/>
      </w:tabs>
      <w:spacing w:before="156" w:beforeLines="50" w:after="0" w:afterLines="20" w:line="240" w:lineRule="auto"/>
      <w:ind w:left="864" w:hanging="864"/>
    </w:pPr>
    <w:rPr>
      <w:rFonts w:eastAsia="宋体"/>
      <w:b w:val="0"/>
      <w:bCs w:val="0"/>
      <w:sz w:val="24"/>
      <w:szCs w:val="24"/>
    </w:rPr>
  </w:style>
  <w:style w:type="paragraph" w:customStyle="1" w:styleId="1131">
    <w:name w:val="样式 haydonli + 首行缩进:  2 字符"/>
    <w:basedOn w:val="1"/>
    <w:autoRedefine/>
    <w:qFormat/>
    <w:uiPriority w:val="0"/>
    <w:pPr>
      <w:adjustRightInd w:val="0"/>
      <w:snapToGrid w:val="0"/>
      <w:ind w:firstLine="200" w:firstLineChars="200"/>
    </w:pPr>
  </w:style>
  <w:style w:type="paragraph" w:customStyle="1" w:styleId="1132">
    <w:name w:val="表格（小）"/>
    <w:basedOn w:val="1"/>
    <w:autoRedefine/>
    <w:qFormat/>
    <w:uiPriority w:val="0"/>
    <w:pPr>
      <w:adjustRightInd w:val="0"/>
      <w:snapToGrid w:val="0"/>
      <w:spacing w:line="240" w:lineRule="auto"/>
      <w:ind w:firstLine="0"/>
    </w:pPr>
    <w:rPr>
      <w:snapToGrid w:val="0"/>
      <w:kern w:val="0"/>
      <w:sz w:val="21"/>
      <w:szCs w:val="20"/>
    </w:rPr>
  </w:style>
  <w:style w:type="paragraph" w:customStyle="1" w:styleId="1133">
    <w:name w:val="普通(网站)3"/>
    <w:basedOn w:val="1"/>
    <w:autoRedefine/>
    <w:qFormat/>
    <w:uiPriority w:val="0"/>
    <w:pPr>
      <w:widowControl/>
      <w:spacing w:before="100" w:beforeAutospacing="1" w:afterAutospacing="1" w:line="240" w:lineRule="auto"/>
      <w:ind w:firstLine="0"/>
      <w:jc w:val="left"/>
    </w:pPr>
    <w:rPr>
      <w:rFonts w:ascii="宋体" w:hAnsi="宋体" w:cs="宋体"/>
      <w:kern w:val="0"/>
    </w:rPr>
  </w:style>
  <w:style w:type="paragraph" w:customStyle="1" w:styleId="1134">
    <w:name w:val="正文文本缩进2"/>
    <w:basedOn w:val="1"/>
    <w:link w:val="1356"/>
    <w:autoRedefine/>
    <w:qFormat/>
    <w:uiPriority w:val="0"/>
    <w:pPr>
      <w:spacing w:line="420" w:lineRule="exact"/>
      <w:ind w:firstLine="425"/>
    </w:pPr>
    <w:rPr>
      <w:kern w:val="0"/>
      <w:szCs w:val="20"/>
      <w:lang w:val="zh-CN" w:eastAsia="zh-CN"/>
    </w:rPr>
  </w:style>
  <w:style w:type="paragraph" w:customStyle="1" w:styleId="1135">
    <w:name w:val="正文 New New New New New New New New New New New New New New New New New New New New New New New New New New New New New New New New New New New New New New New New New New New New New New New New New"/>
    <w:autoRedefine/>
    <w:qFormat/>
    <w:uiPriority w:val="0"/>
    <w:pPr>
      <w:widowControl w:val="0"/>
      <w:spacing w:beforeLines="25" w:afterLines="25" w:line="360" w:lineRule="auto"/>
      <w:jc w:val="both"/>
    </w:pPr>
    <w:rPr>
      <w:rFonts w:ascii="Times New Roman" w:hAnsi="Times New Roman" w:eastAsia="宋体" w:cs="Times New Roman"/>
      <w:kern w:val="2"/>
      <w:sz w:val="24"/>
      <w:szCs w:val="22"/>
      <w:lang w:val="en-US" w:eastAsia="zh-CN" w:bidi="ar-SA"/>
    </w:rPr>
  </w:style>
  <w:style w:type="paragraph" w:customStyle="1" w:styleId="1136">
    <w:name w:val="F文字-注释"/>
    <w:basedOn w:val="1137"/>
    <w:autoRedefine/>
    <w:qFormat/>
    <w:uiPriority w:val="0"/>
    <w:pPr>
      <w:spacing w:afterLines="50"/>
    </w:pPr>
    <w:rPr>
      <w:sz w:val="21"/>
    </w:rPr>
  </w:style>
  <w:style w:type="paragraph" w:customStyle="1" w:styleId="1137">
    <w:name w:val="A正文"/>
    <w:basedOn w:val="1"/>
    <w:autoRedefine/>
    <w:qFormat/>
    <w:uiPriority w:val="0"/>
    <w:pPr>
      <w:ind w:firstLine="200" w:firstLineChars="200"/>
    </w:pPr>
  </w:style>
  <w:style w:type="paragraph" w:customStyle="1" w:styleId="1138">
    <w:name w:val="F文字-标准规范"/>
    <w:basedOn w:val="1137"/>
    <w:autoRedefine/>
    <w:qFormat/>
    <w:uiPriority w:val="0"/>
    <w:pPr>
      <w:widowControl/>
      <w:numPr>
        <w:ilvl w:val="0"/>
        <w:numId w:val="6"/>
      </w:numPr>
      <w:tabs>
        <w:tab w:val="left" w:pos="646"/>
        <w:tab w:val="right" w:leader="dot" w:pos="9000"/>
      </w:tabs>
      <w:adjustRightInd w:val="0"/>
      <w:snapToGrid w:val="0"/>
      <w:spacing w:beforeLines="20" w:line="240" w:lineRule="auto"/>
      <w:ind w:left="227" w:firstLine="0" w:firstLineChars="0"/>
      <w:jc w:val="left"/>
    </w:pPr>
  </w:style>
  <w:style w:type="paragraph" w:customStyle="1" w:styleId="1139">
    <w:name w:val="签名1"/>
    <w:basedOn w:val="1"/>
    <w:link w:val="1339"/>
    <w:autoRedefine/>
    <w:qFormat/>
    <w:uiPriority w:val="0"/>
    <w:pPr>
      <w:spacing w:line="240" w:lineRule="auto"/>
      <w:ind w:left="100" w:leftChars="2100" w:firstLine="0"/>
    </w:pPr>
    <w:rPr>
      <w:kern w:val="0"/>
      <w:sz w:val="20"/>
      <w:lang w:val="zh-CN" w:eastAsia="zh-CN"/>
    </w:rPr>
  </w:style>
  <w:style w:type="paragraph" w:customStyle="1" w:styleId="1140">
    <w:name w:val="批注文字 New"/>
    <w:basedOn w:val="1"/>
    <w:autoRedefine/>
    <w:qFormat/>
    <w:uiPriority w:val="0"/>
    <w:pPr>
      <w:ind w:firstLine="200" w:firstLineChars="200"/>
      <w:jc w:val="left"/>
    </w:pPr>
    <w:rPr>
      <w:szCs w:val="22"/>
    </w:rPr>
  </w:style>
  <w:style w:type="paragraph" w:customStyle="1" w:styleId="1141">
    <w:name w:val="题注-表"/>
    <w:basedOn w:val="22"/>
    <w:next w:val="1"/>
    <w:autoRedefine/>
    <w:qFormat/>
    <w:uiPriority w:val="0"/>
    <w:pPr>
      <w:spacing w:beforeLines="50"/>
      <w:jc w:val="center"/>
    </w:pPr>
    <w:rPr>
      <w:rFonts w:ascii="Times New Roman" w:hAnsi="Times New Roman" w:eastAsia="宋体" w:cs="Times New Roman"/>
      <w:sz w:val="24"/>
      <w:szCs w:val="24"/>
      <w:lang w:val="zh-CN" w:eastAsia="zh-CN"/>
    </w:rPr>
  </w:style>
  <w:style w:type="paragraph" w:customStyle="1" w:styleId="1142">
    <w:name w:val="ZW－lei"/>
    <w:basedOn w:val="1"/>
    <w:autoRedefine/>
    <w:qFormat/>
    <w:uiPriority w:val="0"/>
    <w:pPr>
      <w:spacing w:line="560" w:lineRule="exact"/>
      <w:ind w:firstLine="560" w:firstLineChars="200"/>
    </w:pPr>
    <w:rPr>
      <w:rFonts w:eastAsia="仿宋_GB2312"/>
      <w:sz w:val="28"/>
      <w:szCs w:val="28"/>
    </w:rPr>
  </w:style>
  <w:style w:type="paragraph" w:customStyle="1" w:styleId="1143">
    <w:name w:val="正文文本 31"/>
    <w:basedOn w:val="1"/>
    <w:link w:val="1338"/>
    <w:autoRedefine/>
    <w:qFormat/>
    <w:uiPriority w:val="0"/>
    <w:pPr>
      <w:spacing w:line="240" w:lineRule="auto"/>
      <w:ind w:firstLine="0"/>
      <w:jc w:val="center"/>
    </w:pPr>
    <w:rPr>
      <w:kern w:val="0"/>
      <w:sz w:val="20"/>
      <w:szCs w:val="20"/>
    </w:rPr>
  </w:style>
  <w:style w:type="paragraph" w:customStyle="1" w:styleId="1144">
    <w:name w:val="t表格文字左齐"/>
    <w:basedOn w:val="1"/>
    <w:autoRedefine/>
    <w:qFormat/>
    <w:uiPriority w:val="0"/>
    <w:pPr>
      <w:spacing w:line="240" w:lineRule="auto"/>
      <w:ind w:firstLine="0"/>
    </w:pPr>
    <w:rPr>
      <w:sz w:val="21"/>
      <w:szCs w:val="21"/>
    </w:rPr>
  </w:style>
  <w:style w:type="paragraph" w:customStyle="1" w:styleId="1145">
    <w:name w:val="表内格式"/>
    <w:basedOn w:val="1"/>
    <w:link w:val="1335"/>
    <w:autoRedefine/>
    <w:qFormat/>
    <w:uiPriority w:val="0"/>
    <w:pPr>
      <w:spacing w:line="240" w:lineRule="auto"/>
      <w:ind w:firstLine="0"/>
      <w:jc w:val="center"/>
    </w:pPr>
    <w:rPr>
      <w:sz w:val="18"/>
      <w:szCs w:val="20"/>
      <w:lang w:val="zh-CN" w:eastAsia="zh-CN"/>
    </w:rPr>
  </w:style>
  <w:style w:type="paragraph" w:customStyle="1" w:styleId="1146">
    <w:name w:val="样式-lei"/>
    <w:basedOn w:val="1"/>
    <w:link w:val="1323"/>
    <w:autoRedefine/>
    <w:qFormat/>
    <w:uiPriority w:val="0"/>
    <w:pPr>
      <w:spacing w:line="520" w:lineRule="exact"/>
      <w:ind w:firstLine="560" w:firstLineChars="200"/>
    </w:pPr>
    <w:rPr>
      <w:rFonts w:eastAsia="仿宋_GB2312"/>
      <w:sz w:val="28"/>
      <w:szCs w:val="28"/>
      <w:lang w:val="zh-CN" w:eastAsia="zh-CN"/>
    </w:rPr>
  </w:style>
  <w:style w:type="paragraph" w:customStyle="1" w:styleId="1147">
    <w:name w:val="样式 首行缩进:  2 字符2"/>
    <w:basedOn w:val="1"/>
    <w:link w:val="1324"/>
    <w:autoRedefine/>
    <w:qFormat/>
    <w:uiPriority w:val="0"/>
    <w:pPr>
      <w:spacing w:line="560" w:lineRule="exact"/>
      <w:ind w:firstLine="200" w:firstLineChars="200"/>
    </w:pPr>
    <w:rPr>
      <w:rFonts w:ascii="仿宋_GB2312" w:eastAsia="仿宋_GB2312"/>
      <w:sz w:val="28"/>
      <w:szCs w:val="20"/>
      <w:lang w:val="zh-CN" w:eastAsia="zh-CN"/>
    </w:rPr>
  </w:style>
  <w:style w:type="paragraph" w:customStyle="1" w:styleId="1148">
    <w:name w:val="t表格文字居中"/>
    <w:basedOn w:val="1"/>
    <w:autoRedefine/>
    <w:qFormat/>
    <w:uiPriority w:val="0"/>
    <w:pPr>
      <w:spacing w:line="240" w:lineRule="auto"/>
      <w:ind w:firstLine="0"/>
      <w:jc w:val="center"/>
      <w:textAlignment w:val="center"/>
    </w:pPr>
    <w:rPr>
      <w:sz w:val="21"/>
      <w:szCs w:val="21"/>
    </w:rPr>
  </w:style>
  <w:style w:type="paragraph" w:customStyle="1" w:styleId="1149">
    <w:name w:val="批注主题3"/>
    <w:basedOn w:val="28"/>
    <w:next w:val="28"/>
    <w:autoRedefine/>
    <w:qFormat/>
    <w:uiPriority w:val="0"/>
    <w:pPr>
      <w:spacing w:line="240" w:lineRule="auto"/>
    </w:pPr>
    <w:rPr>
      <w:b/>
      <w:bCs/>
      <w:kern w:val="0"/>
      <w:sz w:val="20"/>
      <w:szCs w:val="20"/>
      <w:lang w:val="zh-CN" w:eastAsia="zh-CN"/>
    </w:rPr>
  </w:style>
  <w:style w:type="paragraph" w:customStyle="1" w:styleId="1150">
    <w:name w:val="纯文本 New New New New"/>
    <w:basedOn w:val="1151"/>
    <w:autoRedefine/>
    <w:qFormat/>
    <w:uiPriority w:val="0"/>
    <w:rPr>
      <w:rFonts w:ascii="宋体" w:hAnsi="Courier New" w:cs="Courier New"/>
      <w:szCs w:val="21"/>
    </w:rPr>
  </w:style>
  <w:style w:type="paragraph" w:customStyle="1" w:styleId="1151">
    <w:name w:val="正文 New New New New New New New New New New New New New New New New New New New New New New New New New New New New New New New New New New New New New New New New New New New New New New New New New New New New New New New New New New New New New New 2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2">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153">
    <w:name w:val="表头样式1"/>
    <w:basedOn w:val="1"/>
    <w:link w:val="1316"/>
    <w:autoRedefine/>
    <w:qFormat/>
    <w:uiPriority w:val="0"/>
    <w:pPr>
      <w:spacing w:beforeLines="50" w:line="240" w:lineRule="auto"/>
      <w:ind w:firstLine="0"/>
      <w:jc w:val="center"/>
    </w:pPr>
    <w:rPr>
      <w:rFonts w:eastAsia="黑体"/>
      <w:b/>
      <w:szCs w:val="20"/>
      <w:lang w:val="zh-CN" w:eastAsia="zh-CN"/>
    </w:rPr>
  </w:style>
  <w:style w:type="paragraph" w:customStyle="1" w:styleId="1154">
    <w:name w:val="样式 样式 首行缩进:  2 字符2 + 首行缩进:  2 字符1"/>
    <w:basedOn w:val="1147"/>
    <w:link w:val="1329"/>
    <w:autoRedefine/>
    <w:qFormat/>
    <w:uiPriority w:val="0"/>
    <w:rPr>
      <w:rFonts w:ascii="Times New Roman" w:eastAsia="宋体"/>
      <w:kern w:val="0"/>
      <w:sz w:val="20"/>
    </w:rPr>
  </w:style>
  <w:style w:type="paragraph" w:customStyle="1" w:styleId="1155">
    <w:name w:val="正文文本缩进 21"/>
    <w:basedOn w:val="1"/>
    <w:link w:val="1360"/>
    <w:autoRedefine/>
    <w:qFormat/>
    <w:uiPriority w:val="0"/>
    <w:pPr>
      <w:ind w:firstLine="567"/>
    </w:pPr>
    <w:rPr>
      <w:rFonts w:ascii="宋体"/>
      <w:kern w:val="0"/>
      <w:szCs w:val="20"/>
      <w:lang w:val="zh-CN" w:eastAsia="zh-CN"/>
    </w:rPr>
  </w:style>
  <w:style w:type="paragraph" w:customStyle="1" w:styleId="1156">
    <w:name w:val="文本块1"/>
    <w:basedOn w:val="1"/>
    <w:autoRedefine/>
    <w:qFormat/>
    <w:uiPriority w:val="99"/>
    <w:pPr>
      <w:spacing w:beforeLines="20"/>
      <w:ind w:firstLine="0"/>
      <w:jc w:val="center"/>
    </w:pPr>
    <w:rPr>
      <w:b/>
      <w:sz w:val="21"/>
    </w:rPr>
  </w:style>
  <w:style w:type="paragraph" w:customStyle="1" w:styleId="1157">
    <w:name w:val="正文缩进3"/>
    <w:basedOn w:val="1"/>
    <w:autoRedefine/>
    <w:qFormat/>
    <w:uiPriority w:val="0"/>
    <w:pPr>
      <w:spacing w:line="420" w:lineRule="exact"/>
    </w:pPr>
    <w:rPr>
      <w:kern w:val="0"/>
      <w:szCs w:val="20"/>
    </w:rPr>
  </w:style>
  <w:style w:type="paragraph" w:customStyle="1" w:styleId="1158">
    <w:name w:val="君邦正文"/>
    <w:link w:val="1334"/>
    <w:autoRedefine/>
    <w:qFormat/>
    <w:uiPriority w:val="0"/>
    <w:pPr>
      <w:spacing w:after="60" w:line="360" w:lineRule="auto"/>
      <w:ind w:firstLine="480" w:firstLineChars="200"/>
      <w:jc w:val="both"/>
    </w:pPr>
    <w:rPr>
      <w:rFonts w:ascii="Times New Roman" w:hAnsi="Times New Roman" w:eastAsia="宋体" w:cs="Times New Roman"/>
      <w:bCs/>
      <w:snapToGrid w:val="0"/>
      <w:sz w:val="24"/>
      <w:lang w:val="en-US" w:eastAsia="zh-CN" w:bidi="ar-SA"/>
    </w:rPr>
  </w:style>
  <w:style w:type="paragraph" w:customStyle="1" w:styleId="1159">
    <w:name w:val="Char Char Char Char Char Char Char Char Char Char"/>
    <w:basedOn w:val="1"/>
    <w:autoRedefine/>
    <w:qFormat/>
    <w:uiPriority w:val="0"/>
    <w:pPr>
      <w:ind w:firstLine="200" w:firstLineChars="200"/>
    </w:pPr>
    <w:rPr>
      <w:rFonts w:ascii="宋体" w:hAnsi="宋体" w:cs="宋体"/>
    </w:rPr>
  </w:style>
  <w:style w:type="paragraph" w:customStyle="1" w:styleId="1160">
    <w:name w:val="文档结构图3"/>
    <w:basedOn w:val="1"/>
    <w:link w:val="1340"/>
    <w:autoRedefine/>
    <w:qFormat/>
    <w:uiPriority w:val="0"/>
    <w:pPr>
      <w:shd w:val="clear" w:color="auto" w:fill="000080"/>
      <w:spacing w:line="420" w:lineRule="exact"/>
      <w:ind w:firstLine="425"/>
    </w:pPr>
    <w:rPr>
      <w:kern w:val="0"/>
      <w:szCs w:val="20"/>
      <w:shd w:val="clear" w:color="auto" w:fill="000080"/>
      <w:lang w:val="zh-CN" w:eastAsia="zh-CN"/>
    </w:rPr>
  </w:style>
  <w:style w:type="paragraph" w:customStyle="1" w:styleId="1161">
    <w:name w:val="正文文本 21"/>
    <w:basedOn w:val="1"/>
    <w:link w:val="1349"/>
    <w:autoRedefine/>
    <w:qFormat/>
    <w:uiPriority w:val="0"/>
    <w:pPr>
      <w:adjustRightInd w:val="0"/>
      <w:spacing w:line="240" w:lineRule="exact"/>
      <w:ind w:firstLine="0"/>
      <w:textAlignment w:val="baseline"/>
    </w:pPr>
    <w:rPr>
      <w:kern w:val="0"/>
      <w:szCs w:val="20"/>
      <w:lang w:val="zh-CN" w:eastAsia="zh-CN"/>
    </w:rPr>
  </w:style>
  <w:style w:type="paragraph" w:customStyle="1" w:styleId="1162">
    <w:name w:val="正文  首行缩进:  0.85 厘米"/>
    <w:basedOn w:val="1"/>
    <w:autoRedefine/>
    <w:qFormat/>
    <w:uiPriority w:val="0"/>
    <w:pPr>
      <w:widowControl/>
      <w:ind w:firstLine="482"/>
      <w:jc w:val="left"/>
    </w:pPr>
    <w:rPr>
      <w:rFonts w:ascii="宋体" w:cs="宋体"/>
      <w:snapToGrid w:val="0"/>
      <w:kern w:val="0"/>
      <w:szCs w:val="20"/>
    </w:rPr>
  </w:style>
  <w:style w:type="paragraph" w:customStyle="1" w:styleId="1163">
    <w:name w:val="监利表格注释"/>
    <w:basedOn w:val="73"/>
    <w:next w:val="1"/>
    <w:autoRedefine/>
    <w:qFormat/>
    <w:uiPriority w:val="0"/>
    <w:pPr>
      <w:tabs>
        <w:tab w:val="left" w:pos="180"/>
      </w:tabs>
      <w:spacing w:line="560" w:lineRule="exact"/>
      <w:ind w:left="0" w:firstLine="0"/>
      <w:jc w:val="center"/>
    </w:pPr>
    <w:rPr>
      <w:rFonts w:ascii="宋体" w:hAnsi="宋体"/>
      <w:b/>
      <w:smallCaps w:val="0"/>
      <w:sz w:val="21"/>
      <w:szCs w:val="21"/>
    </w:rPr>
  </w:style>
  <w:style w:type="paragraph" w:customStyle="1" w:styleId="1164">
    <w:name w:val="样式 样式 样式 首行缩进:  2 字符5 + 首行缩进:  2 字符 + 首行缩进:  2 字符"/>
    <w:basedOn w:val="1"/>
    <w:link w:val="1358"/>
    <w:autoRedefine/>
    <w:qFormat/>
    <w:uiPriority w:val="0"/>
    <w:pPr>
      <w:spacing w:line="560" w:lineRule="exact"/>
      <w:ind w:firstLine="200" w:firstLineChars="200"/>
    </w:pPr>
    <w:rPr>
      <w:rFonts w:ascii="仿宋_GB2312" w:eastAsia="仿宋_GB2312"/>
      <w:sz w:val="28"/>
      <w:szCs w:val="20"/>
      <w:lang w:val="zh-CN" w:eastAsia="zh-CN"/>
    </w:rPr>
  </w:style>
  <w:style w:type="paragraph" w:customStyle="1" w:styleId="1165">
    <w:name w:val="333"/>
    <w:basedOn w:val="5"/>
    <w:autoRedefine/>
    <w:qFormat/>
    <w:uiPriority w:val="0"/>
    <w:pPr>
      <w:adjustRightInd w:val="0"/>
      <w:snapToGrid w:val="0"/>
      <w:spacing w:line="520" w:lineRule="exact"/>
      <w:jc w:val="both"/>
      <w:textAlignment w:val="baseline"/>
      <w:outlineLvl w:val="9"/>
    </w:pPr>
    <w:rPr>
      <w:snapToGrid w:val="0"/>
      <w:spacing w:val="-2"/>
      <w:kern w:val="44"/>
      <w:sz w:val="28"/>
      <w:szCs w:val="28"/>
    </w:rPr>
  </w:style>
  <w:style w:type="paragraph" w:customStyle="1" w:styleId="1166">
    <w:name w:val="默认段落字体 Para Char Char Char"/>
    <w:basedOn w:val="1"/>
    <w:next w:val="1"/>
    <w:autoRedefine/>
    <w:qFormat/>
    <w:uiPriority w:val="0"/>
    <w:pPr>
      <w:spacing w:line="240" w:lineRule="auto"/>
      <w:ind w:firstLine="0"/>
      <w:jc w:val="left"/>
    </w:pPr>
    <w:rPr>
      <w:sz w:val="21"/>
    </w:rPr>
  </w:style>
  <w:style w:type="paragraph" w:customStyle="1" w:styleId="1167">
    <w:name w:val="列表接续 21"/>
    <w:basedOn w:val="1"/>
    <w:autoRedefine/>
    <w:qFormat/>
    <w:uiPriority w:val="0"/>
    <w:pPr>
      <w:spacing w:line="240" w:lineRule="auto"/>
      <w:ind w:left="400" w:leftChars="400" w:firstLine="0"/>
    </w:pPr>
    <w:rPr>
      <w:sz w:val="21"/>
    </w:rPr>
  </w:style>
  <w:style w:type="paragraph" w:customStyle="1" w:styleId="1168">
    <w:name w:val="样式 表格"/>
    <w:basedOn w:val="173"/>
    <w:link w:val="1556"/>
    <w:autoRedefine/>
    <w:qFormat/>
    <w:uiPriority w:val="0"/>
    <w:pPr>
      <w:spacing w:line="240" w:lineRule="auto"/>
    </w:pPr>
    <w:rPr>
      <w:rFonts w:ascii="楷体_GB2312" w:hAnsi="宋体"/>
      <w:b w:val="0"/>
      <w:kern w:val="0"/>
      <w:sz w:val="20"/>
      <w:szCs w:val="20"/>
      <w:lang w:val="zh-CN" w:eastAsia="zh-CN"/>
    </w:rPr>
  </w:style>
  <w:style w:type="paragraph" w:customStyle="1" w:styleId="1169">
    <w:name w:val="日期1"/>
    <w:basedOn w:val="1"/>
    <w:next w:val="1"/>
    <w:link w:val="1372"/>
    <w:autoRedefine/>
    <w:qFormat/>
    <w:uiPriority w:val="0"/>
    <w:pPr>
      <w:tabs>
        <w:tab w:val="left" w:pos="420"/>
      </w:tabs>
      <w:ind w:firstLine="560" w:firstLineChars="200"/>
    </w:pPr>
    <w:rPr>
      <w:kern w:val="0"/>
      <w:szCs w:val="20"/>
      <w:lang w:val="zh-CN" w:eastAsia="zh-CN"/>
    </w:rPr>
  </w:style>
  <w:style w:type="paragraph" w:customStyle="1" w:styleId="1170">
    <w:name w:val="lei"/>
    <w:basedOn w:val="1"/>
    <w:link w:val="1375"/>
    <w:autoRedefine/>
    <w:qFormat/>
    <w:uiPriority w:val="0"/>
    <w:pPr>
      <w:adjustRightInd w:val="0"/>
      <w:ind w:firstLine="480" w:firstLineChars="200"/>
    </w:pPr>
    <w:rPr>
      <w:kern w:val="0"/>
      <w:szCs w:val="28"/>
      <w:lang w:val="zh-CN" w:eastAsia="zh-CN"/>
    </w:rPr>
  </w:style>
  <w:style w:type="paragraph" w:customStyle="1" w:styleId="1171">
    <w:name w:val="四级"/>
    <w:basedOn w:val="1"/>
    <w:autoRedefine/>
    <w:qFormat/>
    <w:uiPriority w:val="0"/>
    <w:pPr>
      <w:ind w:firstLine="560" w:firstLineChars="200"/>
    </w:pPr>
    <w:rPr>
      <w:rFonts w:ascii="宋体" w:hAnsi="宋体" w:cs="宋体"/>
      <w:bCs/>
      <w:kern w:val="0"/>
    </w:rPr>
  </w:style>
  <w:style w:type="paragraph" w:customStyle="1" w:styleId="1172">
    <w:name w:val="样式 正文1 + 首行缩进:  1 字符 段后: 0.5 行"/>
    <w:basedOn w:val="1"/>
    <w:link w:val="1370"/>
    <w:autoRedefine/>
    <w:qFormat/>
    <w:uiPriority w:val="0"/>
    <w:pPr>
      <w:spacing w:line="560" w:lineRule="exact"/>
      <w:ind w:firstLine="200" w:firstLineChars="200"/>
    </w:pPr>
    <w:rPr>
      <w:rFonts w:ascii="楷体_GB2312" w:eastAsia="楷体_GB2312"/>
      <w:sz w:val="28"/>
      <w:szCs w:val="20"/>
      <w:lang w:val="zh-CN" w:eastAsia="zh-CN"/>
    </w:rPr>
  </w:style>
  <w:style w:type="paragraph" w:customStyle="1" w:styleId="1173">
    <w:name w:val="公表序"/>
    <w:basedOn w:val="1"/>
    <w:autoRedefine/>
    <w:qFormat/>
    <w:uiPriority w:val="0"/>
    <w:pPr>
      <w:adjustRightInd w:val="0"/>
      <w:snapToGrid w:val="0"/>
      <w:spacing w:line="560" w:lineRule="exact"/>
      <w:ind w:firstLine="240" w:firstLineChars="100"/>
      <w:jc w:val="center"/>
    </w:pPr>
    <w:rPr>
      <w:rFonts w:ascii="黑体" w:hAnsi="宋体" w:eastAsia="黑体"/>
      <w:szCs w:val="20"/>
    </w:rPr>
  </w:style>
  <w:style w:type="paragraph" w:customStyle="1" w:styleId="1174">
    <w:name w:val="样式 左 首行缩进:  2 字符"/>
    <w:basedOn w:val="1"/>
    <w:link w:val="1362"/>
    <w:autoRedefine/>
    <w:qFormat/>
    <w:uiPriority w:val="0"/>
    <w:pPr>
      <w:spacing w:line="560" w:lineRule="exact"/>
      <w:ind w:firstLine="200" w:firstLineChars="200"/>
      <w:jc w:val="left"/>
    </w:pPr>
    <w:rPr>
      <w:rFonts w:ascii="仿宋_GB2312" w:eastAsia="仿宋_GB2312"/>
      <w:sz w:val="28"/>
      <w:szCs w:val="20"/>
      <w:lang w:val="zh-CN" w:eastAsia="zh-CN"/>
    </w:rPr>
  </w:style>
  <w:style w:type="paragraph" w:customStyle="1" w:styleId="1175">
    <w:name w:val="样式 样式 首行缩进:  2 字符5 + 首行缩进:  2 字符"/>
    <w:basedOn w:val="1"/>
    <w:link w:val="1344"/>
    <w:autoRedefine/>
    <w:qFormat/>
    <w:uiPriority w:val="0"/>
    <w:pPr>
      <w:spacing w:line="560" w:lineRule="exact"/>
      <w:ind w:firstLine="200" w:firstLineChars="200"/>
    </w:pPr>
    <w:rPr>
      <w:rFonts w:ascii="仿宋_GB2312" w:eastAsia="仿宋_GB2312"/>
      <w:sz w:val="28"/>
      <w:szCs w:val="20"/>
      <w:lang w:val="zh-CN" w:eastAsia="zh-CN"/>
    </w:rPr>
  </w:style>
  <w:style w:type="paragraph" w:customStyle="1" w:styleId="1176">
    <w:name w:val="样式 首行缩进:  2 字符 行距: 固定值 28 磅1"/>
    <w:basedOn w:val="1"/>
    <w:autoRedefine/>
    <w:qFormat/>
    <w:uiPriority w:val="0"/>
    <w:pPr>
      <w:spacing w:line="560" w:lineRule="exact"/>
      <w:ind w:firstLine="200" w:firstLineChars="200"/>
    </w:pPr>
    <w:rPr>
      <w:rFonts w:ascii="仿宋_GB2312" w:eastAsia="仿宋_GB2312" w:cs="宋体"/>
      <w:sz w:val="28"/>
      <w:szCs w:val="20"/>
    </w:rPr>
  </w:style>
  <w:style w:type="paragraph" w:customStyle="1" w:styleId="1177">
    <w:name w:val="表格格"/>
    <w:basedOn w:val="1"/>
    <w:autoRedefine/>
    <w:qFormat/>
    <w:uiPriority w:val="0"/>
    <w:pPr>
      <w:spacing w:line="0" w:lineRule="atLeast"/>
      <w:ind w:firstLine="0"/>
      <w:jc w:val="center"/>
    </w:pPr>
    <w:rPr>
      <w:rFonts w:ascii="楷体_GB2312" w:hAnsi="宋体" w:eastAsia="楷体_GB2312" w:cs="宋体"/>
      <w:kern w:val="0"/>
      <w:sz w:val="21"/>
      <w:szCs w:val="18"/>
    </w:rPr>
  </w:style>
  <w:style w:type="paragraph" w:customStyle="1" w:styleId="1178">
    <w:name w:val="表中文字-h"/>
    <w:next w:val="1"/>
    <w:autoRedefine/>
    <w:qFormat/>
    <w:uiPriority w:val="0"/>
    <w:pPr>
      <w:widowControl w:val="0"/>
      <w:spacing w:before="40" w:after="40"/>
      <w:jc w:val="center"/>
    </w:pPr>
    <w:rPr>
      <w:rFonts w:ascii="Times New Roman" w:hAnsi="Times New Roman" w:eastAsia="宋体" w:cs="Arial"/>
      <w:kern w:val="2"/>
      <w:sz w:val="21"/>
      <w:szCs w:val="24"/>
      <w:lang w:val="en-US" w:eastAsia="zh-CN" w:bidi="ar-SA"/>
    </w:rPr>
  </w:style>
  <w:style w:type="paragraph" w:customStyle="1" w:styleId="1179">
    <w:name w:val="样式 表内字 + 首行缩进:  2 字符"/>
    <w:basedOn w:val="1"/>
    <w:autoRedefine/>
    <w:qFormat/>
    <w:uiPriority w:val="0"/>
    <w:pPr>
      <w:spacing w:line="0" w:lineRule="atLeast"/>
      <w:ind w:firstLine="0"/>
      <w:jc w:val="center"/>
    </w:pPr>
    <w:rPr>
      <w:rFonts w:ascii="楷体_GB2312" w:eastAsia="楷体_GB2312" w:cs="宋体"/>
      <w:kern w:val="0"/>
      <w:sz w:val="21"/>
      <w:szCs w:val="20"/>
    </w:rPr>
  </w:style>
  <w:style w:type="paragraph" w:customStyle="1" w:styleId="1180">
    <w:name w:val="Char Char Char Char Char Char Char Char1 Char Char Char Char1"/>
    <w:basedOn w:val="1"/>
    <w:autoRedefine/>
    <w:qFormat/>
    <w:uiPriority w:val="0"/>
    <w:pPr>
      <w:spacing w:line="240" w:lineRule="auto"/>
      <w:ind w:firstLine="0"/>
    </w:pPr>
    <w:rPr>
      <w:sz w:val="21"/>
    </w:rPr>
  </w:style>
  <w:style w:type="paragraph" w:customStyle="1" w:styleId="1181">
    <w:name w:val="标准正文"/>
    <w:basedOn w:val="1"/>
    <w:link w:val="1350"/>
    <w:autoRedefine/>
    <w:qFormat/>
    <w:uiPriority w:val="0"/>
    <w:pPr>
      <w:spacing w:line="240" w:lineRule="auto"/>
      <w:ind w:firstLine="560" w:firstLineChars="200"/>
    </w:pPr>
    <w:rPr>
      <w:rFonts w:ascii="仿宋_GB2312" w:eastAsia="仿宋_GB2312"/>
      <w:sz w:val="28"/>
      <w:lang w:val="zh-CN" w:eastAsia="zh-CN"/>
    </w:rPr>
  </w:style>
  <w:style w:type="paragraph" w:customStyle="1" w:styleId="1182">
    <w:name w:val="标题 1 New New New New New New"/>
    <w:basedOn w:val="1068"/>
    <w:next w:val="1068"/>
    <w:link w:val="1357"/>
    <w:autoRedefine/>
    <w:qFormat/>
    <w:uiPriority w:val="0"/>
    <w:pPr>
      <w:keepNext/>
      <w:keepLines/>
      <w:tabs>
        <w:tab w:val="left" w:pos="3570"/>
      </w:tabs>
      <w:spacing w:afterLines="0" w:line="360" w:lineRule="auto"/>
      <w:ind w:firstLine="0" w:firstLineChars="0"/>
      <w:jc w:val="center"/>
      <w:outlineLvl w:val="0"/>
    </w:pPr>
    <w:rPr>
      <w:rFonts w:ascii="Verdana" w:hAnsi="Verdana"/>
      <w:b/>
      <w:bCs/>
      <w:kern w:val="0"/>
      <w:sz w:val="44"/>
      <w:szCs w:val="18"/>
      <w:lang w:val="zh-CN" w:eastAsia="zh-CN"/>
    </w:rPr>
  </w:style>
  <w:style w:type="paragraph" w:customStyle="1" w:styleId="1183">
    <w:name w:val="页脚 New"/>
    <w:basedOn w:val="1184"/>
    <w:autoRedefine/>
    <w:qFormat/>
    <w:uiPriority w:val="0"/>
    <w:pPr>
      <w:tabs>
        <w:tab w:val="center" w:pos="4153"/>
        <w:tab w:val="right" w:pos="8306"/>
      </w:tabs>
      <w:snapToGrid w:val="0"/>
      <w:jc w:val="left"/>
    </w:pPr>
    <w:rPr>
      <w:sz w:val="20"/>
      <w:szCs w:val="20"/>
    </w:rPr>
  </w:style>
  <w:style w:type="paragraph" w:customStyle="1" w:styleId="1184">
    <w:name w:val="正文 New"/>
    <w:autoRedefine/>
    <w:qFormat/>
    <w:uiPriority w:val="0"/>
    <w:pPr>
      <w:widowControl w:val="0"/>
      <w:spacing w:beforeLines="25" w:afterLines="25" w:line="360" w:lineRule="auto"/>
      <w:jc w:val="both"/>
    </w:pPr>
    <w:rPr>
      <w:rFonts w:ascii="Times New Roman" w:hAnsi="Times New Roman" w:eastAsia="宋体" w:cs="Times New Roman"/>
      <w:kern w:val="2"/>
      <w:sz w:val="24"/>
      <w:szCs w:val="22"/>
      <w:lang w:val="en-US" w:eastAsia="zh-CN" w:bidi="ar-SA"/>
    </w:rPr>
  </w:style>
  <w:style w:type="paragraph" w:customStyle="1" w:styleId="1185">
    <w:name w:val="页眉 New"/>
    <w:basedOn w:val="118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20"/>
      <w:szCs w:val="20"/>
    </w:rPr>
  </w:style>
  <w:style w:type="paragraph" w:customStyle="1" w:styleId="1186">
    <w:name w:val="正文 New New New New New New New New New New New New New New New New New New New New New New New New New New New New New New New New New New New New New New New New New New New New New New New New New New New New New New New New New New New New New New N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7">
    <w:name w:val="标题 2 New New New New New New New New"/>
    <w:basedOn w:val="1"/>
    <w:next w:val="1"/>
    <w:autoRedefine/>
    <w:qFormat/>
    <w:uiPriority w:val="0"/>
    <w:pPr>
      <w:keepNext/>
      <w:keepLines/>
      <w:spacing w:beforeLines="50" w:afterLines="50" w:line="413" w:lineRule="auto"/>
      <w:ind w:firstLine="0"/>
      <w:outlineLvl w:val="1"/>
    </w:pPr>
    <w:rPr>
      <w:rFonts w:hint="eastAsia" w:ascii="Arial" w:hAnsi="Arial" w:eastAsia="黑体"/>
      <w:b/>
      <w:sz w:val="32"/>
      <w:szCs w:val="20"/>
    </w:rPr>
  </w:style>
  <w:style w:type="paragraph" w:customStyle="1" w:styleId="1188">
    <w:name w:val="p27"/>
    <w:basedOn w:val="1"/>
    <w:autoRedefine/>
    <w:qFormat/>
    <w:uiPriority w:val="0"/>
    <w:pPr>
      <w:widowControl/>
      <w:spacing w:line="240" w:lineRule="auto"/>
      <w:ind w:firstLine="0"/>
    </w:pPr>
    <w:rPr>
      <w:kern w:val="0"/>
      <w:sz w:val="21"/>
      <w:szCs w:val="21"/>
    </w:rPr>
  </w:style>
  <w:style w:type="paragraph" w:customStyle="1" w:styleId="1189">
    <w:name w:val="p22"/>
    <w:basedOn w:val="1"/>
    <w:autoRedefine/>
    <w:qFormat/>
    <w:uiPriority w:val="0"/>
    <w:pPr>
      <w:widowControl/>
      <w:spacing w:line="240" w:lineRule="auto"/>
      <w:ind w:firstLine="0"/>
    </w:pPr>
    <w:rPr>
      <w:kern w:val="0"/>
      <w:sz w:val="21"/>
      <w:szCs w:val="21"/>
    </w:rPr>
  </w:style>
  <w:style w:type="paragraph" w:customStyle="1" w:styleId="1190">
    <w:name w:val="p26"/>
    <w:basedOn w:val="1"/>
    <w:autoRedefine/>
    <w:qFormat/>
    <w:uiPriority w:val="0"/>
    <w:pPr>
      <w:widowControl/>
      <w:ind w:firstLine="0"/>
    </w:pPr>
    <w:rPr>
      <w:kern w:val="0"/>
    </w:rPr>
  </w:style>
  <w:style w:type="paragraph" w:customStyle="1" w:styleId="1191">
    <w:name w:val="p23"/>
    <w:basedOn w:val="1"/>
    <w:autoRedefine/>
    <w:qFormat/>
    <w:uiPriority w:val="0"/>
    <w:pPr>
      <w:widowControl/>
      <w:spacing w:line="240" w:lineRule="auto"/>
      <w:ind w:firstLine="0"/>
    </w:pPr>
    <w:rPr>
      <w:kern w:val="0"/>
      <w:sz w:val="21"/>
      <w:szCs w:val="21"/>
    </w:rPr>
  </w:style>
  <w:style w:type="paragraph" w:customStyle="1" w:styleId="1192">
    <w:name w:val="p25"/>
    <w:basedOn w:val="1"/>
    <w:autoRedefine/>
    <w:qFormat/>
    <w:uiPriority w:val="0"/>
    <w:pPr>
      <w:widowControl/>
      <w:spacing w:line="240" w:lineRule="auto"/>
      <w:ind w:firstLine="0"/>
    </w:pPr>
    <w:rPr>
      <w:kern w:val="0"/>
      <w:sz w:val="21"/>
      <w:szCs w:val="21"/>
    </w:rPr>
  </w:style>
  <w:style w:type="paragraph" w:customStyle="1" w:styleId="1193">
    <w:name w:val="p24"/>
    <w:basedOn w:val="1"/>
    <w:autoRedefine/>
    <w:qFormat/>
    <w:uiPriority w:val="0"/>
    <w:pPr>
      <w:widowControl/>
      <w:ind w:firstLine="0"/>
    </w:pPr>
    <w:rPr>
      <w:kern w:val="0"/>
    </w:rPr>
  </w:style>
  <w:style w:type="paragraph" w:customStyle="1" w:styleId="1194">
    <w:name w:val="样式 正文文本 + 左侧:  0.98 厘米"/>
    <w:basedOn w:val="34"/>
    <w:link w:val="1395"/>
    <w:autoRedefine/>
    <w:qFormat/>
    <w:uiPriority w:val="0"/>
    <w:pPr>
      <w:widowControl/>
      <w:tabs>
        <w:tab w:val="left" w:pos="3720"/>
      </w:tabs>
      <w:autoSpaceDE w:val="0"/>
      <w:autoSpaceDN w:val="0"/>
      <w:adjustRightInd w:val="0"/>
      <w:snapToGrid w:val="0"/>
      <w:spacing w:after="0"/>
      <w:ind w:firstLine="200" w:firstLineChars="200"/>
      <w:jc w:val="left"/>
      <w:textAlignment w:val="bottom"/>
    </w:pPr>
    <w:rPr>
      <w:rFonts w:ascii="仿宋_GB2312" w:hAnsi="宋体" w:eastAsia="仿宋_GB2312"/>
      <w:sz w:val="28"/>
      <w:szCs w:val="20"/>
      <w:lang w:val="zh-CN" w:eastAsia="zh-CN"/>
    </w:rPr>
  </w:style>
  <w:style w:type="paragraph" w:customStyle="1" w:styleId="1195">
    <w:name w:val="样式 左侧:  0.98 厘米"/>
    <w:basedOn w:val="1"/>
    <w:link w:val="1397"/>
    <w:autoRedefine/>
    <w:qFormat/>
    <w:uiPriority w:val="0"/>
    <w:pPr>
      <w:adjustRightInd w:val="0"/>
      <w:snapToGrid w:val="0"/>
      <w:spacing w:line="490" w:lineRule="exact"/>
      <w:ind w:firstLine="560" w:firstLineChars="200"/>
    </w:pPr>
    <w:rPr>
      <w:rFonts w:ascii="宋体" w:hAnsi="宋体" w:eastAsia="仿宋_GB2312"/>
      <w:kern w:val="0"/>
      <w:sz w:val="28"/>
      <w:szCs w:val="20"/>
      <w:lang w:val="zh-CN" w:eastAsia="zh-CN"/>
    </w:rPr>
  </w:style>
  <w:style w:type="paragraph" w:customStyle="1" w:styleId="1196">
    <w:name w:val="表题"/>
    <w:basedOn w:val="1"/>
    <w:link w:val="1402"/>
    <w:autoRedefine/>
    <w:qFormat/>
    <w:uiPriority w:val="0"/>
    <w:pPr>
      <w:spacing w:beforeLines="50" w:afterLines="10" w:line="240" w:lineRule="auto"/>
      <w:ind w:firstLine="0"/>
      <w:jc w:val="center"/>
    </w:pPr>
    <w:rPr>
      <w:rFonts w:eastAsia="黑体"/>
      <w:sz w:val="21"/>
      <w:szCs w:val="20"/>
      <w:lang w:val="zh-CN" w:eastAsia="zh-CN"/>
    </w:rPr>
  </w:style>
  <w:style w:type="paragraph" w:customStyle="1" w:styleId="1197">
    <w:name w:val="样式 宋体 小二 居中"/>
    <w:basedOn w:val="1"/>
    <w:autoRedefine/>
    <w:qFormat/>
    <w:uiPriority w:val="0"/>
    <w:pPr>
      <w:ind w:firstLine="0"/>
      <w:jc w:val="center"/>
    </w:pPr>
    <w:rPr>
      <w:rFonts w:ascii="宋体" w:hAnsi="宋体"/>
      <w:spacing w:val="20"/>
      <w:sz w:val="36"/>
      <w:szCs w:val="20"/>
    </w:rPr>
  </w:style>
  <w:style w:type="paragraph" w:customStyle="1" w:styleId="1198">
    <w:name w:val="正文1 首行缩进:  2 字符 + 首行缩进:  2 字符"/>
    <w:basedOn w:val="1"/>
    <w:autoRedefine/>
    <w:qFormat/>
    <w:uiPriority w:val="0"/>
    <w:pPr>
      <w:ind w:firstLine="200" w:firstLineChars="200"/>
    </w:pPr>
    <w:rPr>
      <w:szCs w:val="20"/>
    </w:rPr>
  </w:style>
  <w:style w:type="paragraph" w:customStyle="1" w:styleId="1199">
    <w:name w:val="表样式"/>
    <w:basedOn w:val="1"/>
    <w:autoRedefine/>
    <w:qFormat/>
    <w:uiPriority w:val="0"/>
    <w:pPr>
      <w:spacing w:line="340" w:lineRule="exact"/>
      <w:ind w:firstLine="0"/>
      <w:jc w:val="left"/>
    </w:pPr>
    <w:rPr>
      <w:sz w:val="21"/>
      <w:szCs w:val="20"/>
    </w:rPr>
  </w:style>
  <w:style w:type="paragraph" w:customStyle="1" w:styleId="1200">
    <w:name w:val="c"/>
    <w:link w:val="1401"/>
    <w:autoRedefine/>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201">
    <w:name w:val="正文1.1.1"/>
    <w:basedOn w:val="1"/>
    <w:autoRedefine/>
    <w:qFormat/>
    <w:uiPriority w:val="0"/>
    <w:pPr>
      <w:spacing w:line="240" w:lineRule="auto"/>
      <w:ind w:firstLine="0"/>
    </w:pPr>
    <w:rPr>
      <w:rFonts w:ascii="仿宋_GB2312" w:hAnsi="宋体" w:eastAsia="仿宋_GB2312"/>
      <w:snapToGrid w:val="0"/>
      <w:kern w:val="0"/>
      <w:sz w:val="28"/>
      <w:szCs w:val="20"/>
    </w:rPr>
  </w:style>
  <w:style w:type="paragraph" w:customStyle="1" w:styleId="1202">
    <w:name w:val="样式 正文文本缩进 + 仿宋_GB2312 四号 段后: 0 磅 行距: 1.5 倍行距"/>
    <w:basedOn w:val="35"/>
    <w:autoRedefine/>
    <w:qFormat/>
    <w:uiPriority w:val="0"/>
    <w:pPr>
      <w:adjustRightInd w:val="0"/>
      <w:snapToGrid w:val="0"/>
      <w:ind w:firstLine="200"/>
    </w:pPr>
    <w:rPr>
      <w:rFonts w:ascii="仿宋_GB2312" w:hAnsi="仿宋_GB2312" w:eastAsia="仿宋_GB2312"/>
      <w:snapToGrid w:val="0"/>
      <w:kern w:val="0"/>
      <w:sz w:val="28"/>
      <w:szCs w:val="20"/>
      <w:lang w:val="zh-CN" w:eastAsia="zh-CN"/>
    </w:rPr>
  </w:style>
  <w:style w:type="paragraph" w:customStyle="1" w:styleId="1203">
    <w:name w:val="样式 正文缩进"/>
    <w:basedOn w:val="21"/>
    <w:autoRedefine/>
    <w:qFormat/>
    <w:uiPriority w:val="0"/>
    <w:pPr>
      <w:ind w:firstLine="480"/>
      <w:jc w:val="left"/>
    </w:pPr>
    <w:rPr>
      <w:kern w:val="0"/>
      <w:szCs w:val="20"/>
    </w:rPr>
  </w:style>
  <w:style w:type="paragraph" w:customStyle="1" w:styleId="1204">
    <w:name w:val="报告标题四"/>
    <w:basedOn w:val="1"/>
    <w:autoRedefine/>
    <w:qFormat/>
    <w:uiPriority w:val="0"/>
    <w:pPr>
      <w:spacing w:line="240" w:lineRule="auto"/>
      <w:ind w:firstLine="0"/>
    </w:pPr>
    <w:rPr>
      <w:sz w:val="21"/>
      <w:szCs w:val="20"/>
    </w:rPr>
  </w:style>
  <w:style w:type="paragraph" w:customStyle="1" w:styleId="1205">
    <w:name w:val="标题五"/>
    <w:basedOn w:val="7"/>
    <w:next w:val="287"/>
    <w:autoRedefine/>
    <w:qFormat/>
    <w:uiPriority w:val="0"/>
    <w:pPr>
      <w:keepNext/>
      <w:adjustRightInd/>
      <w:spacing w:before="0" w:line="360" w:lineRule="auto"/>
      <w:ind w:left="1008" w:hanging="1008"/>
      <w:jc w:val="both"/>
      <w:textAlignment w:val="auto"/>
    </w:pPr>
    <w:rPr>
      <w:rFonts w:ascii="Times New Roman"/>
      <w:b w:val="0"/>
      <w:kern w:val="2"/>
      <w:lang w:val="zh-CN" w:eastAsia="zh-CN"/>
    </w:rPr>
  </w:style>
  <w:style w:type="paragraph" w:customStyle="1" w:styleId="1206">
    <w:name w:val="HZZH标题—1"/>
    <w:basedOn w:val="3"/>
    <w:next w:val="1207"/>
    <w:autoRedefine/>
    <w:qFormat/>
    <w:uiPriority w:val="0"/>
    <w:pPr>
      <w:tabs>
        <w:tab w:val="left" w:pos="0"/>
      </w:tabs>
      <w:spacing w:before="480" w:line="240" w:lineRule="auto"/>
      <w:jc w:val="center"/>
      <w:textAlignment w:val="auto"/>
    </w:pPr>
    <w:rPr>
      <w:b/>
      <w:kern w:val="2"/>
      <w:sz w:val="32"/>
      <w:szCs w:val="24"/>
      <w:lang w:val="zh-CN" w:eastAsia="zh-CN"/>
    </w:rPr>
  </w:style>
  <w:style w:type="paragraph" w:customStyle="1" w:styleId="1207">
    <w:name w:val="HZZH标题—2"/>
    <w:basedOn w:val="4"/>
    <w:next w:val="1208"/>
    <w:autoRedefine/>
    <w:qFormat/>
    <w:uiPriority w:val="0"/>
    <w:pPr>
      <w:tabs>
        <w:tab w:val="left" w:pos="720"/>
        <w:tab w:val="left" w:pos="992"/>
      </w:tabs>
      <w:spacing w:before="120" w:line="240" w:lineRule="auto"/>
      <w:textAlignment w:val="auto"/>
    </w:pPr>
    <w:rPr>
      <w:rFonts w:ascii="黑体" w:hAnsi="黑体"/>
      <w:b/>
      <w:bCs/>
      <w:kern w:val="2"/>
      <w:sz w:val="30"/>
      <w:szCs w:val="32"/>
      <w:lang w:val="zh-CN" w:eastAsia="zh-CN" w:bidi="ar-SA"/>
    </w:rPr>
  </w:style>
  <w:style w:type="paragraph" w:customStyle="1" w:styleId="1208">
    <w:name w:val="HZZH标题—3"/>
    <w:basedOn w:val="5"/>
    <w:next w:val="1209"/>
    <w:autoRedefine/>
    <w:qFormat/>
    <w:uiPriority w:val="0"/>
    <w:pPr>
      <w:keepNext/>
      <w:keepLines/>
      <w:tabs>
        <w:tab w:val="left" w:pos="-1800"/>
        <w:tab w:val="left" w:pos="992"/>
        <w:tab w:val="left" w:pos="1080"/>
      </w:tabs>
      <w:spacing w:before="180" w:line="240" w:lineRule="auto"/>
      <w:ind w:right="240"/>
    </w:pPr>
    <w:rPr>
      <w:rFonts w:ascii="黑体" w:hAnsi="宋体" w:cs="宋体"/>
      <w:b/>
      <w:bCs/>
      <w:snapToGrid w:val="0"/>
      <w:kern w:val="0"/>
      <w:sz w:val="28"/>
      <w:szCs w:val="28"/>
    </w:rPr>
  </w:style>
  <w:style w:type="paragraph" w:customStyle="1" w:styleId="1209">
    <w:name w:val="HZZH标题—4"/>
    <w:basedOn w:val="6"/>
    <w:autoRedefine/>
    <w:qFormat/>
    <w:uiPriority w:val="0"/>
    <w:pPr>
      <w:numPr>
        <w:ilvl w:val="0"/>
        <w:numId w:val="7"/>
      </w:numPr>
      <w:tabs>
        <w:tab w:val="left" w:pos="1080"/>
      </w:tabs>
      <w:spacing w:before="0" w:after="0" w:line="360" w:lineRule="auto"/>
      <w:ind w:left="0" w:firstLine="0"/>
      <w:jc w:val="left"/>
    </w:pPr>
    <w:rPr>
      <w:rFonts w:ascii="宋体" w:hAnsi="宋体" w:eastAsia="宋体"/>
      <w:bCs w:val="0"/>
      <w:sz w:val="24"/>
    </w:rPr>
  </w:style>
  <w:style w:type="paragraph" w:customStyle="1" w:styleId="1210">
    <w:name w:val="Char Char Char Char Char Char Char1"/>
    <w:basedOn w:val="1"/>
    <w:autoRedefine/>
    <w:qFormat/>
    <w:uiPriority w:val="0"/>
    <w:pPr>
      <w:spacing w:line="240" w:lineRule="auto"/>
      <w:ind w:firstLine="0"/>
    </w:pPr>
    <w:rPr>
      <w:rFonts w:ascii="Tahoma" w:hAnsi="Tahoma" w:cs="Arial"/>
      <w:b/>
    </w:rPr>
  </w:style>
  <w:style w:type="paragraph" w:customStyle="1" w:styleId="1211">
    <w:name w:val="默认段落字体 Para Char Char Char Char Char Char Char Char Char Char Char Char Char Char Char Char Char"/>
    <w:basedOn w:val="1"/>
    <w:autoRedefine/>
    <w:qFormat/>
    <w:uiPriority w:val="0"/>
    <w:pPr>
      <w:spacing w:line="240" w:lineRule="auto"/>
      <w:ind w:firstLine="0"/>
    </w:pPr>
    <w:rPr>
      <w:rFonts w:ascii="Tahoma" w:hAnsi="Tahoma"/>
      <w:szCs w:val="20"/>
    </w:rPr>
  </w:style>
  <w:style w:type="paragraph" w:customStyle="1" w:styleId="1212">
    <w:name w:val="zw"/>
    <w:basedOn w:val="1"/>
    <w:link w:val="1403"/>
    <w:autoRedefine/>
    <w:qFormat/>
    <w:uiPriority w:val="0"/>
    <w:pPr>
      <w:shd w:val="clear" w:color="auto" w:fill="FFFFFF"/>
      <w:adjustRightInd w:val="0"/>
      <w:snapToGrid w:val="0"/>
      <w:ind w:firstLine="480" w:firstLineChars="200"/>
    </w:pPr>
    <w:rPr>
      <w:kern w:val="0"/>
      <w:lang w:val="zh-CN" w:eastAsia="zh-CN"/>
    </w:rPr>
  </w:style>
  <w:style w:type="paragraph" w:customStyle="1" w:styleId="1213">
    <w:name w:val="列表接续 211"/>
    <w:basedOn w:val="1"/>
    <w:autoRedefine/>
    <w:qFormat/>
    <w:uiPriority w:val="0"/>
    <w:pPr>
      <w:spacing w:line="240" w:lineRule="auto"/>
      <w:ind w:left="400" w:leftChars="400" w:firstLine="0"/>
    </w:pPr>
    <w:rPr>
      <w:sz w:val="21"/>
    </w:rPr>
  </w:style>
  <w:style w:type="paragraph" w:customStyle="1" w:styleId="1214">
    <w:name w:val="正文 New New New New New New New New New New New New New New New New New New New New New New New New New New New New New New New New New New New New New New New New New New New New New New New New New New New New New New New New New New New New New New N4"/>
    <w:autoRedefine/>
    <w:qFormat/>
    <w:uiPriority w:val="0"/>
    <w:pPr>
      <w:widowControl w:val="0"/>
      <w:spacing w:beforeLines="25" w:afterLines="25" w:line="360" w:lineRule="auto"/>
      <w:jc w:val="both"/>
    </w:pPr>
    <w:rPr>
      <w:rFonts w:ascii="Times New Roman" w:hAnsi="Times New Roman" w:eastAsia="宋体" w:cs="Times New Roman"/>
      <w:kern w:val="2"/>
      <w:sz w:val="24"/>
      <w:lang w:val="en-US" w:eastAsia="zh-CN" w:bidi="ar-SA"/>
    </w:rPr>
  </w:style>
  <w:style w:type="paragraph" w:customStyle="1" w:styleId="1215">
    <w:name w:val="图表内容"/>
    <w:basedOn w:val="1"/>
    <w:autoRedefine/>
    <w:qFormat/>
    <w:uiPriority w:val="0"/>
    <w:pPr>
      <w:spacing w:line="240" w:lineRule="auto"/>
      <w:ind w:left="139" w:leftChars="58" w:firstLine="2"/>
      <w:jc w:val="center"/>
    </w:pPr>
    <w:rPr>
      <w:rFonts w:ascii="宋体" w:hAnsi="宋体"/>
      <w:b/>
      <w:bCs/>
      <w:sz w:val="21"/>
    </w:rPr>
  </w:style>
  <w:style w:type="paragraph" w:customStyle="1" w:styleId="1216">
    <w:name w:val="表脚注"/>
    <w:basedOn w:val="1"/>
    <w:autoRedefine/>
    <w:qFormat/>
    <w:uiPriority w:val="0"/>
    <w:pPr>
      <w:spacing w:before="40" w:line="320" w:lineRule="exact"/>
      <w:ind w:left="300" w:leftChars="50" w:right="130" w:rightChars="50" w:hanging="170"/>
    </w:pPr>
    <w:rPr>
      <w:rFonts w:eastAsia="黑体"/>
      <w:i/>
      <w:iCs/>
      <w:sz w:val="20"/>
    </w:rPr>
  </w:style>
  <w:style w:type="paragraph" w:customStyle="1" w:styleId="1217">
    <w:name w:val="中文表题"/>
    <w:basedOn w:val="1196"/>
    <w:autoRedefine/>
    <w:qFormat/>
    <w:uiPriority w:val="0"/>
    <w:pPr>
      <w:widowControl/>
      <w:tabs>
        <w:tab w:val="left" w:pos="420"/>
      </w:tabs>
      <w:overflowPunct w:val="0"/>
      <w:autoSpaceDE w:val="0"/>
      <w:autoSpaceDN w:val="0"/>
      <w:adjustRightInd w:val="0"/>
      <w:spacing w:beforeLines="0" w:afterLines="0" w:line="380" w:lineRule="exact"/>
      <w:ind w:left="227" w:right="227"/>
      <w:jc w:val="both"/>
      <w:textAlignment w:val="baseline"/>
    </w:pPr>
    <w:rPr>
      <w:rFonts w:eastAsia="宋体"/>
      <w:color w:val="000000"/>
      <w:spacing w:val="6"/>
      <w:kern w:val="0"/>
      <w:sz w:val="22"/>
      <w:szCs w:val="24"/>
    </w:rPr>
  </w:style>
  <w:style w:type="paragraph" w:customStyle="1" w:styleId="1218">
    <w:name w:val="TOC 标题11"/>
    <w:basedOn w:val="3"/>
    <w:next w:val="1"/>
    <w:autoRedefine/>
    <w:qFormat/>
    <w:uiPriority w:val="0"/>
    <w:pPr>
      <w:widowControl/>
      <w:tabs>
        <w:tab w:val="left" w:pos="-69"/>
      </w:tabs>
      <w:spacing w:before="480" w:line="276" w:lineRule="auto"/>
      <w:textAlignment w:val="auto"/>
      <w:outlineLvl w:val="9"/>
    </w:pPr>
    <w:rPr>
      <w:rFonts w:ascii="Cambria" w:hAnsi="Cambria" w:eastAsia="宋体"/>
      <w:b/>
      <w:color w:val="365F91"/>
      <w:spacing w:val="-20"/>
      <w:w w:val="90"/>
      <w:kern w:val="0"/>
      <w:sz w:val="28"/>
      <w:szCs w:val="28"/>
      <w:lang w:val="zh-CN" w:eastAsia="zh-CN"/>
    </w:rPr>
  </w:style>
  <w:style w:type="paragraph" w:customStyle="1" w:styleId="1219">
    <w:name w:val="日期11"/>
    <w:basedOn w:val="1"/>
    <w:next w:val="1"/>
    <w:autoRedefine/>
    <w:qFormat/>
    <w:uiPriority w:val="0"/>
    <w:pPr>
      <w:tabs>
        <w:tab w:val="left" w:pos="420"/>
      </w:tabs>
      <w:ind w:firstLine="560" w:firstLineChars="200"/>
    </w:pPr>
    <w:rPr>
      <w:rFonts w:ascii="Calibri" w:hAnsi="Calibri"/>
      <w:snapToGrid w:val="0"/>
      <w:szCs w:val="22"/>
    </w:rPr>
  </w:style>
  <w:style w:type="paragraph" w:customStyle="1" w:styleId="1220">
    <w:name w:val="样式 五号 行距: 单倍行距"/>
    <w:basedOn w:val="1"/>
    <w:autoRedefine/>
    <w:qFormat/>
    <w:uiPriority w:val="0"/>
    <w:pPr>
      <w:spacing w:line="0" w:lineRule="atLeast"/>
      <w:ind w:firstLine="0"/>
      <w:jc w:val="center"/>
    </w:pPr>
    <w:rPr>
      <w:rFonts w:eastAsia="楷体_GB2312" w:cs="宋体"/>
      <w:sz w:val="21"/>
      <w:szCs w:val="20"/>
    </w:rPr>
  </w:style>
  <w:style w:type="paragraph" w:customStyle="1" w:styleId="1221">
    <w:name w:val="章标题(不加入目录内)"/>
    <w:basedOn w:val="84"/>
    <w:autoRedefine/>
    <w:qFormat/>
    <w:uiPriority w:val="0"/>
    <w:pPr>
      <w:keepLines/>
      <w:pageBreakBefore/>
      <w:tabs>
        <w:tab w:val="clear" w:pos="8296"/>
      </w:tabs>
      <w:spacing w:after="120" w:line="240" w:lineRule="auto"/>
      <w:ind w:firstLine="0" w:firstLineChars="0"/>
      <w:outlineLvl w:val="9"/>
    </w:pPr>
    <w:rPr>
      <w:rFonts w:ascii="Calibri" w:hAnsi="Calibri" w:cs="Times New Roman"/>
      <w:bCs w:val="0"/>
      <w:sz w:val="36"/>
      <w:szCs w:val="21"/>
    </w:rPr>
  </w:style>
  <w:style w:type="paragraph" w:customStyle="1" w:styleId="1222">
    <w:name w:val="样式 正文2 + 行距: 固定值 25 磅"/>
    <w:basedOn w:val="1"/>
    <w:autoRedefine/>
    <w:qFormat/>
    <w:uiPriority w:val="0"/>
    <w:pPr>
      <w:spacing w:line="560" w:lineRule="exact"/>
      <w:ind w:firstLine="200" w:firstLineChars="200"/>
    </w:pPr>
    <w:rPr>
      <w:rFonts w:eastAsia="仿宋_GB2312" w:cs="宋体"/>
      <w:sz w:val="28"/>
      <w:szCs w:val="20"/>
    </w:rPr>
  </w:style>
  <w:style w:type="paragraph" w:customStyle="1" w:styleId="1223">
    <w:name w:val="正文文本缩进 311"/>
    <w:basedOn w:val="1"/>
    <w:autoRedefine/>
    <w:qFormat/>
    <w:uiPriority w:val="0"/>
    <w:pPr>
      <w:tabs>
        <w:tab w:val="left" w:pos="0"/>
      </w:tabs>
      <w:spacing w:line="420" w:lineRule="exact"/>
      <w:ind w:firstLine="405"/>
      <w:jc w:val="left"/>
    </w:pPr>
    <w:rPr>
      <w:rFonts w:ascii="Calibri" w:hAnsi="Calibri"/>
      <w:szCs w:val="22"/>
    </w:rPr>
  </w:style>
  <w:style w:type="paragraph" w:customStyle="1" w:styleId="1224">
    <w:name w:val="正文文本 211"/>
    <w:basedOn w:val="1"/>
    <w:autoRedefine/>
    <w:qFormat/>
    <w:uiPriority w:val="0"/>
    <w:pPr>
      <w:adjustRightInd w:val="0"/>
      <w:spacing w:line="240" w:lineRule="exact"/>
      <w:ind w:firstLine="0"/>
      <w:textAlignment w:val="baseline"/>
    </w:pPr>
    <w:rPr>
      <w:rFonts w:ascii="Calibri" w:hAnsi="Calibri"/>
      <w:szCs w:val="22"/>
    </w:rPr>
  </w:style>
  <w:style w:type="paragraph" w:customStyle="1" w:styleId="1225">
    <w:name w:val="正文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6">
    <w:name w:val="图表 Char Char Char"/>
    <w:basedOn w:val="1"/>
    <w:autoRedefine/>
    <w:qFormat/>
    <w:uiPriority w:val="0"/>
    <w:pPr>
      <w:adjustRightInd w:val="0"/>
      <w:snapToGrid w:val="0"/>
      <w:spacing w:beforeLines="50" w:line="0" w:lineRule="atLeast"/>
      <w:ind w:firstLine="0"/>
      <w:jc w:val="center"/>
    </w:pPr>
    <w:rPr>
      <w:rFonts w:ascii="宋体" w:hAnsi="宋体" w:cs="Arial"/>
      <w:sz w:val="21"/>
      <w:szCs w:val="21"/>
    </w:rPr>
  </w:style>
  <w:style w:type="paragraph" w:customStyle="1" w:styleId="1227">
    <w:name w:val="正文文本 311"/>
    <w:basedOn w:val="1"/>
    <w:autoRedefine/>
    <w:qFormat/>
    <w:uiPriority w:val="0"/>
    <w:pPr>
      <w:spacing w:line="240" w:lineRule="auto"/>
      <w:ind w:firstLine="0"/>
      <w:jc w:val="center"/>
    </w:pPr>
    <w:rPr>
      <w:rFonts w:ascii="Calibri" w:hAnsi="Calibri"/>
      <w:sz w:val="21"/>
      <w:szCs w:val="22"/>
    </w:rPr>
  </w:style>
  <w:style w:type="paragraph" w:customStyle="1" w:styleId="1228">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spacing w:beforeLines="25" w:afterLines="25" w:line="360" w:lineRule="auto"/>
      <w:jc w:val="both"/>
    </w:pPr>
    <w:rPr>
      <w:rFonts w:ascii="Times New Roman" w:hAnsi="Times New Roman" w:eastAsia="宋体" w:cs="Times New Roman"/>
      <w:kern w:val="2"/>
      <w:sz w:val="24"/>
      <w:lang w:val="en-US" w:eastAsia="zh-CN" w:bidi="ar-SA"/>
    </w:rPr>
  </w:style>
  <w:style w:type="paragraph" w:customStyle="1" w:styleId="1229">
    <w:name w:val="签名11"/>
    <w:basedOn w:val="1"/>
    <w:autoRedefine/>
    <w:qFormat/>
    <w:uiPriority w:val="0"/>
    <w:pPr>
      <w:spacing w:line="240" w:lineRule="auto"/>
      <w:ind w:left="100" w:leftChars="2100" w:firstLine="0"/>
    </w:pPr>
    <w:rPr>
      <w:rFonts w:ascii="Calibri" w:hAnsi="Calibri"/>
      <w:sz w:val="21"/>
    </w:rPr>
  </w:style>
  <w:style w:type="paragraph" w:customStyle="1" w:styleId="1230">
    <w:name w:val="figuer"/>
    <w:basedOn w:val="1"/>
    <w:autoRedefine/>
    <w:qFormat/>
    <w:uiPriority w:val="0"/>
    <w:pPr>
      <w:widowControl/>
      <w:adjustRightInd w:val="0"/>
      <w:spacing w:before="60" w:line="240" w:lineRule="auto"/>
      <w:ind w:firstLine="0"/>
      <w:jc w:val="center"/>
    </w:pPr>
    <w:rPr>
      <w:color w:val="000000"/>
      <w:spacing w:val="4"/>
      <w:kern w:val="0"/>
      <w:sz w:val="21"/>
    </w:rPr>
  </w:style>
  <w:style w:type="paragraph" w:customStyle="1" w:styleId="1231">
    <w:name w:val="文本块11"/>
    <w:basedOn w:val="1"/>
    <w:autoRedefine/>
    <w:qFormat/>
    <w:uiPriority w:val="0"/>
    <w:pPr>
      <w:spacing w:beforeLines="20"/>
      <w:ind w:firstLine="0"/>
      <w:jc w:val="center"/>
    </w:pPr>
    <w:rPr>
      <w:b/>
      <w:sz w:val="21"/>
    </w:rPr>
  </w:style>
  <w:style w:type="paragraph" w:customStyle="1" w:styleId="1232">
    <w:name w:val="正文首行缩进111"/>
    <w:basedOn w:val="34"/>
    <w:autoRedefine/>
    <w:qFormat/>
    <w:uiPriority w:val="0"/>
    <w:pPr>
      <w:spacing w:after="0" w:line="240" w:lineRule="auto"/>
      <w:ind w:firstLine="100" w:firstLineChars="100"/>
    </w:pPr>
    <w:rPr>
      <w:rFonts w:ascii="Calibri" w:hAnsi="Calibri"/>
      <w:sz w:val="21"/>
      <w:szCs w:val="22"/>
      <w:lang w:val="zh-CN" w:eastAsia="zh-CN"/>
    </w:rPr>
  </w:style>
  <w:style w:type="paragraph" w:customStyle="1" w:styleId="1233">
    <w:name w:val="样式 样式 五号 行距: 单倍行距 + 小五 两端对齐"/>
    <w:basedOn w:val="1220"/>
    <w:autoRedefine/>
    <w:qFormat/>
    <w:uiPriority w:val="0"/>
    <w:pPr>
      <w:jc w:val="both"/>
    </w:pPr>
  </w:style>
  <w:style w:type="paragraph" w:customStyle="1" w:styleId="1234">
    <w:name w:val="源代码"/>
    <w:basedOn w:val="1"/>
    <w:autoRedefine/>
    <w:qFormat/>
    <w:uiPriority w:val="0"/>
    <w:pPr>
      <w:widowControl/>
      <w:kinsoku w:val="0"/>
      <w:overflowPunct w:val="0"/>
      <w:autoSpaceDE w:val="0"/>
      <w:autoSpaceDN w:val="0"/>
      <w:adjustRightInd w:val="0"/>
      <w:snapToGrid w:val="0"/>
      <w:spacing w:line="240" w:lineRule="auto"/>
      <w:ind w:firstLine="0"/>
      <w:jc w:val="left"/>
    </w:pPr>
    <w:rPr>
      <w:rFonts w:ascii="Courier New" w:hAnsi="Courier New"/>
      <w:snapToGrid w:val="0"/>
      <w:kern w:val="0"/>
    </w:rPr>
  </w:style>
  <w:style w:type="paragraph" w:customStyle="1" w:styleId="1235">
    <w:name w:val="正文文本缩进 211"/>
    <w:basedOn w:val="1"/>
    <w:autoRedefine/>
    <w:qFormat/>
    <w:uiPriority w:val="0"/>
    <w:pPr>
      <w:ind w:firstLine="567"/>
    </w:pPr>
    <w:rPr>
      <w:rFonts w:ascii="宋体" w:hAnsi="Calibri"/>
      <w:szCs w:val="22"/>
    </w:rPr>
  </w:style>
  <w:style w:type="paragraph" w:customStyle="1" w:styleId="1236">
    <w:name w:val="灯泡注释(打印无效)"/>
    <w:basedOn w:val="86"/>
    <w:autoRedefine/>
    <w:qFormat/>
    <w:uiPriority w:val="0"/>
    <w:pPr>
      <w:snapToGrid w:val="0"/>
      <w:spacing w:after="0" w:line="240" w:lineRule="auto"/>
      <w:ind w:firstLine="0" w:firstLineChars="0"/>
    </w:pPr>
    <w:rPr>
      <w:rFonts w:ascii="Calibri" w:hAnsi="Calibri"/>
      <w:i/>
      <w:vanish/>
      <w:color w:val="FF0000"/>
      <w:spacing w:val="0"/>
      <w:kern w:val="2"/>
      <w:sz w:val="21"/>
      <w:szCs w:val="21"/>
      <w:lang w:val="zh-CN" w:eastAsia="zh-CN"/>
    </w:rPr>
  </w:style>
  <w:style w:type="paragraph" w:customStyle="1" w:styleId="1237">
    <w:name w:val="table legend"/>
    <w:basedOn w:val="1"/>
    <w:next w:val="1"/>
    <w:autoRedefine/>
    <w:qFormat/>
    <w:uiPriority w:val="0"/>
    <w:pPr>
      <w:widowControl/>
      <w:spacing w:before="60" w:line="480" w:lineRule="auto"/>
      <w:ind w:firstLine="0"/>
      <w:jc w:val="left"/>
    </w:pPr>
    <w:rPr>
      <w:kern w:val="0"/>
      <w:szCs w:val="20"/>
    </w:rPr>
  </w:style>
  <w:style w:type="paragraph" w:customStyle="1" w:styleId="1238">
    <w:name w:val="正文首行缩进11"/>
    <w:basedOn w:val="34"/>
    <w:autoRedefine/>
    <w:qFormat/>
    <w:uiPriority w:val="0"/>
    <w:pPr>
      <w:spacing w:after="0" w:line="240" w:lineRule="auto"/>
      <w:ind w:firstLine="100" w:firstLineChars="100"/>
    </w:pPr>
    <w:rPr>
      <w:rFonts w:ascii="Calibri" w:hAnsi="Calibri"/>
      <w:sz w:val="20"/>
      <w:szCs w:val="20"/>
      <w:lang w:val="zh-CN" w:eastAsia="zh-CN"/>
    </w:rPr>
  </w:style>
  <w:style w:type="paragraph" w:customStyle="1" w:styleId="1239">
    <w:name w:val="样式 样式 样式 样式 样式 表头 + 左侧:  0 厘米 悬挂缩进: 2 字符 + 小四 左侧:  0 厘米 悬挂缩进: 2 ..."/>
    <w:basedOn w:val="1"/>
    <w:autoRedefine/>
    <w:qFormat/>
    <w:uiPriority w:val="0"/>
    <w:pPr>
      <w:spacing w:beforeLines="20" w:after="62" w:afterLines="20" w:line="240" w:lineRule="auto"/>
      <w:ind w:firstLine="0"/>
      <w:jc w:val="center"/>
    </w:pPr>
    <w:rPr>
      <w:rFonts w:cs="宋体"/>
      <w:szCs w:val="20"/>
    </w:rPr>
  </w:style>
  <w:style w:type="paragraph" w:customStyle="1" w:styleId="1240">
    <w:name w:val="样式 样式 样式 表头 + 左侧:  0 厘米 悬挂缩进: 2 字符 + 小四 左侧:  0 厘米 悬挂缩进: 2 字符 + 左..."/>
    <w:basedOn w:val="1"/>
    <w:autoRedefine/>
    <w:qFormat/>
    <w:uiPriority w:val="0"/>
    <w:pPr>
      <w:spacing w:beforeLines="50" w:afterLines="50" w:line="240" w:lineRule="auto"/>
      <w:ind w:left="480" w:hanging="480" w:hangingChars="200"/>
      <w:jc w:val="center"/>
    </w:pPr>
    <w:rPr>
      <w:rFonts w:cs="宋体"/>
      <w:sz w:val="21"/>
      <w:szCs w:val="20"/>
    </w:rPr>
  </w:style>
  <w:style w:type="paragraph" w:customStyle="1" w:styleId="1241">
    <w:name w:val="正文 New New New New New New New New New New New New New New New New New New New New New New"/>
    <w:autoRedefine/>
    <w:qFormat/>
    <w:uiPriority w:val="0"/>
    <w:pPr>
      <w:widowControl w:val="0"/>
      <w:spacing w:beforeLines="25" w:afterLines="25" w:line="360" w:lineRule="auto"/>
      <w:jc w:val="both"/>
    </w:pPr>
    <w:rPr>
      <w:rFonts w:ascii="Times New Roman" w:hAnsi="Times New Roman" w:eastAsia="宋体" w:cs="Times New Roman"/>
      <w:kern w:val="2"/>
      <w:sz w:val="24"/>
      <w:lang w:val="en-US" w:eastAsia="zh-CN" w:bidi="ar-SA"/>
    </w:rPr>
  </w:style>
  <w:style w:type="paragraph" w:customStyle="1" w:styleId="1242">
    <w:name w:val="正文 New New New New New New New New New New New New New New New New New New New New"/>
    <w:autoRedefine/>
    <w:qFormat/>
    <w:uiPriority w:val="0"/>
    <w:pPr>
      <w:widowControl w:val="0"/>
      <w:spacing w:beforeLines="25" w:afterLines="25" w:line="360" w:lineRule="auto"/>
      <w:jc w:val="both"/>
    </w:pPr>
    <w:rPr>
      <w:rFonts w:ascii="Times New Roman" w:hAnsi="Times New Roman" w:eastAsia="宋体" w:cs="Times New Roman"/>
      <w:kern w:val="2"/>
      <w:sz w:val="24"/>
      <w:lang w:val="en-US" w:eastAsia="zh-CN" w:bidi="ar-SA"/>
    </w:rPr>
  </w:style>
  <w:style w:type="paragraph" w:customStyle="1" w:styleId="1243">
    <w:name w:val="正文 New New New New"/>
    <w:autoRedefine/>
    <w:qFormat/>
    <w:uiPriority w:val="0"/>
    <w:pPr>
      <w:widowControl w:val="0"/>
      <w:spacing w:beforeLines="50" w:afterLines="50" w:line="25" w:lineRule="exact"/>
      <w:jc w:val="both"/>
    </w:pPr>
    <w:rPr>
      <w:rFonts w:ascii="Times New Roman" w:hAnsi="Times New Roman" w:eastAsia="宋体" w:cs="Times New Roman"/>
      <w:kern w:val="2"/>
      <w:sz w:val="24"/>
      <w:lang w:val="en-US" w:eastAsia="zh-CN" w:bidi="ar-SA"/>
    </w:rPr>
  </w:style>
  <w:style w:type="paragraph" w:customStyle="1" w:styleId="1244">
    <w:name w:val="正文 New New New New New New New New New New New New New New New New New New New New New"/>
    <w:autoRedefine/>
    <w:qFormat/>
    <w:uiPriority w:val="0"/>
    <w:pPr>
      <w:widowControl w:val="0"/>
      <w:spacing w:beforeLines="25" w:afterLines="25" w:line="360" w:lineRule="auto"/>
      <w:jc w:val="both"/>
    </w:pPr>
    <w:rPr>
      <w:rFonts w:ascii="Times New Roman" w:hAnsi="Times New Roman" w:eastAsia="宋体" w:cs="Times New Roman"/>
      <w:kern w:val="2"/>
      <w:sz w:val="24"/>
      <w:lang w:val="en-US" w:eastAsia="zh-CN" w:bidi="ar-SA"/>
    </w:rPr>
  </w:style>
  <w:style w:type="paragraph" w:customStyle="1" w:styleId="1245">
    <w:name w:val="正文 New New New New New New New New New"/>
    <w:autoRedefine/>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1246">
    <w:name w:val="正文 New New New New New New New New"/>
    <w:link w:val="1503"/>
    <w:autoRedefine/>
    <w:qFormat/>
    <w:uiPriority w:val="0"/>
    <w:pPr>
      <w:widowControl w:val="0"/>
      <w:spacing w:beforeLines="25" w:afterLines="25" w:line="360" w:lineRule="auto"/>
      <w:jc w:val="both"/>
    </w:pPr>
    <w:rPr>
      <w:rFonts w:ascii="Times New Roman" w:hAnsi="Times New Roman" w:eastAsia="宋体" w:cs="Times New Roman"/>
      <w:kern w:val="2"/>
      <w:sz w:val="24"/>
      <w:lang w:val="en-US" w:eastAsia="zh-CN" w:bidi="ar-SA"/>
    </w:rPr>
  </w:style>
  <w:style w:type="paragraph" w:customStyle="1" w:styleId="1247">
    <w:name w:val="正文 New New New New New New New New New New New New New New New New New New New New New New New New New"/>
    <w:autoRedefine/>
    <w:qFormat/>
    <w:uiPriority w:val="0"/>
    <w:pPr>
      <w:widowControl w:val="0"/>
      <w:spacing w:beforeLines="25" w:afterLines="25" w:line="360" w:lineRule="auto"/>
      <w:jc w:val="both"/>
    </w:pPr>
    <w:rPr>
      <w:rFonts w:ascii="Times New Roman" w:hAnsi="Times New Roman" w:eastAsia="宋体" w:cs="Times New Roman"/>
      <w:kern w:val="2"/>
      <w:sz w:val="24"/>
      <w:lang w:val="en-US" w:eastAsia="zh-CN" w:bidi="ar-SA"/>
    </w:rPr>
  </w:style>
  <w:style w:type="paragraph" w:customStyle="1" w:styleId="1248">
    <w:name w:val="正文 New New New New New New New New New New New New New New New New New"/>
    <w:autoRedefine/>
    <w:qFormat/>
    <w:uiPriority w:val="0"/>
    <w:pPr>
      <w:widowControl w:val="0"/>
      <w:spacing w:beforeLines="25" w:afterLines="25" w:line="360" w:lineRule="auto"/>
      <w:jc w:val="both"/>
    </w:pPr>
    <w:rPr>
      <w:rFonts w:ascii="Times New Roman" w:hAnsi="Times New Roman" w:eastAsia="宋体" w:cs="Times New Roman"/>
      <w:kern w:val="2"/>
      <w:sz w:val="24"/>
      <w:lang w:val="en-US" w:eastAsia="zh-CN" w:bidi="ar-SA"/>
    </w:rPr>
  </w:style>
  <w:style w:type="paragraph" w:customStyle="1" w:styleId="1249">
    <w:name w:val="正文 New New New New New New New New New New New New New New New New New New New New New New New New"/>
    <w:autoRedefine/>
    <w:qFormat/>
    <w:uiPriority w:val="0"/>
    <w:pPr>
      <w:widowControl w:val="0"/>
      <w:spacing w:beforeLines="25" w:afterLines="25" w:line="360" w:lineRule="auto"/>
      <w:jc w:val="both"/>
    </w:pPr>
    <w:rPr>
      <w:rFonts w:ascii="Times New Roman" w:hAnsi="Times New Roman" w:eastAsia="宋体" w:cs="Times New Roman"/>
      <w:kern w:val="2"/>
      <w:sz w:val="24"/>
      <w:lang w:val="en-US" w:eastAsia="zh-CN" w:bidi="ar-SA"/>
    </w:rPr>
  </w:style>
  <w:style w:type="paragraph" w:customStyle="1" w:styleId="1250">
    <w:name w:val="正文 New New New New New New New New New New New New New New New New New New New New New New New New New New New"/>
    <w:autoRedefine/>
    <w:qFormat/>
    <w:uiPriority w:val="0"/>
    <w:pPr>
      <w:widowControl w:val="0"/>
      <w:spacing w:beforeLines="25" w:afterLines="25" w:line="360" w:lineRule="auto"/>
      <w:jc w:val="both"/>
    </w:pPr>
    <w:rPr>
      <w:rFonts w:ascii="Times New Roman" w:hAnsi="Times New Roman" w:eastAsia="宋体" w:cs="Times New Roman"/>
      <w:kern w:val="2"/>
      <w:sz w:val="24"/>
      <w:lang w:val="en-US" w:eastAsia="zh-CN" w:bidi="ar-SA"/>
    </w:rPr>
  </w:style>
  <w:style w:type="paragraph" w:customStyle="1" w:styleId="1251">
    <w:name w:val="正文 New New New New New New"/>
    <w:autoRedefine/>
    <w:qFormat/>
    <w:uiPriority w:val="0"/>
    <w:pPr>
      <w:widowControl w:val="0"/>
      <w:spacing w:beforeLines="25" w:afterLines="25" w:line="360" w:lineRule="auto"/>
      <w:jc w:val="both"/>
    </w:pPr>
    <w:rPr>
      <w:rFonts w:ascii="Times New Roman" w:hAnsi="Times New Roman" w:eastAsia="宋体" w:cs="Times New Roman"/>
      <w:kern w:val="2"/>
      <w:sz w:val="24"/>
      <w:lang w:val="en-US" w:eastAsia="zh-CN" w:bidi="ar-SA"/>
    </w:rPr>
  </w:style>
  <w:style w:type="paragraph" w:customStyle="1" w:styleId="1252">
    <w:name w:val="正文 New New New New New New New New New New New New New New New New New New New New New New New New New New"/>
    <w:autoRedefine/>
    <w:qFormat/>
    <w:uiPriority w:val="0"/>
    <w:pPr>
      <w:widowControl w:val="0"/>
      <w:spacing w:beforeLines="25" w:afterLines="25" w:line="360" w:lineRule="auto"/>
      <w:jc w:val="both"/>
    </w:pPr>
    <w:rPr>
      <w:rFonts w:ascii="Times New Roman" w:hAnsi="Times New Roman" w:eastAsia="宋体" w:cs="Times New Roman"/>
      <w:kern w:val="2"/>
      <w:sz w:val="24"/>
      <w:lang w:val="en-US" w:eastAsia="zh-CN" w:bidi="ar-SA"/>
    </w:rPr>
  </w:style>
  <w:style w:type="paragraph" w:customStyle="1" w:styleId="1253">
    <w:name w:val="正文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54">
    <w:name w:val="正文 New New New New New New New New New New New New New New New New New New"/>
    <w:autoRedefine/>
    <w:qFormat/>
    <w:uiPriority w:val="0"/>
    <w:pPr>
      <w:widowControl w:val="0"/>
      <w:spacing w:beforeLines="25" w:afterLines="25" w:line="360" w:lineRule="auto"/>
      <w:jc w:val="both"/>
    </w:pPr>
    <w:rPr>
      <w:rFonts w:ascii="Times New Roman" w:hAnsi="Times New Roman" w:eastAsia="宋体" w:cs="Times New Roman"/>
      <w:kern w:val="2"/>
      <w:sz w:val="24"/>
      <w:lang w:val="en-US" w:eastAsia="zh-CN" w:bidi="ar-SA"/>
    </w:rPr>
  </w:style>
  <w:style w:type="paragraph" w:customStyle="1" w:styleId="1255">
    <w:name w:val="正文 New New New New New New New New New New New New New New New New New New New New New New New"/>
    <w:autoRedefine/>
    <w:qFormat/>
    <w:uiPriority w:val="0"/>
    <w:pPr>
      <w:widowControl w:val="0"/>
      <w:spacing w:beforeLines="25" w:afterLines="25" w:line="360" w:lineRule="auto"/>
      <w:jc w:val="both"/>
    </w:pPr>
    <w:rPr>
      <w:rFonts w:ascii="Times New Roman" w:hAnsi="Times New Roman" w:eastAsia="宋体" w:cs="Times New Roman"/>
      <w:kern w:val="2"/>
      <w:sz w:val="24"/>
      <w:lang w:val="en-US" w:eastAsia="zh-CN" w:bidi="ar-SA"/>
    </w:rPr>
  </w:style>
  <w:style w:type="paragraph" w:customStyle="1" w:styleId="1256">
    <w:name w:val="正文文本 22"/>
    <w:basedOn w:val="1"/>
    <w:autoRedefine/>
    <w:qFormat/>
    <w:uiPriority w:val="0"/>
    <w:pPr>
      <w:spacing w:line="480" w:lineRule="auto"/>
      <w:ind w:firstLine="0"/>
    </w:pPr>
    <w:rPr>
      <w:sz w:val="21"/>
      <w:szCs w:val="20"/>
    </w:rPr>
  </w:style>
  <w:style w:type="paragraph" w:customStyle="1" w:styleId="1257">
    <w:name w:val="正文 New New New"/>
    <w:autoRedefine/>
    <w:qFormat/>
    <w:uiPriority w:val="0"/>
    <w:pPr>
      <w:widowControl w:val="0"/>
      <w:spacing w:beforeLines="25" w:afterLines="25" w:line="360" w:lineRule="auto"/>
      <w:jc w:val="both"/>
    </w:pPr>
    <w:rPr>
      <w:rFonts w:ascii="Times New Roman" w:hAnsi="Times New Roman" w:eastAsia="宋体" w:cs="Times New Roman"/>
      <w:kern w:val="2"/>
      <w:sz w:val="24"/>
      <w:lang w:val="en-US" w:eastAsia="zh-CN" w:bidi="ar-SA"/>
    </w:rPr>
  </w:style>
  <w:style w:type="paragraph" w:customStyle="1" w:styleId="1258">
    <w:name w:val="正文 New New New New New New New New New New New New New New New New New New New"/>
    <w:autoRedefine/>
    <w:qFormat/>
    <w:uiPriority w:val="0"/>
    <w:pPr>
      <w:widowControl w:val="0"/>
      <w:spacing w:beforeLines="25" w:afterLines="25" w:line="360" w:lineRule="auto"/>
      <w:jc w:val="both"/>
    </w:pPr>
    <w:rPr>
      <w:rFonts w:ascii="Times New Roman" w:hAnsi="Times New Roman" w:eastAsia="宋体" w:cs="Times New Roman"/>
      <w:kern w:val="2"/>
      <w:sz w:val="24"/>
      <w:lang w:val="en-US" w:eastAsia="zh-CN" w:bidi="ar-SA"/>
    </w:rPr>
  </w:style>
  <w:style w:type="paragraph" w:customStyle="1" w:styleId="1259">
    <w:name w:val="正文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60">
    <w:name w:val="正文缩进31"/>
    <w:basedOn w:val="1"/>
    <w:autoRedefine/>
    <w:qFormat/>
    <w:uiPriority w:val="0"/>
    <w:pPr>
      <w:spacing w:line="240" w:lineRule="auto"/>
      <w:ind w:firstLine="200" w:firstLineChars="200"/>
    </w:pPr>
    <w:rPr>
      <w:sz w:val="21"/>
    </w:rPr>
  </w:style>
  <w:style w:type="paragraph" w:customStyle="1" w:styleId="1261">
    <w:name w:val="正文 New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62">
    <w:name w:val="正文文本 (7)1"/>
    <w:basedOn w:val="1"/>
    <w:link w:val="1418"/>
    <w:autoRedefine/>
    <w:qFormat/>
    <w:uiPriority w:val="99"/>
    <w:pPr>
      <w:shd w:val="clear" w:color="auto" w:fill="FFFFFF"/>
      <w:spacing w:line="435" w:lineRule="exact"/>
      <w:ind w:firstLine="160"/>
      <w:jc w:val="left"/>
    </w:pPr>
    <w:rPr>
      <w:rFonts w:ascii="MingLiU" w:eastAsia="MingLiU"/>
      <w:kern w:val="0"/>
      <w:sz w:val="22"/>
      <w:szCs w:val="20"/>
      <w:lang w:val="zh-CN" w:eastAsia="zh-CN"/>
    </w:rPr>
  </w:style>
  <w:style w:type="paragraph" w:customStyle="1" w:styleId="1263">
    <w:name w:val="正文文本 (9)"/>
    <w:basedOn w:val="1"/>
    <w:link w:val="1420"/>
    <w:autoRedefine/>
    <w:qFormat/>
    <w:uiPriority w:val="99"/>
    <w:pPr>
      <w:shd w:val="clear" w:color="auto" w:fill="FFFFFF"/>
      <w:spacing w:line="435" w:lineRule="exact"/>
      <w:ind w:firstLine="460"/>
      <w:jc w:val="left"/>
    </w:pPr>
    <w:rPr>
      <w:rFonts w:ascii="黑体" w:eastAsia="黑体"/>
      <w:kern w:val="0"/>
      <w:sz w:val="22"/>
      <w:szCs w:val="20"/>
      <w:lang w:val="zh-CN" w:eastAsia="zh-CN"/>
    </w:rPr>
  </w:style>
  <w:style w:type="paragraph" w:customStyle="1" w:styleId="1264">
    <w:name w:val="正文文本 (10)"/>
    <w:basedOn w:val="1"/>
    <w:link w:val="1424"/>
    <w:autoRedefine/>
    <w:qFormat/>
    <w:uiPriority w:val="99"/>
    <w:pPr>
      <w:shd w:val="clear" w:color="auto" w:fill="FFFFFF"/>
      <w:spacing w:line="435" w:lineRule="exact"/>
      <w:ind w:firstLine="480"/>
      <w:jc w:val="left"/>
    </w:pPr>
    <w:rPr>
      <w:rFonts w:ascii="MingLiU" w:eastAsia="MingLiU"/>
      <w:kern w:val="0"/>
      <w:sz w:val="20"/>
      <w:szCs w:val="21"/>
      <w:lang w:val="zh-CN" w:eastAsia="zh-CN"/>
    </w:rPr>
  </w:style>
  <w:style w:type="paragraph" w:customStyle="1" w:styleId="1265">
    <w:name w:val="正文 New New New New New New New New New New New New New New New New New New New New New New New New New New New New New New New New New New New New New New New New New New New"/>
    <w:autoRedefine/>
    <w:qFormat/>
    <w:uiPriority w:val="0"/>
    <w:pPr>
      <w:widowControl w:val="0"/>
      <w:spacing w:afterLines="20" w:line="400" w:lineRule="exact"/>
      <w:ind w:firstLine="480" w:firstLineChars="200"/>
      <w:jc w:val="both"/>
    </w:pPr>
    <w:rPr>
      <w:rFonts w:ascii="Times New Roman" w:hAnsi="Times New Roman" w:eastAsia="宋体" w:cs="Times New Roman"/>
      <w:kern w:val="2"/>
      <w:sz w:val="24"/>
      <w:szCs w:val="24"/>
      <w:lang w:val="en-US" w:eastAsia="zh-CN" w:bidi="ar-SA"/>
    </w:rPr>
  </w:style>
  <w:style w:type="character" w:customStyle="1" w:styleId="1266">
    <w:name w:val="批注主题 Char"/>
    <w:link w:val="1020"/>
    <w:autoRedefine/>
    <w:qFormat/>
    <w:uiPriority w:val="99"/>
    <w:rPr>
      <w:b/>
      <w:bCs/>
      <w:kern w:val="2"/>
      <w:sz w:val="24"/>
      <w:szCs w:val="24"/>
      <w:lang w:val="zh-CN" w:eastAsia="zh-CN"/>
    </w:rPr>
  </w:style>
  <w:style w:type="character" w:customStyle="1" w:styleId="1267">
    <w:name w:val="文档结构图 Char"/>
    <w:link w:val="1022"/>
    <w:autoRedefine/>
    <w:qFormat/>
    <w:uiPriority w:val="99"/>
    <w:rPr>
      <w:kern w:val="2"/>
      <w:sz w:val="24"/>
      <w:szCs w:val="24"/>
      <w:shd w:val="clear" w:color="auto" w:fill="000080"/>
      <w:lang w:val="zh-CN" w:eastAsia="zh-CN"/>
    </w:rPr>
  </w:style>
  <w:style w:type="character" w:customStyle="1" w:styleId="1268">
    <w:name w:val="正文文本缩进 Char"/>
    <w:link w:val="1023"/>
    <w:autoRedefine/>
    <w:qFormat/>
    <w:uiPriority w:val="0"/>
    <w:rPr>
      <w:kern w:val="2"/>
      <w:sz w:val="24"/>
      <w:szCs w:val="24"/>
      <w:lang w:val="zh-CN" w:eastAsia="zh-CN"/>
    </w:rPr>
  </w:style>
  <w:style w:type="character" w:customStyle="1" w:styleId="1269">
    <w:name w:val="样式 样式3 + 首行缩进:  2 字符1 Char Char"/>
    <w:link w:val="1065"/>
    <w:autoRedefine/>
    <w:qFormat/>
    <w:uiPriority w:val="0"/>
  </w:style>
  <w:style w:type="character" w:customStyle="1" w:styleId="1270">
    <w:name w:val="splatinname"/>
    <w:basedOn w:val="102"/>
    <w:autoRedefine/>
    <w:qFormat/>
    <w:uiPriority w:val="0"/>
  </w:style>
  <w:style w:type="character" w:customStyle="1" w:styleId="1271">
    <w:name w:val="标题 Char"/>
    <w:autoRedefine/>
    <w:qFormat/>
    <w:uiPriority w:val="0"/>
    <w:rPr>
      <w:rFonts w:ascii="Arial" w:hAnsi="Arial"/>
      <w:b/>
      <w:bCs/>
      <w:kern w:val="2"/>
      <w:sz w:val="32"/>
      <w:szCs w:val="32"/>
    </w:rPr>
  </w:style>
  <w:style w:type="character" w:customStyle="1" w:styleId="1272">
    <w:name w:val="标题 1 Char"/>
    <w:link w:val="1045"/>
    <w:autoRedefine/>
    <w:qFormat/>
    <w:uiPriority w:val="0"/>
    <w:rPr>
      <w:b/>
      <w:kern w:val="44"/>
      <w:sz w:val="28"/>
      <w:lang w:val="zh-CN" w:eastAsia="zh-CN"/>
    </w:rPr>
  </w:style>
  <w:style w:type="character" w:customStyle="1" w:styleId="1273">
    <w:name w:val="标题 5 Char"/>
    <w:link w:val="1025"/>
    <w:autoRedefine/>
    <w:qFormat/>
    <w:uiPriority w:val="0"/>
    <w:rPr>
      <w:b/>
      <w:bCs/>
      <w:sz w:val="24"/>
      <w:szCs w:val="28"/>
      <w:lang w:val="zh-CN" w:eastAsia="zh-CN"/>
    </w:rPr>
  </w:style>
  <w:style w:type="character" w:customStyle="1" w:styleId="1274">
    <w:name w:val="环评表格标题 Char Char"/>
    <w:link w:val="1035"/>
    <w:autoRedefine/>
    <w:qFormat/>
    <w:uiPriority w:val="0"/>
    <w:rPr>
      <w:rFonts w:eastAsia="黑体"/>
      <w:b/>
      <w:kern w:val="2"/>
      <w:sz w:val="24"/>
      <w:szCs w:val="21"/>
    </w:rPr>
  </w:style>
  <w:style w:type="character" w:customStyle="1" w:styleId="1275">
    <w:name w:val="批注引用1"/>
    <w:autoRedefine/>
    <w:qFormat/>
    <w:uiPriority w:val="0"/>
    <w:rPr>
      <w:sz w:val="21"/>
      <w:szCs w:val="21"/>
    </w:rPr>
  </w:style>
  <w:style w:type="character" w:customStyle="1" w:styleId="1276">
    <w:name w:val="环评3级标题 Char Char"/>
    <w:link w:val="1030"/>
    <w:autoRedefine/>
    <w:qFormat/>
    <w:uiPriority w:val="0"/>
    <w:rPr>
      <w:rFonts w:ascii="Arial" w:hAnsi="Arial" w:eastAsia="黑体"/>
      <w:bCs/>
      <w:kern w:val="2"/>
      <w:sz w:val="28"/>
      <w:szCs w:val="30"/>
    </w:rPr>
  </w:style>
  <w:style w:type="character" w:customStyle="1" w:styleId="1277">
    <w:name w:val="表格hy Char Char"/>
    <w:link w:val="1053"/>
    <w:autoRedefine/>
    <w:qFormat/>
    <w:uiPriority w:val="0"/>
    <w:rPr>
      <w:rFonts w:ascii="楷体_GB2312" w:eastAsia="楷体_GB2312"/>
      <w:bCs/>
      <w:sz w:val="21"/>
      <w:lang w:val="zh-CN" w:eastAsia="zh-CN"/>
    </w:rPr>
  </w:style>
  <w:style w:type="character" w:customStyle="1" w:styleId="1278">
    <w:name w:val="环评表格正文 Char Char"/>
    <w:link w:val="1024"/>
    <w:autoRedefine/>
    <w:qFormat/>
    <w:uiPriority w:val="0"/>
    <w:rPr>
      <w:kern w:val="2"/>
      <w:sz w:val="18"/>
      <w:szCs w:val="21"/>
    </w:rPr>
  </w:style>
  <w:style w:type="character" w:customStyle="1" w:styleId="1279">
    <w:name w:val="标题 4 Char"/>
    <w:autoRedefine/>
    <w:qFormat/>
    <w:uiPriority w:val="0"/>
    <w:rPr>
      <w:rFonts w:eastAsia="黑体"/>
      <w:bCs/>
      <w:iCs/>
      <w:kern w:val="2"/>
      <w:sz w:val="24"/>
      <w:szCs w:val="24"/>
    </w:rPr>
  </w:style>
  <w:style w:type="character" w:customStyle="1" w:styleId="1280">
    <w:name w:val="批注框文本 Char Char Char Char"/>
    <w:link w:val="1061"/>
    <w:autoRedefine/>
    <w:qFormat/>
    <w:uiPriority w:val="0"/>
    <w:rPr>
      <w:kern w:val="2"/>
      <w:sz w:val="18"/>
      <w:szCs w:val="18"/>
      <w:lang w:val="zh-CN" w:eastAsia="zh-CN"/>
    </w:rPr>
  </w:style>
  <w:style w:type="character" w:customStyle="1" w:styleId="1281">
    <w:name w:val="环评正文 Char Char Char"/>
    <w:autoRedefine/>
    <w:qFormat/>
    <w:uiPriority w:val="0"/>
    <w:rPr>
      <w:rFonts w:eastAsia="宋体"/>
      <w:kern w:val="2"/>
      <w:sz w:val="24"/>
      <w:szCs w:val="24"/>
      <w:lang w:val="en-US" w:eastAsia="zh-CN" w:bidi="ar-SA"/>
    </w:rPr>
  </w:style>
  <w:style w:type="character" w:customStyle="1" w:styleId="1282">
    <w:name w:val="标题 9 Char"/>
    <w:link w:val="1041"/>
    <w:autoRedefine/>
    <w:qFormat/>
    <w:uiPriority w:val="0"/>
    <w:rPr>
      <w:rFonts w:ascii="Arial" w:hAnsi="Arial" w:eastAsia="黑体"/>
      <w:caps/>
      <w:sz w:val="21"/>
      <w:lang w:val="zh-CN" w:eastAsia="zh-CN"/>
    </w:rPr>
  </w:style>
  <w:style w:type="character" w:customStyle="1" w:styleId="1283">
    <w:name w:val="splatinnamesauthor"/>
    <w:basedOn w:val="102"/>
    <w:autoRedefine/>
    <w:qFormat/>
    <w:uiPriority w:val="0"/>
  </w:style>
  <w:style w:type="character" w:customStyle="1" w:styleId="1284">
    <w:name w:val="正文修改 Char Char"/>
    <w:link w:val="1064"/>
    <w:autoRedefine/>
    <w:qFormat/>
    <w:uiPriority w:val="0"/>
    <w:rPr>
      <w:sz w:val="24"/>
      <w:szCs w:val="24"/>
      <w:lang w:val="zh-CN" w:eastAsia="zh-CN"/>
    </w:rPr>
  </w:style>
  <w:style w:type="character" w:customStyle="1" w:styleId="1285">
    <w:name w:val="heading 4 Char Char"/>
    <w:link w:val="1029"/>
    <w:autoRedefine/>
    <w:qFormat/>
    <w:uiPriority w:val="0"/>
    <w:rPr>
      <w:rFonts w:eastAsia="黑体"/>
      <w:bCs/>
      <w:iCs/>
      <w:kern w:val="2"/>
      <w:sz w:val="24"/>
      <w:szCs w:val="24"/>
      <w:lang w:val="zh-CN" w:eastAsia="zh-CN"/>
    </w:rPr>
  </w:style>
  <w:style w:type="character" w:customStyle="1" w:styleId="1286">
    <w:name w:val="样式 标题 3 + (中文) 仿宋 Char Char"/>
    <w:link w:val="1027"/>
    <w:autoRedefine/>
    <w:qFormat/>
    <w:uiPriority w:val="0"/>
    <w:rPr>
      <w:rFonts w:eastAsia="仿宋"/>
      <w:kern w:val="2"/>
      <w:sz w:val="30"/>
      <w:szCs w:val="24"/>
      <w:lang w:val="zh-CN" w:eastAsia="zh-CN"/>
    </w:rPr>
  </w:style>
  <w:style w:type="character" w:customStyle="1" w:styleId="1287">
    <w:name w:val="样式 首行缩进:  2 字符 Char Char"/>
    <w:autoRedefine/>
    <w:qFormat/>
    <w:uiPriority w:val="0"/>
    <w:rPr>
      <w:rFonts w:ascii="仿宋_GB2312" w:eastAsia="仿宋_GB2312" w:cs="宋体"/>
      <w:kern w:val="2"/>
      <w:sz w:val="28"/>
    </w:rPr>
  </w:style>
  <w:style w:type="character" w:customStyle="1" w:styleId="1288">
    <w:name w:val="样式 表名 + 首行缩进:  1 字符1 Char Char"/>
    <w:link w:val="1075"/>
    <w:autoRedefine/>
    <w:qFormat/>
    <w:uiPriority w:val="0"/>
    <w:rPr>
      <w:rFonts w:ascii="黑体" w:hAnsi="宋体" w:eastAsia="黑体"/>
      <w:kern w:val="2"/>
      <w:sz w:val="24"/>
    </w:rPr>
  </w:style>
  <w:style w:type="character" w:customStyle="1" w:styleId="1289">
    <w:name w:val="页码1"/>
    <w:basedOn w:val="102"/>
    <w:autoRedefine/>
    <w:qFormat/>
    <w:uiPriority w:val="99"/>
  </w:style>
  <w:style w:type="character" w:customStyle="1" w:styleId="1290">
    <w:name w:val="括号 Char Char"/>
    <w:link w:val="1042"/>
    <w:autoRedefine/>
    <w:qFormat/>
    <w:uiPriority w:val="0"/>
    <w:rPr>
      <w:rFonts w:ascii="楷体_GB2312" w:eastAsia="楷体_GB2312"/>
      <w:kern w:val="2"/>
      <w:sz w:val="28"/>
      <w:szCs w:val="28"/>
      <w:lang w:val="zh-CN" w:eastAsia="zh-CN"/>
    </w:rPr>
  </w:style>
  <w:style w:type="character" w:customStyle="1" w:styleId="1291">
    <w:name w:val="样式 样式 首行缩进:  2 字符 + 首行缩进:  2 字符 Char Char"/>
    <w:link w:val="1043"/>
    <w:autoRedefine/>
    <w:qFormat/>
    <w:uiPriority w:val="0"/>
    <w:rPr>
      <w:rFonts w:ascii="仿宋_GB2312" w:eastAsia="仿宋_GB2312"/>
      <w:kern w:val="2"/>
      <w:sz w:val="28"/>
      <w:lang w:val="zh-CN" w:eastAsia="zh-CN"/>
    </w:rPr>
  </w:style>
  <w:style w:type="character" w:customStyle="1" w:styleId="1292">
    <w:name w:val="latinname"/>
    <w:basedOn w:val="102"/>
    <w:autoRedefine/>
    <w:qFormat/>
    <w:uiPriority w:val="0"/>
  </w:style>
  <w:style w:type="character" w:customStyle="1" w:styleId="1293">
    <w:name w:val="标题 6 Char"/>
    <w:link w:val="1033"/>
    <w:autoRedefine/>
    <w:qFormat/>
    <w:uiPriority w:val="0"/>
    <w:rPr>
      <w:b/>
      <w:bCs/>
      <w:kern w:val="2"/>
      <w:sz w:val="28"/>
      <w:szCs w:val="28"/>
      <w:lang w:val="zh-CN" w:eastAsia="zh-CN"/>
    </w:rPr>
  </w:style>
  <w:style w:type="character" w:customStyle="1" w:styleId="1294">
    <w:name w:val="Char Char1 Char Char Char Char Char Char Char Char Char Char Char Char Char Char Char Char Char Char Char Char1 Char Char Char"/>
    <w:link w:val="1089"/>
    <w:autoRedefine/>
    <w:qFormat/>
    <w:uiPriority w:val="0"/>
    <w:rPr>
      <w:rFonts w:ascii="仿宋_GB2312" w:hAnsi="宋体" w:eastAsia="仿宋_GB2312"/>
      <w:kern w:val="2"/>
      <w:sz w:val="28"/>
      <w:szCs w:val="24"/>
      <w:lang w:val="zh-CN" w:eastAsia="zh-CN"/>
    </w:rPr>
  </w:style>
  <w:style w:type="character" w:customStyle="1" w:styleId="1295">
    <w:name w:val="spcname"/>
    <w:basedOn w:val="102"/>
    <w:autoRedefine/>
    <w:qFormat/>
    <w:uiPriority w:val="0"/>
  </w:style>
  <w:style w:type="character" w:customStyle="1" w:styleId="1296">
    <w:name w:val="文档结构图 Char1"/>
    <w:link w:val="1091"/>
    <w:autoRedefine/>
    <w:qFormat/>
    <w:uiPriority w:val="99"/>
    <w:rPr>
      <w:rFonts w:ascii="宋体"/>
      <w:kern w:val="2"/>
      <w:sz w:val="18"/>
      <w:szCs w:val="18"/>
      <w:lang w:val="zh-CN" w:eastAsia="zh-CN"/>
    </w:rPr>
  </w:style>
  <w:style w:type="character" w:customStyle="1" w:styleId="1297">
    <w:name w:val="批注引用2"/>
    <w:autoRedefine/>
    <w:qFormat/>
    <w:uiPriority w:val="0"/>
    <w:rPr>
      <w:sz w:val="21"/>
      <w:szCs w:val="21"/>
    </w:rPr>
  </w:style>
  <w:style w:type="character" w:customStyle="1" w:styleId="1298">
    <w:name w:val="批注主题 Char1"/>
    <w:link w:val="1092"/>
    <w:autoRedefine/>
    <w:qFormat/>
    <w:uiPriority w:val="99"/>
    <w:rPr>
      <w:b/>
      <w:bCs/>
      <w:kern w:val="2"/>
      <w:sz w:val="24"/>
      <w:szCs w:val="24"/>
      <w:lang w:val="zh-CN" w:eastAsia="zh-CN"/>
    </w:rPr>
  </w:style>
  <w:style w:type="character" w:customStyle="1" w:styleId="1299">
    <w:name w:val="样式 样式 首行缩进:  2 字符 + 首行缩进:  2 字符 Char"/>
    <w:autoRedefine/>
    <w:qFormat/>
    <w:uiPriority w:val="0"/>
    <w:rPr>
      <w:rFonts w:ascii="仿宋_GB2312" w:eastAsia="仿宋_GB2312" w:cs="宋体"/>
      <w:kern w:val="2"/>
      <w:sz w:val="28"/>
      <w:lang w:val="en-US" w:eastAsia="zh-CN" w:bidi="ar-SA"/>
    </w:rPr>
  </w:style>
  <w:style w:type="character" w:customStyle="1" w:styleId="1300">
    <w:name w:val="样式 表名 + 首行缩进:  1 字符1 Char"/>
    <w:autoRedefine/>
    <w:qFormat/>
    <w:uiPriority w:val="0"/>
    <w:rPr>
      <w:rFonts w:ascii="黑体" w:hAnsi="宋体" w:eastAsia="黑体" w:cs="宋体"/>
      <w:bCs/>
      <w:kern w:val="2"/>
      <w:sz w:val="24"/>
      <w:lang w:bidi="ar-SA"/>
    </w:rPr>
  </w:style>
  <w:style w:type="character" w:customStyle="1" w:styleId="1301">
    <w:name w:val="样式 样式 表名 + 首行缩进:  1 字符1 + 首行缩进:  1 字符 Char"/>
    <w:link w:val="1093"/>
    <w:autoRedefine/>
    <w:qFormat/>
    <w:uiPriority w:val="0"/>
    <w:rPr>
      <w:rFonts w:ascii="黑体" w:hAnsi="宋体" w:eastAsia="黑体" w:cs="宋体"/>
      <w:bCs/>
      <w:kern w:val="2"/>
      <w:sz w:val="24"/>
    </w:rPr>
  </w:style>
  <w:style w:type="character" w:customStyle="1" w:styleId="1302">
    <w:name w:val="表格hy Char"/>
    <w:autoRedefine/>
    <w:qFormat/>
    <w:locked/>
    <w:uiPriority w:val="0"/>
    <w:rPr>
      <w:rFonts w:ascii="楷体_GB2312" w:eastAsia="楷体_GB2312"/>
      <w:bCs/>
      <w:sz w:val="21"/>
      <w:lang w:bidi="ar-SA"/>
    </w:rPr>
  </w:style>
  <w:style w:type="character" w:customStyle="1" w:styleId="1303">
    <w:name w:val="BAOGAO正文 Char"/>
    <w:link w:val="1094"/>
    <w:autoRedefine/>
    <w:qFormat/>
    <w:uiPriority w:val="0"/>
    <w:rPr>
      <w:kern w:val="2"/>
      <w:sz w:val="24"/>
      <w:lang w:val="zh-CN" w:eastAsia="zh-CN"/>
    </w:rPr>
  </w:style>
  <w:style w:type="character" w:customStyle="1" w:styleId="1304">
    <w:name w:val="页眉 Char1"/>
    <w:autoRedefine/>
    <w:qFormat/>
    <w:uiPriority w:val="99"/>
    <w:rPr>
      <w:rFonts w:eastAsia="宋体"/>
      <w:kern w:val="2"/>
      <w:sz w:val="18"/>
      <w:szCs w:val="18"/>
      <w:lang w:val="en-US" w:eastAsia="zh-CN" w:bidi="ar-SA"/>
    </w:rPr>
  </w:style>
  <w:style w:type="character" w:customStyle="1" w:styleId="1305">
    <w:name w:val="标题 3 水电 Char Char"/>
    <w:link w:val="1113"/>
    <w:autoRedefine/>
    <w:qFormat/>
    <w:uiPriority w:val="0"/>
    <w:rPr>
      <w:rFonts w:ascii="宋体" w:hAnsi="宋体"/>
      <w:b/>
      <w:bCs/>
      <w:color w:val="0000FF"/>
      <w:kern w:val="2"/>
      <w:sz w:val="28"/>
      <w:szCs w:val="28"/>
      <w:lang w:val="zh-CN" w:eastAsia="zh-CN"/>
    </w:rPr>
  </w:style>
  <w:style w:type="character" w:customStyle="1" w:styleId="1306">
    <w:name w:val="正文1 Char Char Char Char"/>
    <w:link w:val="243"/>
    <w:autoRedefine/>
    <w:qFormat/>
    <w:uiPriority w:val="0"/>
    <w:rPr>
      <w:rFonts w:ascii="宋体"/>
      <w:kern w:val="2"/>
      <w:sz w:val="24"/>
    </w:rPr>
  </w:style>
  <w:style w:type="character" w:customStyle="1" w:styleId="1307">
    <w:name w:val="批注框文本 Char1"/>
    <w:autoRedefine/>
    <w:qFormat/>
    <w:uiPriority w:val="0"/>
    <w:rPr>
      <w:sz w:val="18"/>
      <w:szCs w:val="18"/>
    </w:rPr>
  </w:style>
  <w:style w:type="character" w:customStyle="1" w:styleId="1308">
    <w:name w:val="splatinname1"/>
    <w:autoRedefine/>
    <w:qFormat/>
    <w:uiPriority w:val="0"/>
    <w:rPr>
      <w:rFonts w:cs="Times New Roman"/>
      <w:b/>
      <w:bCs/>
      <w:color w:val="006600"/>
    </w:rPr>
  </w:style>
  <w:style w:type="character" w:customStyle="1" w:styleId="1309">
    <w:name w:val="byd Char Char"/>
    <w:link w:val="1121"/>
    <w:autoRedefine/>
    <w:qFormat/>
    <w:uiPriority w:val="0"/>
    <w:rPr>
      <w:rFonts w:eastAsia="仿宋_GB2312"/>
      <w:kern w:val="2"/>
      <w:sz w:val="28"/>
      <w:szCs w:val="28"/>
      <w:lang w:val="zh-CN" w:eastAsia="zh-CN"/>
    </w:rPr>
  </w:style>
  <w:style w:type="character" w:customStyle="1" w:styleId="1310">
    <w:name w:val="XCHG论文正文 Char Char Char Char Char Char Char Char Char"/>
    <w:link w:val="1114"/>
    <w:autoRedefine/>
    <w:qFormat/>
    <w:uiPriority w:val="0"/>
    <w:rPr>
      <w:color w:val="000000"/>
      <w:sz w:val="24"/>
      <w:szCs w:val="24"/>
      <w:lang w:val="zh-CN" w:eastAsia="zh-CN"/>
    </w:rPr>
  </w:style>
  <w:style w:type="character" w:customStyle="1" w:styleId="1311">
    <w:name w:val="genusname"/>
    <w:autoRedefine/>
    <w:qFormat/>
    <w:uiPriority w:val="0"/>
  </w:style>
  <w:style w:type="character" w:customStyle="1" w:styleId="1312">
    <w:name w:val="样式3 Char Char"/>
    <w:autoRedefine/>
    <w:qFormat/>
    <w:uiPriority w:val="0"/>
    <w:rPr>
      <w:kern w:val="2"/>
      <w:sz w:val="24"/>
      <w:szCs w:val="24"/>
    </w:rPr>
  </w:style>
  <w:style w:type="character" w:customStyle="1" w:styleId="1313">
    <w:name w:val="latinname1"/>
    <w:autoRedefine/>
    <w:qFormat/>
    <w:uiPriority w:val="0"/>
    <w:rPr>
      <w:i/>
      <w:iCs/>
    </w:rPr>
  </w:style>
  <w:style w:type="character" w:customStyle="1" w:styleId="1314">
    <w:name w:val="splatinnamesauthor1"/>
    <w:autoRedefine/>
    <w:qFormat/>
    <w:uiPriority w:val="0"/>
    <w:rPr>
      <w:b/>
      <w:bCs/>
      <w:color w:val="CC3300"/>
    </w:rPr>
  </w:style>
  <w:style w:type="character" w:customStyle="1" w:styleId="1315">
    <w:name w:val="latinnamemark"/>
    <w:autoRedefine/>
    <w:qFormat/>
    <w:uiPriority w:val="0"/>
  </w:style>
  <w:style w:type="character" w:customStyle="1" w:styleId="1316">
    <w:name w:val="表头样式1 Char1"/>
    <w:link w:val="1153"/>
    <w:autoRedefine/>
    <w:qFormat/>
    <w:uiPriority w:val="0"/>
    <w:rPr>
      <w:rFonts w:eastAsia="黑体"/>
      <w:b/>
      <w:kern w:val="2"/>
      <w:sz w:val="24"/>
      <w:lang w:val="zh-CN" w:eastAsia="zh-CN"/>
    </w:rPr>
  </w:style>
  <w:style w:type="character" w:customStyle="1" w:styleId="1317">
    <w:name w:val="正文文本 Char"/>
    <w:autoRedefine/>
    <w:qFormat/>
    <w:uiPriority w:val="0"/>
    <w:rPr>
      <w:rFonts w:eastAsia="宋体"/>
      <w:kern w:val="2"/>
      <w:sz w:val="24"/>
      <w:lang w:val="en-US" w:eastAsia="zh-CN" w:bidi="ar-SA"/>
    </w:rPr>
  </w:style>
  <w:style w:type="character" w:customStyle="1" w:styleId="1318">
    <w:name w:val="ourfont2"/>
    <w:autoRedefine/>
    <w:qFormat/>
    <w:uiPriority w:val="0"/>
  </w:style>
  <w:style w:type="character" w:customStyle="1" w:styleId="1319">
    <w:name w:val="样式 首行缩进:  2 字符3 Char Char"/>
    <w:link w:val="1116"/>
    <w:autoRedefine/>
    <w:qFormat/>
    <w:uiPriority w:val="0"/>
    <w:rPr>
      <w:rFonts w:eastAsia="仿宋_GB2312"/>
      <w:kern w:val="2"/>
      <w:sz w:val="28"/>
      <w:szCs w:val="28"/>
      <w:lang w:val="zh-CN" w:eastAsia="zh-CN"/>
    </w:rPr>
  </w:style>
  <w:style w:type="character" w:customStyle="1" w:styleId="1320">
    <w:name w:val="Char Char2"/>
    <w:autoRedefine/>
    <w:qFormat/>
    <w:uiPriority w:val="99"/>
    <w:rPr>
      <w:kern w:val="2"/>
      <w:sz w:val="16"/>
      <w:szCs w:val="16"/>
    </w:rPr>
  </w:style>
  <w:style w:type="character" w:customStyle="1" w:styleId="1321">
    <w:name w:val="3级标题 Char Char"/>
    <w:link w:val="523"/>
    <w:autoRedefine/>
    <w:qFormat/>
    <w:uiPriority w:val="0"/>
    <w:rPr>
      <w:rFonts w:ascii="黑体" w:eastAsia="黑体"/>
      <w:sz w:val="24"/>
      <w:szCs w:val="32"/>
    </w:rPr>
  </w:style>
  <w:style w:type="character" w:customStyle="1" w:styleId="1322">
    <w:name w:val="表格 Char1"/>
    <w:autoRedefine/>
    <w:qFormat/>
    <w:uiPriority w:val="0"/>
    <w:rPr>
      <w:kern w:val="2"/>
      <w:sz w:val="21"/>
    </w:rPr>
  </w:style>
  <w:style w:type="character" w:customStyle="1" w:styleId="1323">
    <w:name w:val="样式-lei Char Char"/>
    <w:link w:val="1146"/>
    <w:autoRedefine/>
    <w:qFormat/>
    <w:uiPriority w:val="0"/>
    <w:rPr>
      <w:rFonts w:eastAsia="仿宋_GB2312"/>
      <w:kern w:val="2"/>
      <w:sz w:val="28"/>
      <w:szCs w:val="28"/>
      <w:lang w:val="zh-CN" w:eastAsia="zh-CN"/>
    </w:rPr>
  </w:style>
  <w:style w:type="character" w:customStyle="1" w:styleId="1324">
    <w:name w:val="样式 首行缩进:  2 字符2 Char Char"/>
    <w:link w:val="1147"/>
    <w:autoRedefine/>
    <w:qFormat/>
    <w:uiPriority w:val="0"/>
    <w:rPr>
      <w:rFonts w:ascii="仿宋_GB2312" w:eastAsia="仿宋_GB2312"/>
      <w:kern w:val="2"/>
      <w:sz w:val="28"/>
      <w:lang w:val="zh-CN" w:eastAsia="zh-CN"/>
    </w:rPr>
  </w:style>
  <w:style w:type="character" w:customStyle="1" w:styleId="1325">
    <w:name w:val="F加粗文字"/>
    <w:autoRedefine/>
    <w:qFormat/>
    <w:uiPriority w:val="0"/>
    <w:rPr>
      <w:b/>
    </w:rPr>
  </w:style>
  <w:style w:type="character" w:customStyle="1" w:styleId="1326">
    <w:name w:val="表名 Char Char"/>
    <w:link w:val="408"/>
    <w:autoRedefine/>
    <w:qFormat/>
    <w:uiPriority w:val="0"/>
    <w:rPr>
      <w:rFonts w:ascii="宋体" w:hAnsi="Courier New" w:eastAsia="仿宋_GB2312"/>
      <w:b/>
      <w:kern w:val="2"/>
      <w:sz w:val="28"/>
      <w:szCs w:val="21"/>
    </w:rPr>
  </w:style>
  <w:style w:type="character" w:customStyle="1" w:styleId="1327">
    <w:name w:val="普通文字 Char Char1"/>
    <w:autoRedefine/>
    <w:qFormat/>
    <w:uiPriority w:val="0"/>
    <w:rPr>
      <w:rFonts w:ascii="宋体" w:hAnsi="Courier New" w:cs="Courier New"/>
      <w:kern w:val="2"/>
      <w:sz w:val="21"/>
      <w:szCs w:val="21"/>
    </w:rPr>
  </w:style>
  <w:style w:type="character" w:customStyle="1" w:styleId="1328">
    <w:name w:val="Char Char71"/>
    <w:autoRedefine/>
    <w:qFormat/>
    <w:uiPriority w:val="0"/>
    <w:rPr>
      <w:b/>
      <w:bCs/>
      <w:kern w:val="44"/>
      <w:sz w:val="44"/>
      <w:szCs w:val="44"/>
    </w:rPr>
  </w:style>
  <w:style w:type="character" w:customStyle="1" w:styleId="1329">
    <w:name w:val="样式 样式 首行缩进:  2 字符2 + 首行缩进:  2 字符1 Char Char"/>
    <w:link w:val="1154"/>
    <w:autoRedefine/>
    <w:qFormat/>
    <w:uiPriority w:val="0"/>
    <w:rPr>
      <w:lang w:val="zh-CN" w:eastAsia="zh-CN"/>
    </w:rPr>
  </w:style>
  <w:style w:type="character" w:customStyle="1" w:styleId="1330">
    <w:name w:val="副标题 Char1"/>
    <w:autoRedefine/>
    <w:qFormat/>
    <w:uiPriority w:val="0"/>
    <w:rPr>
      <w:rFonts w:ascii="Cambria" w:hAnsi="Cambria" w:cs="Times New Roman"/>
      <w:b/>
      <w:bCs/>
      <w:kern w:val="28"/>
      <w:sz w:val="32"/>
      <w:szCs w:val="32"/>
    </w:rPr>
  </w:style>
  <w:style w:type="character" w:customStyle="1" w:styleId="1331">
    <w:name w:val="表格 Char Char Char Char Char Char Char"/>
    <w:link w:val="1129"/>
    <w:autoRedefine/>
    <w:qFormat/>
    <w:uiPriority w:val="0"/>
    <w:rPr>
      <w:rFonts w:ascii="宋体" w:hAnsi="宋体"/>
      <w:szCs w:val="21"/>
      <w:lang w:val="zh-CN" w:eastAsia="zh-CN"/>
    </w:rPr>
  </w:style>
  <w:style w:type="character" w:customStyle="1" w:styleId="1332">
    <w:name w:val="search_content1"/>
    <w:autoRedefine/>
    <w:qFormat/>
    <w:uiPriority w:val="0"/>
    <w:rPr>
      <w:sz w:val="18"/>
      <w:szCs w:val="18"/>
    </w:rPr>
  </w:style>
  <w:style w:type="character" w:customStyle="1" w:styleId="1333">
    <w:name w:val="样式 正文1 + 首行缩进:  2 字符 Char Char"/>
    <w:autoRedefine/>
    <w:qFormat/>
    <w:uiPriority w:val="0"/>
    <w:rPr>
      <w:rFonts w:ascii="楷体_GB2312" w:eastAsia="楷体_GB2312" w:cs="宋体"/>
      <w:kern w:val="2"/>
      <w:sz w:val="28"/>
    </w:rPr>
  </w:style>
  <w:style w:type="character" w:customStyle="1" w:styleId="1334">
    <w:name w:val="君邦正文 Char2"/>
    <w:link w:val="1158"/>
    <w:autoRedefine/>
    <w:qFormat/>
    <w:uiPriority w:val="0"/>
    <w:rPr>
      <w:bCs/>
      <w:snapToGrid w:val="0"/>
      <w:sz w:val="24"/>
    </w:rPr>
  </w:style>
  <w:style w:type="character" w:customStyle="1" w:styleId="1335">
    <w:name w:val="表内格式 Char1"/>
    <w:link w:val="1145"/>
    <w:autoRedefine/>
    <w:qFormat/>
    <w:uiPriority w:val="0"/>
    <w:rPr>
      <w:kern w:val="2"/>
      <w:sz w:val="18"/>
      <w:lang w:val="zh-CN" w:eastAsia="zh-CN"/>
    </w:rPr>
  </w:style>
  <w:style w:type="character" w:customStyle="1" w:styleId="1336">
    <w:name w:val="R图纸标示1"/>
    <w:autoRedefine/>
    <w:qFormat/>
    <w:uiPriority w:val="0"/>
    <w:rPr>
      <w:rFonts w:eastAsia="黑体"/>
      <w:b/>
      <w:color w:val="FF0000"/>
      <w:sz w:val="21"/>
    </w:rPr>
  </w:style>
  <w:style w:type="character" w:customStyle="1" w:styleId="1337">
    <w:name w:val="F文字-上标"/>
    <w:autoRedefine/>
    <w:qFormat/>
    <w:uiPriority w:val="0"/>
    <w:rPr>
      <w:sz w:val="24"/>
      <w:szCs w:val="24"/>
      <w:vertAlign w:val="superscript"/>
    </w:rPr>
  </w:style>
  <w:style w:type="character" w:customStyle="1" w:styleId="1338">
    <w:name w:val="正文文本 3 Char1"/>
    <w:link w:val="1143"/>
    <w:autoRedefine/>
    <w:qFormat/>
    <w:uiPriority w:val="0"/>
  </w:style>
  <w:style w:type="character" w:customStyle="1" w:styleId="1339">
    <w:name w:val="签名 Char1"/>
    <w:link w:val="1139"/>
    <w:autoRedefine/>
    <w:qFormat/>
    <w:uiPriority w:val="0"/>
    <w:rPr>
      <w:szCs w:val="24"/>
      <w:lang w:val="zh-CN" w:eastAsia="zh-CN"/>
    </w:rPr>
  </w:style>
  <w:style w:type="character" w:customStyle="1" w:styleId="1340">
    <w:name w:val="文档结构图 Char Char"/>
    <w:link w:val="1160"/>
    <w:autoRedefine/>
    <w:qFormat/>
    <w:uiPriority w:val="0"/>
    <w:rPr>
      <w:sz w:val="24"/>
      <w:shd w:val="clear" w:color="auto" w:fill="000080"/>
      <w:lang w:val="zh-CN" w:eastAsia="zh-CN"/>
    </w:rPr>
  </w:style>
  <w:style w:type="character" w:customStyle="1" w:styleId="1341">
    <w:name w:val="纯文本 Char1"/>
    <w:autoRedefine/>
    <w:qFormat/>
    <w:uiPriority w:val="99"/>
    <w:rPr>
      <w:rFonts w:ascii="宋体" w:hAnsi="Courier New" w:eastAsia="宋体" w:cs="Courier New"/>
      <w:szCs w:val="21"/>
    </w:rPr>
  </w:style>
  <w:style w:type="character" w:customStyle="1" w:styleId="1342">
    <w:name w:val="标题 Char1"/>
    <w:autoRedefine/>
    <w:qFormat/>
    <w:uiPriority w:val="10"/>
    <w:rPr>
      <w:rFonts w:ascii="Cambria" w:hAnsi="Cambria" w:eastAsia="宋体" w:cs="Times New Roman"/>
      <w:b/>
      <w:bCs/>
      <w:sz w:val="32"/>
      <w:szCs w:val="32"/>
    </w:rPr>
  </w:style>
  <w:style w:type="character" w:customStyle="1" w:styleId="1343">
    <w:name w:val="正文文本缩进 Char1"/>
    <w:autoRedefine/>
    <w:qFormat/>
    <w:uiPriority w:val="0"/>
  </w:style>
  <w:style w:type="character" w:customStyle="1" w:styleId="1344">
    <w:name w:val="样式 样式 首行缩进:  2 字符5 + 首行缩进:  2 字符 Char Char"/>
    <w:link w:val="1175"/>
    <w:autoRedefine/>
    <w:qFormat/>
    <w:uiPriority w:val="0"/>
    <w:rPr>
      <w:rFonts w:ascii="仿宋_GB2312" w:eastAsia="仿宋_GB2312"/>
      <w:kern w:val="2"/>
      <w:sz w:val="28"/>
      <w:lang w:val="zh-CN" w:eastAsia="zh-CN"/>
    </w:rPr>
  </w:style>
  <w:style w:type="character" w:customStyle="1" w:styleId="1345">
    <w:name w:val="表内字 Char Char"/>
    <w:autoRedefine/>
    <w:qFormat/>
    <w:uiPriority w:val="0"/>
    <w:rPr>
      <w:rFonts w:eastAsia="宋体"/>
      <w:kern w:val="2"/>
      <w:sz w:val="21"/>
      <w:szCs w:val="21"/>
      <w:lang w:val="en-US" w:eastAsia="zh-CN" w:bidi="ar-SA"/>
    </w:rPr>
  </w:style>
  <w:style w:type="character" w:customStyle="1" w:styleId="1346">
    <w:name w:val="我的正文 Char Char"/>
    <w:autoRedefine/>
    <w:qFormat/>
    <w:uiPriority w:val="0"/>
    <w:rPr>
      <w:rFonts w:ascii="宋体" w:cs="宋体"/>
      <w:sz w:val="24"/>
    </w:rPr>
  </w:style>
  <w:style w:type="character" w:customStyle="1" w:styleId="1347">
    <w:name w:val="日期 Char1"/>
    <w:autoRedefine/>
    <w:qFormat/>
    <w:uiPriority w:val="99"/>
  </w:style>
  <w:style w:type="character" w:customStyle="1" w:styleId="1348">
    <w:name w:val="表格 Char Char Char"/>
    <w:autoRedefine/>
    <w:qFormat/>
    <w:uiPriority w:val="0"/>
    <w:rPr>
      <w:rFonts w:eastAsia="宋体" w:cs="Courier New"/>
      <w:szCs w:val="21"/>
    </w:rPr>
  </w:style>
  <w:style w:type="character" w:customStyle="1" w:styleId="1349">
    <w:name w:val="正文文本 2 Char1"/>
    <w:link w:val="1161"/>
    <w:autoRedefine/>
    <w:qFormat/>
    <w:uiPriority w:val="0"/>
    <w:rPr>
      <w:sz w:val="24"/>
      <w:lang w:val="zh-CN" w:eastAsia="zh-CN"/>
    </w:rPr>
  </w:style>
  <w:style w:type="character" w:customStyle="1" w:styleId="1350">
    <w:name w:val="标准正文 Char1"/>
    <w:link w:val="1181"/>
    <w:autoRedefine/>
    <w:qFormat/>
    <w:uiPriority w:val="0"/>
    <w:rPr>
      <w:rFonts w:ascii="仿宋_GB2312" w:eastAsia="仿宋_GB2312"/>
      <w:kern w:val="2"/>
      <w:sz w:val="28"/>
      <w:szCs w:val="24"/>
      <w:lang w:val="zh-CN" w:eastAsia="zh-CN"/>
    </w:rPr>
  </w:style>
  <w:style w:type="character" w:customStyle="1" w:styleId="1351">
    <w:name w:val="样式 样式 样式 宋体 四号 首行缩进:  0.98 厘米 行距: 1.5 倍行距 + 首行缩进:  2 字符 + 首行缩进: ... Char Char"/>
    <w:link w:val="1099"/>
    <w:autoRedefine/>
    <w:qFormat/>
    <w:uiPriority w:val="0"/>
    <w:rPr>
      <w:rFonts w:ascii="仿宋_GB2312" w:hAnsi="宋体" w:eastAsia="仿宋_GB2312"/>
      <w:kern w:val="2"/>
      <w:sz w:val="28"/>
      <w:lang w:val="zh-CN" w:eastAsia="zh-CN"/>
    </w:rPr>
  </w:style>
  <w:style w:type="character" w:customStyle="1" w:styleId="1352">
    <w:name w:val="表格内容 Char Char"/>
    <w:autoRedefine/>
    <w:qFormat/>
    <w:uiPriority w:val="0"/>
    <w:rPr>
      <w:b/>
      <w:kern w:val="2"/>
      <w:sz w:val="21"/>
      <w:szCs w:val="21"/>
    </w:rPr>
  </w:style>
  <w:style w:type="character" w:customStyle="1" w:styleId="1353">
    <w:name w:val="纯文本 Char Char"/>
    <w:link w:val="1096"/>
    <w:autoRedefine/>
    <w:qFormat/>
    <w:uiPriority w:val="0"/>
    <w:rPr>
      <w:rFonts w:ascii="宋体" w:hAnsi="Courier New"/>
      <w:lang w:val="zh-CN" w:eastAsia="zh-CN"/>
    </w:rPr>
  </w:style>
  <w:style w:type="character" w:customStyle="1" w:styleId="1354">
    <w:name w:val="contentdiv1"/>
    <w:autoRedefine/>
    <w:qFormat/>
    <w:uiPriority w:val="0"/>
    <w:rPr>
      <w:color w:val="000000"/>
      <w:sz w:val="21"/>
      <w:szCs w:val="21"/>
    </w:rPr>
  </w:style>
  <w:style w:type="character" w:customStyle="1" w:styleId="1355">
    <w:name w:val="表格内容 Char Char Char"/>
    <w:autoRedefine/>
    <w:qFormat/>
    <w:uiPriority w:val="0"/>
    <w:rPr>
      <w:rFonts w:ascii="宋体" w:hAnsi="宋体" w:eastAsia="宋体" w:cs="Times New Roman"/>
      <w:color w:val="000000"/>
      <w:szCs w:val="24"/>
    </w:rPr>
  </w:style>
  <w:style w:type="character" w:customStyle="1" w:styleId="1356">
    <w:name w:val="正文文本缩进 Char Char"/>
    <w:link w:val="1134"/>
    <w:autoRedefine/>
    <w:qFormat/>
    <w:uiPriority w:val="0"/>
    <w:rPr>
      <w:sz w:val="24"/>
      <w:lang w:val="zh-CN" w:eastAsia="zh-CN"/>
    </w:rPr>
  </w:style>
  <w:style w:type="character" w:customStyle="1" w:styleId="1357">
    <w:name w:val="标题 1 Char Char"/>
    <w:link w:val="1182"/>
    <w:autoRedefine/>
    <w:qFormat/>
    <w:uiPriority w:val="0"/>
    <w:rPr>
      <w:rFonts w:ascii="Verdana" w:hAnsi="Verdana"/>
      <w:b/>
      <w:bCs/>
      <w:sz w:val="44"/>
      <w:szCs w:val="18"/>
      <w:lang w:val="zh-CN" w:eastAsia="zh-CN"/>
    </w:rPr>
  </w:style>
  <w:style w:type="character" w:customStyle="1" w:styleId="1358">
    <w:name w:val="样式 样式 样式 首行缩进:  2 字符5 + 首行缩进:  2 字符 + 首行缩进:  2 字符 Char Char"/>
    <w:link w:val="1164"/>
    <w:autoRedefine/>
    <w:qFormat/>
    <w:uiPriority w:val="0"/>
    <w:rPr>
      <w:rFonts w:ascii="仿宋_GB2312" w:eastAsia="仿宋_GB2312"/>
      <w:kern w:val="2"/>
      <w:sz w:val="28"/>
      <w:lang w:val="zh-CN" w:eastAsia="zh-CN"/>
    </w:rPr>
  </w:style>
  <w:style w:type="character" w:customStyle="1" w:styleId="1359">
    <w:name w:val="表格 Char Char Char Char Char Char Char Char"/>
    <w:autoRedefine/>
    <w:qFormat/>
    <w:uiPriority w:val="0"/>
    <w:rPr>
      <w:rFonts w:ascii="宋体" w:hAnsi="宋体" w:eastAsia="宋体"/>
      <w:szCs w:val="21"/>
    </w:rPr>
  </w:style>
  <w:style w:type="character" w:customStyle="1" w:styleId="1360">
    <w:name w:val="正文文本缩进 2 Char1"/>
    <w:link w:val="1155"/>
    <w:autoRedefine/>
    <w:qFormat/>
    <w:uiPriority w:val="0"/>
    <w:rPr>
      <w:rFonts w:ascii="宋体"/>
      <w:sz w:val="24"/>
      <w:lang w:val="zh-CN" w:eastAsia="zh-CN"/>
    </w:rPr>
  </w:style>
  <w:style w:type="character" w:customStyle="1" w:styleId="1361">
    <w:name w:val="批注文字 Char2"/>
    <w:autoRedefine/>
    <w:qFormat/>
    <w:uiPriority w:val="0"/>
  </w:style>
  <w:style w:type="character" w:customStyle="1" w:styleId="1362">
    <w:name w:val="样式 左 首行缩进:  2 字符 Char Char"/>
    <w:link w:val="1174"/>
    <w:autoRedefine/>
    <w:qFormat/>
    <w:uiPriority w:val="0"/>
    <w:rPr>
      <w:rFonts w:ascii="仿宋_GB2312" w:eastAsia="仿宋_GB2312"/>
      <w:kern w:val="2"/>
      <w:sz w:val="28"/>
      <w:lang w:val="zh-CN" w:eastAsia="zh-CN"/>
    </w:rPr>
  </w:style>
  <w:style w:type="character" w:customStyle="1" w:styleId="1363">
    <w:name w:val="标题 1 Char Char3"/>
    <w:autoRedefine/>
    <w:qFormat/>
    <w:uiPriority w:val="0"/>
  </w:style>
  <w:style w:type="character" w:customStyle="1" w:styleId="1364">
    <w:name w:val="脚注文本 Char1"/>
    <w:autoRedefine/>
    <w:qFormat/>
    <w:uiPriority w:val="99"/>
    <w:rPr>
      <w:sz w:val="18"/>
      <w:szCs w:val="18"/>
    </w:rPr>
  </w:style>
  <w:style w:type="character" w:customStyle="1" w:styleId="1365">
    <w:name w:val="表名 Char Char Char"/>
    <w:autoRedefine/>
    <w:qFormat/>
    <w:uiPriority w:val="0"/>
    <w:rPr>
      <w:rFonts w:ascii="宋体" w:hAnsi="Courier New" w:eastAsia="仿宋_GB2312" w:cs="Courier New"/>
      <w:b/>
      <w:sz w:val="28"/>
      <w:szCs w:val="21"/>
    </w:rPr>
  </w:style>
  <w:style w:type="character" w:customStyle="1" w:styleId="1366">
    <w:name w:val="表头 Char1"/>
    <w:autoRedefine/>
    <w:qFormat/>
    <w:uiPriority w:val="0"/>
    <w:rPr>
      <w:kern w:val="2"/>
      <w:sz w:val="21"/>
    </w:rPr>
  </w:style>
  <w:style w:type="character" w:customStyle="1" w:styleId="1367">
    <w:name w:val="正文文本 Char2"/>
    <w:autoRedefine/>
    <w:qFormat/>
    <w:uiPriority w:val="0"/>
  </w:style>
  <w:style w:type="character" w:customStyle="1" w:styleId="1368">
    <w:name w:val="标题 Char2"/>
    <w:autoRedefine/>
    <w:qFormat/>
    <w:uiPriority w:val="0"/>
    <w:rPr>
      <w:rFonts w:ascii="Cambria" w:hAnsi="Cambria" w:eastAsia="宋体" w:cs="黑体"/>
      <w:b/>
      <w:bCs/>
      <w:sz w:val="32"/>
      <w:szCs w:val="32"/>
    </w:rPr>
  </w:style>
  <w:style w:type="character" w:customStyle="1" w:styleId="1369">
    <w:name w:val="正文01 Char Char"/>
    <w:autoRedefine/>
    <w:qFormat/>
    <w:uiPriority w:val="0"/>
    <w:rPr>
      <w:rFonts w:ascii="仿宋_GB2312" w:eastAsia="仿宋_GB2312" w:cs="宋体"/>
      <w:kern w:val="2"/>
      <w:sz w:val="28"/>
    </w:rPr>
  </w:style>
  <w:style w:type="character" w:customStyle="1" w:styleId="1370">
    <w:name w:val="样式 正文1 + 首行缩进:  1 字符 段后: 0.5 行 Char Char"/>
    <w:link w:val="1172"/>
    <w:autoRedefine/>
    <w:qFormat/>
    <w:uiPriority w:val="0"/>
    <w:rPr>
      <w:rFonts w:ascii="楷体_GB2312" w:eastAsia="楷体_GB2312"/>
      <w:kern w:val="2"/>
      <w:sz w:val="28"/>
      <w:lang w:val="zh-CN" w:eastAsia="zh-CN"/>
    </w:rPr>
  </w:style>
  <w:style w:type="character" w:customStyle="1" w:styleId="1371">
    <w:name w:val="报告正文 Char Char"/>
    <w:autoRedefine/>
    <w:qFormat/>
    <w:uiPriority w:val="0"/>
    <w:rPr>
      <w:kern w:val="2"/>
      <w:sz w:val="24"/>
      <w:szCs w:val="24"/>
    </w:rPr>
  </w:style>
  <w:style w:type="character" w:customStyle="1" w:styleId="1372">
    <w:name w:val="日期 Char Char"/>
    <w:link w:val="1169"/>
    <w:autoRedefine/>
    <w:qFormat/>
    <w:uiPriority w:val="0"/>
    <w:rPr>
      <w:sz w:val="24"/>
      <w:lang w:val="zh-CN" w:eastAsia="zh-CN"/>
    </w:rPr>
  </w:style>
  <w:style w:type="character" w:customStyle="1" w:styleId="1373">
    <w:name w:val="XCHG论文正文 Char Char Char Char Char Char Char Char Char Char"/>
    <w:autoRedefine/>
    <w:qFormat/>
    <w:uiPriority w:val="0"/>
    <w:rPr>
      <w:rFonts w:eastAsia="宋体"/>
      <w:color w:val="000000"/>
      <w:sz w:val="24"/>
      <w:szCs w:val="24"/>
    </w:rPr>
  </w:style>
  <w:style w:type="character" w:customStyle="1" w:styleId="1374">
    <w:name w:val="haydonli Char Char"/>
    <w:link w:val="1112"/>
    <w:autoRedefine/>
    <w:qFormat/>
    <w:uiPriority w:val="0"/>
    <w:rPr>
      <w:kern w:val="2"/>
      <w:sz w:val="24"/>
      <w:szCs w:val="24"/>
      <w:lang w:val="zh-CN" w:eastAsia="zh-CN"/>
    </w:rPr>
  </w:style>
  <w:style w:type="character" w:customStyle="1" w:styleId="1375">
    <w:name w:val="lei Char Char"/>
    <w:link w:val="1170"/>
    <w:autoRedefine/>
    <w:qFormat/>
    <w:uiPriority w:val="0"/>
    <w:rPr>
      <w:sz w:val="24"/>
      <w:szCs w:val="28"/>
      <w:lang w:val="zh-CN" w:eastAsia="zh-CN"/>
    </w:rPr>
  </w:style>
  <w:style w:type="character" w:customStyle="1" w:styleId="1376">
    <w:name w:val="批注引用3"/>
    <w:autoRedefine/>
    <w:qFormat/>
    <w:uiPriority w:val="0"/>
    <w:rPr>
      <w:sz w:val="21"/>
      <w:szCs w:val="21"/>
    </w:rPr>
  </w:style>
  <w:style w:type="character" w:customStyle="1" w:styleId="1377">
    <w:name w:val="副标题 Char2"/>
    <w:autoRedefine/>
    <w:qFormat/>
    <w:uiPriority w:val="0"/>
    <w:rPr>
      <w:rFonts w:ascii="Cambria" w:hAnsi="Cambria" w:eastAsia="宋体" w:cs="黑体"/>
      <w:b/>
      <w:bCs/>
      <w:kern w:val="28"/>
      <w:sz w:val="32"/>
      <w:szCs w:val="32"/>
    </w:rPr>
  </w:style>
  <w:style w:type="character" w:customStyle="1" w:styleId="1378">
    <w:name w:val="页码2"/>
    <w:autoRedefine/>
    <w:qFormat/>
    <w:uiPriority w:val="0"/>
  </w:style>
  <w:style w:type="character" w:customStyle="1" w:styleId="1379">
    <w:name w:val="签名 Char2"/>
    <w:autoRedefine/>
    <w:semiHidden/>
    <w:qFormat/>
    <w:uiPriority w:val="99"/>
    <w:rPr>
      <w:kern w:val="2"/>
      <w:sz w:val="24"/>
      <w:szCs w:val="24"/>
    </w:rPr>
  </w:style>
  <w:style w:type="character" w:customStyle="1" w:styleId="1380">
    <w:name w:val="标题 Char3"/>
    <w:autoRedefine/>
    <w:qFormat/>
    <w:uiPriority w:val="10"/>
    <w:rPr>
      <w:rFonts w:ascii="Calibri Light" w:hAnsi="Calibri Light" w:cs="Times New Roman"/>
      <w:b/>
      <w:bCs/>
      <w:kern w:val="2"/>
      <w:sz w:val="32"/>
      <w:szCs w:val="32"/>
    </w:rPr>
  </w:style>
  <w:style w:type="character" w:customStyle="1" w:styleId="1381">
    <w:name w:val="正文文本 2 Char2"/>
    <w:autoRedefine/>
    <w:semiHidden/>
    <w:qFormat/>
    <w:uiPriority w:val="0"/>
    <w:rPr>
      <w:kern w:val="2"/>
      <w:sz w:val="21"/>
      <w:szCs w:val="24"/>
    </w:rPr>
  </w:style>
  <w:style w:type="character" w:customStyle="1" w:styleId="1382">
    <w:name w:val="日期 Char2"/>
    <w:autoRedefine/>
    <w:semiHidden/>
    <w:qFormat/>
    <w:uiPriority w:val="0"/>
    <w:rPr>
      <w:kern w:val="2"/>
      <w:sz w:val="24"/>
      <w:szCs w:val="24"/>
    </w:rPr>
  </w:style>
  <w:style w:type="character" w:customStyle="1" w:styleId="1383">
    <w:name w:val="正文文本缩进 3 Char2"/>
    <w:autoRedefine/>
    <w:semiHidden/>
    <w:qFormat/>
    <w:uiPriority w:val="0"/>
    <w:rPr>
      <w:kern w:val="2"/>
      <w:sz w:val="16"/>
      <w:szCs w:val="16"/>
    </w:rPr>
  </w:style>
  <w:style w:type="character" w:customStyle="1" w:styleId="1384">
    <w:name w:val="副标题 Char3"/>
    <w:autoRedefine/>
    <w:qFormat/>
    <w:uiPriority w:val="11"/>
    <w:rPr>
      <w:rFonts w:ascii="Calibri Light" w:hAnsi="Calibri Light" w:cs="Times New Roman"/>
      <w:b/>
      <w:bCs/>
      <w:kern w:val="28"/>
      <w:sz w:val="32"/>
      <w:szCs w:val="32"/>
    </w:rPr>
  </w:style>
  <w:style w:type="character" w:customStyle="1" w:styleId="1385">
    <w:name w:val="正文首行缩进 Char2"/>
    <w:autoRedefine/>
    <w:semiHidden/>
    <w:qFormat/>
    <w:uiPriority w:val="99"/>
    <w:rPr>
      <w:kern w:val="2"/>
      <w:sz w:val="21"/>
      <w:szCs w:val="24"/>
    </w:rPr>
  </w:style>
  <w:style w:type="character" w:customStyle="1" w:styleId="1386">
    <w:name w:val="纯文本 Char2"/>
    <w:autoRedefine/>
    <w:semiHidden/>
    <w:qFormat/>
    <w:uiPriority w:val="0"/>
    <w:rPr>
      <w:rFonts w:ascii="宋体" w:hAnsi="Courier New" w:cs="Courier New"/>
      <w:kern w:val="2"/>
      <w:sz w:val="21"/>
      <w:szCs w:val="21"/>
    </w:rPr>
  </w:style>
  <w:style w:type="character" w:customStyle="1" w:styleId="1387">
    <w:name w:val="HTML 预设格式 Char1"/>
    <w:autoRedefine/>
    <w:semiHidden/>
    <w:qFormat/>
    <w:uiPriority w:val="99"/>
    <w:rPr>
      <w:rFonts w:ascii="Courier New" w:hAnsi="Courier New" w:cs="Courier New"/>
      <w:kern w:val="2"/>
    </w:rPr>
  </w:style>
  <w:style w:type="character" w:customStyle="1" w:styleId="1388">
    <w:name w:val="批注框文本 Char2"/>
    <w:autoRedefine/>
    <w:semiHidden/>
    <w:qFormat/>
    <w:uiPriority w:val="99"/>
    <w:rPr>
      <w:kern w:val="2"/>
      <w:sz w:val="18"/>
      <w:szCs w:val="18"/>
    </w:rPr>
  </w:style>
  <w:style w:type="character" w:customStyle="1" w:styleId="1389">
    <w:name w:val="批注文字 Char3"/>
    <w:autoRedefine/>
    <w:qFormat/>
    <w:uiPriority w:val="0"/>
    <w:rPr>
      <w:kern w:val="2"/>
      <w:sz w:val="21"/>
      <w:szCs w:val="24"/>
    </w:rPr>
  </w:style>
  <w:style w:type="character" w:customStyle="1" w:styleId="1390">
    <w:name w:val="正文文本 3 Char2"/>
    <w:autoRedefine/>
    <w:semiHidden/>
    <w:qFormat/>
    <w:uiPriority w:val="0"/>
    <w:rPr>
      <w:kern w:val="2"/>
      <w:sz w:val="16"/>
      <w:szCs w:val="16"/>
    </w:rPr>
  </w:style>
  <w:style w:type="character" w:customStyle="1" w:styleId="1391">
    <w:name w:val="脚注文本 Char2"/>
    <w:autoRedefine/>
    <w:semiHidden/>
    <w:qFormat/>
    <w:uiPriority w:val="99"/>
    <w:rPr>
      <w:kern w:val="2"/>
      <w:sz w:val="18"/>
      <w:szCs w:val="18"/>
    </w:rPr>
  </w:style>
  <w:style w:type="character" w:customStyle="1" w:styleId="1392">
    <w:name w:val="页脚 Char1"/>
    <w:autoRedefine/>
    <w:semiHidden/>
    <w:qFormat/>
    <w:uiPriority w:val="99"/>
    <w:rPr>
      <w:kern w:val="2"/>
      <w:sz w:val="18"/>
      <w:szCs w:val="18"/>
    </w:rPr>
  </w:style>
  <w:style w:type="character" w:customStyle="1" w:styleId="1393">
    <w:name w:val="正文文本缩进 2 Char2"/>
    <w:autoRedefine/>
    <w:semiHidden/>
    <w:qFormat/>
    <w:uiPriority w:val="99"/>
    <w:rPr>
      <w:kern w:val="2"/>
      <w:sz w:val="24"/>
      <w:szCs w:val="24"/>
    </w:rPr>
  </w:style>
  <w:style w:type="character" w:customStyle="1" w:styleId="1394">
    <w:name w:val="正文（首行缩进两字）"/>
    <w:autoRedefine/>
    <w:qFormat/>
    <w:uiPriority w:val="0"/>
    <w:rPr>
      <w:rFonts w:eastAsia="宋体"/>
      <w:kern w:val="2"/>
      <w:sz w:val="28"/>
      <w:lang w:val="en-US" w:eastAsia="zh-CN"/>
    </w:rPr>
  </w:style>
  <w:style w:type="character" w:customStyle="1" w:styleId="1395">
    <w:name w:val="样式 正文文本 + 左侧:  0.98 厘米 Char"/>
    <w:link w:val="1194"/>
    <w:autoRedefine/>
    <w:qFormat/>
    <w:uiPriority w:val="0"/>
    <w:rPr>
      <w:rFonts w:ascii="仿宋_GB2312" w:hAnsi="宋体" w:eastAsia="仿宋_GB2312"/>
      <w:kern w:val="2"/>
      <w:sz w:val="28"/>
      <w:lang w:val="zh-CN" w:eastAsia="zh-CN"/>
    </w:rPr>
  </w:style>
  <w:style w:type="character" w:customStyle="1" w:styleId="1396">
    <w:name w:val="表名 Char"/>
    <w:autoRedefine/>
    <w:qFormat/>
    <w:uiPriority w:val="0"/>
    <w:rPr>
      <w:rFonts w:ascii="宋体" w:hAnsi="Courier New" w:eastAsia="仿宋_GB2312"/>
      <w:b/>
      <w:sz w:val="21"/>
    </w:rPr>
  </w:style>
  <w:style w:type="character" w:customStyle="1" w:styleId="1397">
    <w:name w:val="样式 左侧:  0.98 厘米 Char1"/>
    <w:link w:val="1195"/>
    <w:autoRedefine/>
    <w:qFormat/>
    <w:uiPriority w:val="0"/>
    <w:rPr>
      <w:rFonts w:ascii="宋体" w:hAnsi="宋体" w:eastAsia="仿宋_GB2312"/>
      <w:sz w:val="28"/>
      <w:lang w:val="zh-CN" w:eastAsia="zh-CN"/>
    </w:rPr>
  </w:style>
  <w:style w:type="character" w:customStyle="1" w:styleId="1398">
    <w:name w:val="boldblue14"/>
    <w:autoRedefine/>
    <w:qFormat/>
    <w:uiPriority w:val="0"/>
  </w:style>
  <w:style w:type="character" w:customStyle="1" w:styleId="1399">
    <w:name w:val="表中文字 Char Char1"/>
    <w:autoRedefine/>
    <w:qFormat/>
    <w:uiPriority w:val="0"/>
    <w:rPr>
      <w:rFonts w:ascii="宋体" w:hAnsi="宋体" w:eastAsia="宋体"/>
      <w:snapToGrid w:val="0"/>
      <w:sz w:val="24"/>
      <w:lang w:val="en-US" w:eastAsia="zh-CN"/>
    </w:rPr>
  </w:style>
  <w:style w:type="character" w:customStyle="1" w:styleId="1400">
    <w:name w:val="表中文字 Char Char"/>
    <w:autoRedefine/>
    <w:qFormat/>
    <w:uiPriority w:val="0"/>
    <w:rPr>
      <w:rFonts w:ascii="宋体" w:hAnsi="宋体" w:eastAsia="宋体" w:cs="宋体"/>
      <w:kern w:val="2"/>
      <w:sz w:val="24"/>
      <w:szCs w:val="24"/>
      <w:lang w:val="en-US" w:eastAsia="zh-CN" w:bidi="ar-SA"/>
    </w:rPr>
  </w:style>
  <w:style w:type="character" w:customStyle="1" w:styleId="1401">
    <w:name w:val="c Char"/>
    <w:link w:val="1200"/>
    <w:autoRedefine/>
    <w:qFormat/>
    <w:uiPriority w:val="0"/>
    <w:rPr>
      <w:rFonts w:ascii="五" w:eastAsia="五"/>
      <w:sz w:val="24"/>
    </w:rPr>
  </w:style>
  <w:style w:type="character" w:customStyle="1" w:styleId="1402">
    <w:name w:val="表题 Char"/>
    <w:link w:val="1196"/>
    <w:autoRedefine/>
    <w:qFormat/>
    <w:uiPriority w:val="0"/>
    <w:rPr>
      <w:rFonts w:eastAsia="黑体"/>
      <w:kern w:val="2"/>
      <w:sz w:val="21"/>
      <w:lang w:val="zh-CN" w:eastAsia="zh-CN"/>
    </w:rPr>
  </w:style>
  <w:style w:type="character" w:customStyle="1" w:styleId="1403">
    <w:name w:val="zw Char"/>
    <w:link w:val="1212"/>
    <w:autoRedefine/>
    <w:qFormat/>
    <w:locked/>
    <w:uiPriority w:val="0"/>
    <w:rPr>
      <w:sz w:val="24"/>
      <w:szCs w:val="24"/>
      <w:shd w:val="clear" w:color="auto" w:fill="FFFFFF"/>
      <w:lang w:val="zh-CN" w:eastAsia="zh-CN"/>
    </w:rPr>
  </w:style>
  <w:style w:type="character" w:customStyle="1" w:styleId="1404">
    <w:name w:val="haydonli Char"/>
    <w:autoRedefine/>
    <w:qFormat/>
    <w:uiPriority w:val="0"/>
    <w:rPr>
      <w:rFonts w:eastAsia="宋体"/>
      <w:color w:val="FF0000"/>
      <w:kern w:val="2"/>
      <w:sz w:val="24"/>
      <w:szCs w:val="24"/>
      <w:lang w:val="en-US" w:eastAsia="zh-CN" w:bidi="ar-SA"/>
    </w:rPr>
  </w:style>
  <w:style w:type="character" w:customStyle="1" w:styleId="1405">
    <w:name w:val="postbody"/>
    <w:autoRedefine/>
    <w:qFormat/>
    <w:uiPriority w:val="99"/>
  </w:style>
  <w:style w:type="character" w:customStyle="1" w:styleId="1406">
    <w:name w:val="批注主题 Char Char"/>
    <w:autoRedefine/>
    <w:qFormat/>
    <w:uiPriority w:val="0"/>
    <w:rPr>
      <w:b/>
      <w:bCs/>
    </w:rPr>
  </w:style>
  <w:style w:type="character" w:customStyle="1" w:styleId="1407">
    <w:name w:val="样式 尾注引用"/>
    <w:autoRedefine/>
    <w:qFormat/>
    <w:uiPriority w:val="0"/>
    <w:rPr>
      <w:rFonts w:ascii="Times New Roman" w:hAnsi="Times New Roman" w:eastAsia="宋体"/>
      <w:sz w:val="24"/>
      <w:szCs w:val="28"/>
      <w:vertAlign w:val="superscript"/>
    </w:rPr>
  </w:style>
  <w:style w:type="character" w:customStyle="1" w:styleId="1408">
    <w:name w:val="Char Char14"/>
    <w:autoRedefine/>
    <w:qFormat/>
    <w:uiPriority w:val="99"/>
    <w:rPr>
      <w:rFonts w:ascii="Arial" w:hAnsi="Arial" w:eastAsia="黑体"/>
      <w:kern w:val="2"/>
      <w:sz w:val="24"/>
      <w:szCs w:val="24"/>
    </w:rPr>
  </w:style>
  <w:style w:type="character" w:customStyle="1" w:styleId="1409">
    <w:name w:val="highlight0"/>
    <w:autoRedefine/>
    <w:qFormat/>
    <w:uiPriority w:val="0"/>
  </w:style>
  <w:style w:type="character" w:customStyle="1" w:styleId="1410">
    <w:name w:val="款标题1.1.1.1 Char"/>
    <w:autoRedefine/>
    <w:qFormat/>
    <w:uiPriority w:val="0"/>
    <w:rPr>
      <w:rFonts w:ascii="黑体" w:hAnsi="宋体" w:eastAsia="黑体"/>
      <w:bCs/>
      <w:iCs/>
      <w:kern w:val="2"/>
      <w:sz w:val="24"/>
      <w:szCs w:val="24"/>
      <w:lang w:val="en-US" w:eastAsia="zh-CN"/>
    </w:rPr>
  </w:style>
  <w:style w:type="character" w:customStyle="1" w:styleId="1411">
    <w:name w:val="datatitle1"/>
    <w:autoRedefine/>
    <w:qFormat/>
    <w:uiPriority w:val="0"/>
    <w:rPr>
      <w:b/>
      <w:bCs/>
      <w:color w:val="10619F"/>
      <w:sz w:val="21"/>
      <w:szCs w:val="21"/>
    </w:rPr>
  </w:style>
  <w:style w:type="character" w:customStyle="1" w:styleId="1412">
    <w:name w:val="图表 Char Char Char Char Char Char Char"/>
    <w:autoRedefine/>
    <w:qFormat/>
    <w:uiPriority w:val="0"/>
    <w:rPr>
      <w:rFonts w:ascii="黑体" w:eastAsia="黑体"/>
      <w:kern w:val="2"/>
      <w:sz w:val="21"/>
      <w:szCs w:val="21"/>
      <w:lang w:val="en-US" w:eastAsia="zh-CN" w:bidi="ar-SA"/>
    </w:rPr>
  </w:style>
  <w:style w:type="character" w:customStyle="1" w:styleId="1413">
    <w:name w:val="正文缩进 Char Char"/>
    <w:autoRedefine/>
    <w:qFormat/>
    <w:uiPriority w:val="0"/>
    <w:rPr>
      <w:rFonts w:eastAsia="宋体"/>
      <w:sz w:val="24"/>
    </w:rPr>
  </w:style>
  <w:style w:type="character" w:customStyle="1" w:styleId="1414">
    <w:name w:val="正文文本 Char Char"/>
    <w:autoRedefine/>
    <w:qFormat/>
    <w:uiPriority w:val="0"/>
    <w:rPr>
      <w:b/>
      <w:bCs/>
      <w:kern w:val="2"/>
      <w:sz w:val="32"/>
    </w:rPr>
  </w:style>
  <w:style w:type="character" w:customStyle="1" w:styleId="1415">
    <w:name w:val="尾注文本 Char1"/>
    <w:autoRedefine/>
    <w:semiHidden/>
    <w:qFormat/>
    <w:uiPriority w:val="99"/>
    <w:rPr>
      <w:kern w:val="2"/>
      <w:sz w:val="24"/>
      <w:szCs w:val="24"/>
    </w:rPr>
  </w:style>
  <w:style w:type="character" w:customStyle="1" w:styleId="1416">
    <w:name w:val="页码21"/>
    <w:autoRedefine/>
    <w:qFormat/>
    <w:uiPriority w:val="0"/>
  </w:style>
  <w:style w:type="character" w:customStyle="1" w:styleId="1417">
    <w:name w:val="表 Char Char"/>
    <w:autoRedefine/>
    <w:qFormat/>
    <w:uiPriority w:val="99"/>
    <w:rPr>
      <w:rFonts w:ascii="Arial" w:hAnsi="Arial"/>
      <w:sz w:val="21"/>
      <w:szCs w:val="21"/>
    </w:rPr>
  </w:style>
  <w:style w:type="character" w:customStyle="1" w:styleId="1418">
    <w:name w:val="正文文本 (7)_"/>
    <w:link w:val="1262"/>
    <w:autoRedefine/>
    <w:qFormat/>
    <w:uiPriority w:val="99"/>
    <w:rPr>
      <w:rFonts w:ascii="MingLiU" w:eastAsia="MingLiU"/>
      <w:sz w:val="22"/>
      <w:shd w:val="clear" w:color="auto" w:fill="FFFFFF"/>
      <w:lang w:val="zh-CN" w:eastAsia="zh-CN"/>
    </w:rPr>
  </w:style>
  <w:style w:type="character" w:customStyle="1" w:styleId="1419">
    <w:name w:val="正文文本 (7) + Georgia1"/>
    <w:autoRedefine/>
    <w:qFormat/>
    <w:uiPriority w:val="99"/>
    <w:rPr>
      <w:rFonts w:ascii="Georgia" w:hAnsi="Georgia" w:eastAsia="MingLiU" w:cs="Georgia"/>
      <w:spacing w:val="0"/>
      <w:sz w:val="22"/>
      <w:shd w:val="clear" w:color="auto" w:fill="FFFFFF"/>
      <w:lang w:val="en-US" w:eastAsia="en-US"/>
    </w:rPr>
  </w:style>
  <w:style w:type="character" w:customStyle="1" w:styleId="1420">
    <w:name w:val="正文文本 (9)_"/>
    <w:link w:val="1263"/>
    <w:autoRedefine/>
    <w:qFormat/>
    <w:uiPriority w:val="99"/>
    <w:rPr>
      <w:rFonts w:ascii="黑体" w:eastAsia="黑体"/>
      <w:sz w:val="22"/>
      <w:shd w:val="clear" w:color="auto" w:fill="FFFFFF"/>
      <w:lang w:val="zh-CN" w:eastAsia="zh-CN"/>
    </w:rPr>
  </w:style>
  <w:style w:type="character" w:customStyle="1" w:styleId="1421">
    <w:name w:val="正文文本 (9) + Georgia"/>
    <w:autoRedefine/>
    <w:qFormat/>
    <w:uiPriority w:val="99"/>
    <w:rPr>
      <w:rFonts w:ascii="Georgia" w:hAnsi="Georgia" w:eastAsia="黑体" w:cs="Georgia"/>
      <w:sz w:val="17"/>
      <w:szCs w:val="17"/>
      <w:shd w:val="clear" w:color="auto" w:fill="FFFFFF"/>
      <w:lang w:val="en-US" w:eastAsia="en-US"/>
    </w:rPr>
  </w:style>
  <w:style w:type="character" w:customStyle="1" w:styleId="1422">
    <w:name w:val="正文文本 (7) + 间距 -1 pt"/>
    <w:autoRedefine/>
    <w:qFormat/>
    <w:uiPriority w:val="99"/>
    <w:rPr>
      <w:rFonts w:ascii="MingLiU" w:eastAsia="MingLiU" w:cs="MingLiU"/>
      <w:spacing w:val="-20"/>
      <w:sz w:val="22"/>
      <w:shd w:val="clear" w:color="auto" w:fill="FFFFFF"/>
    </w:rPr>
  </w:style>
  <w:style w:type="character" w:customStyle="1" w:styleId="1423">
    <w:name w:val="正文文本 (7) + 10 pt"/>
    <w:autoRedefine/>
    <w:qFormat/>
    <w:uiPriority w:val="99"/>
    <w:rPr>
      <w:rFonts w:ascii="MingLiU" w:eastAsia="MingLiU" w:cs="MingLiU"/>
      <w:spacing w:val="-30"/>
      <w:sz w:val="20"/>
      <w:szCs w:val="20"/>
      <w:shd w:val="clear" w:color="auto" w:fill="FFFFFF"/>
      <w:lang w:val="en-US" w:eastAsia="en-US"/>
    </w:rPr>
  </w:style>
  <w:style w:type="character" w:customStyle="1" w:styleId="1424">
    <w:name w:val="正文文本 (10)_"/>
    <w:link w:val="1264"/>
    <w:autoRedefine/>
    <w:qFormat/>
    <w:uiPriority w:val="99"/>
    <w:rPr>
      <w:rFonts w:ascii="MingLiU" w:eastAsia="MingLiU"/>
      <w:szCs w:val="21"/>
      <w:shd w:val="clear" w:color="auto" w:fill="FFFFFF"/>
      <w:lang w:val="zh-CN" w:eastAsia="zh-CN"/>
    </w:rPr>
  </w:style>
  <w:style w:type="character" w:customStyle="1" w:styleId="1425">
    <w:name w:val="正文文本 (10) + Georgia"/>
    <w:autoRedefine/>
    <w:qFormat/>
    <w:uiPriority w:val="99"/>
    <w:rPr>
      <w:rFonts w:ascii="Georgia" w:hAnsi="Georgia" w:eastAsia="MingLiU" w:cs="Georgia"/>
      <w:spacing w:val="10"/>
      <w:sz w:val="22"/>
      <w:szCs w:val="22"/>
      <w:shd w:val="clear" w:color="auto" w:fill="FFFFFF"/>
      <w:lang w:val="en-US" w:eastAsia="en-US"/>
    </w:rPr>
  </w:style>
  <w:style w:type="table" w:customStyle="1" w:styleId="1426">
    <w:name w:val="网格型11"/>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7">
    <w:name w:val="网格型21"/>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28">
    <w:name w:val="Revision"/>
    <w:autoRedefine/>
    <w:hidden/>
    <w:unhideWhenUsed/>
    <w:qFormat/>
    <w:uiPriority w:val="99"/>
    <w:rPr>
      <w:rFonts w:ascii="Times New Roman" w:hAnsi="Times New Roman" w:eastAsia="宋体" w:cs="Times New Roman"/>
      <w:kern w:val="2"/>
      <w:sz w:val="24"/>
      <w:szCs w:val="24"/>
      <w:lang w:val="en-US" w:eastAsia="zh-CN" w:bidi="ar-SA"/>
    </w:rPr>
  </w:style>
  <w:style w:type="character" w:customStyle="1" w:styleId="1429">
    <w:name w:val="样式2 Char"/>
    <w:link w:val="308"/>
    <w:autoRedefine/>
    <w:qFormat/>
    <w:uiPriority w:val="0"/>
    <w:rPr>
      <w:sz w:val="18"/>
      <w:szCs w:val="18"/>
    </w:rPr>
  </w:style>
  <w:style w:type="character" w:customStyle="1" w:styleId="1430">
    <w:name w:val="m1"/>
    <w:autoRedefine/>
    <w:qFormat/>
    <w:uiPriority w:val="0"/>
    <w:rPr>
      <w:color w:val="666666"/>
    </w:rPr>
  </w:style>
  <w:style w:type="paragraph" w:customStyle="1" w:styleId="1431">
    <w:name w:val="正文 New New New New New New New New New New New New New New New New New New New New New New New New New New New New New New New New New New New New New New New New New New New New New New New New New New New New New New New New New New New New New New N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32">
    <w:name w:val="TOC Heading"/>
    <w:basedOn w:val="3"/>
    <w:next w:val="1"/>
    <w:autoRedefine/>
    <w:qFormat/>
    <w:uiPriority w:val="39"/>
    <w:pPr>
      <w:widowControl/>
      <w:spacing w:before="480" w:line="276" w:lineRule="auto"/>
      <w:textAlignment w:val="auto"/>
      <w:outlineLvl w:val="9"/>
    </w:pPr>
    <w:rPr>
      <w:rFonts w:ascii="Cambria" w:hAnsi="Cambria" w:eastAsia="宋体"/>
      <w:b/>
      <w:color w:val="365F91"/>
      <w:kern w:val="0"/>
      <w:sz w:val="28"/>
      <w:szCs w:val="28"/>
      <w:lang w:val="zh-CN" w:eastAsia="zh-CN"/>
    </w:rPr>
  </w:style>
  <w:style w:type="table" w:customStyle="1" w:styleId="1433">
    <w:name w:val="网格型12"/>
    <w:basedOn w:val="88"/>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34">
    <w:name w:val="列出段落 New"/>
    <w:basedOn w:val="1254"/>
    <w:autoRedefine/>
    <w:qFormat/>
    <w:uiPriority w:val="0"/>
    <w:pPr>
      <w:spacing w:beforeLines="0" w:afterLines="0" w:line="240" w:lineRule="auto"/>
      <w:ind w:firstLine="420"/>
    </w:pPr>
    <w:rPr>
      <w:rFonts w:ascii="Calibri" w:hAnsi="Calibri" w:cs="黑体"/>
      <w:sz w:val="21"/>
      <w:szCs w:val="22"/>
    </w:rPr>
  </w:style>
  <w:style w:type="character" w:customStyle="1" w:styleId="1435">
    <w:name w:val="Footnote Text Char"/>
    <w:autoRedefine/>
    <w:qFormat/>
    <w:locked/>
    <w:uiPriority w:val="99"/>
    <w:rPr>
      <w:rFonts w:ascii="Calibri Light" w:hAnsi="Calibri Light" w:eastAsia="Courier New" w:cs="Calibri Light"/>
      <w:sz w:val="18"/>
    </w:rPr>
  </w:style>
  <w:style w:type="character" w:customStyle="1" w:styleId="1436">
    <w:name w:val="normaltext1"/>
    <w:autoRedefine/>
    <w:qFormat/>
    <w:uiPriority w:val="99"/>
    <w:rPr>
      <w:rFonts w:cs="Calibri Light"/>
      <w:color w:val="000000"/>
      <w:sz w:val="18"/>
      <w:szCs w:val="18"/>
    </w:rPr>
  </w:style>
  <w:style w:type="character" w:customStyle="1" w:styleId="1437">
    <w:name w:val="font91"/>
    <w:autoRedefine/>
    <w:qFormat/>
    <w:uiPriority w:val="99"/>
    <w:rPr>
      <w:rFonts w:ascii="Courier New" w:hAnsi="Courier New" w:eastAsia="Courier New" w:cs="Calibri Light"/>
      <w:color w:val="0000FF"/>
      <w:sz w:val="20"/>
      <w:szCs w:val="20"/>
      <w:u w:val="none"/>
    </w:rPr>
  </w:style>
  <w:style w:type="character" w:customStyle="1" w:styleId="1438">
    <w:name w:val="标题5 Char Char3 Char Char"/>
    <w:link w:val="1439"/>
    <w:autoRedefine/>
    <w:qFormat/>
    <w:locked/>
    <w:uiPriority w:val="99"/>
    <w:rPr>
      <w:color w:val="000000"/>
      <w:sz w:val="24"/>
    </w:rPr>
  </w:style>
  <w:style w:type="paragraph" w:customStyle="1" w:styleId="1439">
    <w:name w:val="标题5 Char Char3"/>
    <w:basedOn w:val="1"/>
    <w:link w:val="1438"/>
    <w:autoRedefine/>
    <w:qFormat/>
    <w:uiPriority w:val="99"/>
    <w:pPr>
      <w:adjustRightInd w:val="0"/>
      <w:snapToGrid w:val="0"/>
      <w:ind w:left="-28" w:firstLine="425"/>
      <w:outlineLvl w:val="4"/>
    </w:pPr>
    <w:rPr>
      <w:color w:val="000000"/>
      <w:kern w:val="0"/>
      <w:szCs w:val="20"/>
    </w:rPr>
  </w:style>
  <w:style w:type="character" w:customStyle="1" w:styleId="1440">
    <w:name w:val="font51"/>
    <w:autoRedefine/>
    <w:qFormat/>
    <w:uiPriority w:val="0"/>
    <w:rPr>
      <w:rFonts w:ascii="Calibri Light" w:hAnsi="Calibri Light" w:cs="Calibri Light"/>
      <w:color w:val="000000"/>
      <w:sz w:val="18"/>
      <w:szCs w:val="18"/>
      <w:u w:val="none"/>
    </w:rPr>
  </w:style>
  <w:style w:type="character" w:customStyle="1" w:styleId="1441">
    <w:name w:val="样式 正文1 Char + 仿宋_GB2312 四号 首行缩进:  2 字符 Char Char Char Char Char Char Char Char Char"/>
    <w:link w:val="1442"/>
    <w:autoRedefine/>
    <w:qFormat/>
    <w:locked/>
    <w:uiPriority w:val="99"/>
    <w:rPr>
      <w:rFonts w:cs="Courier New"/>
      <w:sz w:val="24"/>
      <w:szCs w:val="24"/>
    </w:rPr>
  </w:style>
  <w:style w:type="paragraph" w:customStyle="1" w:styleId="1442">
    <w:name w:val="样式 正文1 Char + 仿宋_GB2312 四号 首行缩进:  2 字符 Char Char Char Char Char Char Char"/>
    <w:basedOn w:val="1"/>
    <w:link w:val="1441"/>
    <w:autoRedefine/>
    <w:qFormat/>
    <w:uiPriority w:val="99"/>
    <w:pPr>
      <w:suppressLineNumbers/>
      <w:suppressAutoHyphens/>
      <w:topLinePunct/>
      <w:adjustRightInd w:val="0"/>
      <w:snapToGrid w:val="0"/>
      <w:ind w:firstLine="200" w:firstLineChars="200"/>
    </w:pPr>
    <w:rPr>
      <w:rFonts w:cs="Courier New"/>
      <w:kern w:val="0"/>
    </w:rPr>
  </w:style>
  <w:style w:type="character" w:customStyle="1" w:styleId="1443">
    <w:name w:val="Body Text First Indent Char"/>
    <w:autoRedefine/>
    <w:qFormat/>
    <w:locked/>
    <w:uiPriority w:val="99"/>
    <w:rPr>
      <w:kern w:val="2"/>
      <w:sz w:val="24"/>
    </w:rPr>
  </w:style>
  <w:style w:type="character" w:customStyle="1" w:styleId="1444">
    <w:name w:val="正文A Char Char"/>
    <w:link w:val="1445"/>
    <w:autoRedefine/>
    <w:qFormat/>
    <w:locked/>
    <w:uiPriority w:val="99"/>
    <w:rPr>
      <w:snapToGrid w:val="0"/>
      <w:sz w:val="24"/>
      <w:szCs w:val="24"/>
    </w:rPr>
  </w:style>
  <w:style w:type="paragraph" w:customStyle="1" w:styleId="1445">
    <w:name w:val="正文A"/>
    <w:basedOn w:val="1"/>
    <w:link w:val="1444"/>
    <w:autoRedefine/>
    <w:qFormat/>
    <w:uiPriority w:val="99"/>
    <w:pPr>
      <w:adjustRightInd w:val="0"/>
      <w:spacing w:line="480" w:lineRule="exact"/>
      <w:ind w:firstLine="200" w:firstLineChars="200"/>
      <w:textAlignment w:val="baseline"/>
    </w:pPr>
    <w:rPr>
      <w:snapToGrid w:val="0"/>
      <w:kern w:val="0"/>
    </w:rPr>
  </w:style>
  <w:style w:type="character" w:customStyle="1" w:styleId="1446">
    <w:name w:val="font81"/>
    <w:autoRedefine/>
    <w:qFormat/>
    <w:uiPriority w:val="99"/>
    <w:rPr>
      <w:rFonts w:ascii="Courier New" w:hAnsi="Courier New" w:eastAsia="Courier New" w:cs="Calibri Light"/>
      <w:color w:val="0000FF"/>
      <w:sz w:val="18"/>
      <w:szCs w:val="18"/>
      <w:u w:val="none"/>
    </w:rPr>
  </w:style>
  <w:style w:type="character" w:customStyle="1" w:styleId="1447">
    <w:name w:val="font71"/>
    <w:autoRedefine/>
    <w:qFormat/>
    <w:uiPriority w:val="0"/>
    <w:rPr>
      <w:rFonts w:ascii="Calibri Light" w:hAnsi="Calibri Light" w:cs="Calibri Light"/>
      <w:color w:val="0000FF"/>
      <w:sz w:val="18"/>
      <w:szCs w:val="18"/>
      <w:u w:val="none"/>
    </w:rPr>
  </w:style>
  <w:style w:type="paragraph" w:customStyle="1" w:styleId="1448">
    <w:name w:val="@正文$"/>
    <w:autoRedefine/>
    <w:qFormat/>
    <w:uiPriority w:val="0"/>
    <w:pPr>
      <w:widowControl w:val="0"/>
      <w:spacing w:line="120" w:lineRule="exact"/>
      <w:ind w:firstLine="560" w:firstLineChars="200"/>
      <w:jc w:val="both"/>
    </w:pPr>
    <w:rPr>
      <w:rFonts w:ascii="Calibri Light" w:hAnsi="Calibri Light" w:eastAsia="ˎ̥" w:cs="Calibri Light"/>
      <w:kern w:val="2"/>
      <w:sz w:val="28"/>
      <w:szCs w:val="24"/>
      <w:lang w:val="en-US" w:eastAsia="zh-CN" w:bidi="ar-SA"/>
    </w:rPr>
  </w:style>
  <w:style w:type="character" w:customStyle="1" w:styleId="1449">
    <w:name w:val="aspmaker1"/>
    <w:autoRedefine/>
    <w:qFormat/>
    <w:uiPriority w:val="0"/>
    <w:rPr>
      <w:rFonts w:ascii="Times" w:hAnsi="Times" w:cs="Calibri Light"/>
      <w:sz w:val="20"/>
      <w:szCs w:val="20"/>
    </w:rPr>
  </w:style>
  <w:style w:type="character" w:customStyle="1" w:styleId="1450">
    <w:name w:val="desc2"/>
    <w:autoRedefine/>
    <w:qFormat/>
    <w:uiPriority w:val="99"/>
    <w:rPr>
      <w:rFonts w:cs="Calibri Light"/>
    </w:rPr>
  </w:style>
  <w:style w:type="character" w:customStyle="1" w:styleId="1451">
    <w:name w:val="ipt1"/>
    <w:autoRedefine/>
    <w:qFormat/>
    <w:uiPriority w:val="99"/>
    <w:rPr>
      <w:rFonts w:cs="Calibri Light"/>
      <w:color w:val="FF6600"/>
    </w:rPr>
  </w:style>
  <w:style w:type="character" w:customStyle="1" w:styleId="1452">
    <w:name w:val="newstxt"/>
    <w:autoRedefine/>
    <w:qFormat/>
    <w:uiPriority w:val="0"/>
    <w:rPr>
      <w:rFonts w:cs="Calibri Light"/>
    </w:rPr>
  </w:style>
  <w:style w:type="character" w:customStyle="1" w:styleId="1453">
    <w:name w:val="style12"/>
    <w:autoRedefine/>
    <w:qFormat/>
    <w:uiPriority w:val="99"/>
    <w:rPr>
      <w:rFonts w:cs="Calibri Light"/>
      <w:color w:val="000000"/>
    </w:rPr>
  </w:style>
  <w:style w:type="paragraph" w:customStyle="1" w:styleId="1454">
    <w:name w:val="HTML Top of Form"/>
    <w:basedOn w:val="1"/>
    <w:next w:val="1"/>
    <w:link w:val="1455"/>
    <w:autoRedefine/>
    <w:qFormat/>
    <w:uiPriority w:val="99"/>
    <w:pPr>
      <w:widowControl/>
      <w:pBdr>
        <w:bottom w:val="single" w:color="auto" w:sz="6" w:space="1"/>
      </w:pBdr>
      <w:spacing w:line="240" w:lineRule="auto"/>
      <w:ind w:firstLine="0"/>
      <w:jc w:val="center"/>
    </w:pPr>
    <w:rPr>
      <w:rFonts w:ascii="Verdana" w:hAnsi="Verdana"/>
      <w:vanish/>
      <w:kern w:val="0"/>
      <w:sz w:val="16"/>
      <w:szCs w:val="16"/>
      <w:lang w:val="zh-CN" w:eastAsia="zh-CN"/>
    </w:rPr>
  </w:style>
  <w:style w:type="character" w:customStyle="1" w:styleId="1455">
    <w:name w:val="z-窗体顶端 字符"/>
    <w:basedOn w:val="102"/>
    <w:link w:val="1454"/>
    <w:autoRedefine/>
    <w:qFormat/>
    <w:uiPriority w:val="99"/>
    <w:rPr>
      <w:rFonts w:ascii="Verdana" w:hAnsi="Verdana"/>
      <w:vanish/>
      <w:sz w:val="16"/>
      <w:szCs w:val="16"/>
      <w:lang w:val="zh-CN" w:eastAsia="zh-CN"/>
    </w:rPr>
  </w:style>
  <w:style w:type="character" w:customStyle="1" w:styleId="1456">
    <w:name w:val="hilite1"/>
    <w:autoRedefine/>
    <w:qFormat/>
    <w:uiPriority w:val="99"/>
    <w:rPr>
      <w:rFonts w:cs="Calibri Light"/>
    </w:rPr>
  </w:style>
  <w:style w:type="character" w:customStyle="1" w:styleId="1457">
    <w:name w:val="样式 11 磅 深红"/>
    <w:autoRedefine/>
    <w:qFormat/>
    <w:uiPriority w:val="99"/>
    <w:rPr>
      <w:rFonts w:cs="Calibri Light"/>
      <w:color w:val="800000"/>
      <w:sz w:val="22"/>
    </w:rPr>
  </w:style>
  <w:style w:type="paragraph" w:customStyle="1" w:styleId="1458">
    <w:name w:val="普通(Web)2"/>
    <w:basedOn w:val="1"/>
    <w:autoRedefine/>
    <w:qFormat/>
    <w:uiPriority w:val="99"/>
    <w:pPr>
      <w:widowControl/>
      <w:spacing w:after="136" w:line="240" w:lineRule="auto"/>
      <w:ind w:firstLine="0"/>
      <w:jc w:val="left"/>
    </w:pPr>
    <w:rPr>
      <w:rFonts w:ascii="Courier New" w:hAnsi="Courier New" w:cs="Courier New"/>
      <w:kern w:val="0"/>
    </w:rPr>
  </w:style>
  <w:style w:type="character" w:customStyle="1" w:styleId="1459">
    <w:name w:val="zwsx"/>
    <w:autoRedefine/>
    <w:qFormat/>
    <w:uiPriority w:val="99"/>
    <w:rPr>
      <w:rFonts w:cs="Calibri Light"/>
      <w:color w:val="333333"/>
      <w:sz w:val="20"/>
      <w:szCs w:val="20"/>
      <w:shd w:val="clear" w:color="auto" w:fill="FFFFFF"/>
    </w:rPr>
  </w:style>
  <w:style w:type="character" w:customStyle="1" w:styleId="1460">
    <w:name w:val="thisblue tu"/>
    <w:autoRedefine/>
    <w:qFormat/>
    <w:uiPriority w:val="99"/>
    <w:rPr>
      <w:rFonts w:cs="Calibri Light"/>
    </w:rPr>
  </w:style>
  <w:style w:type="character" w:customStyle="1" w:styleId="1461">
    <w:name w:val="m undline"/>
    <w:autoRedefine/>
    <w:qFormat/>
    <w:uiPriority w:val="99"/>
    <w:rPr>
      <w:rFonts w:cs="Calibri Light"/>
    </w:rPr>
  </w:style>
  <w:style w:type="character" w:customStyle="1" w:styleId="1462">
    <w:name w:val="gray s_14 pd_2h"/>
    <w:autoRedefine/>
    <w:qFormat/>
    <w:uiPriority w:val="99"/>
    <w:rPr>
      <w:rFonts w:cs="Calibri Light"/>
    </w:rPr>
  </w:style>
  <w:style w:type="character" w:customStyle="1" w:styleId="1463">
    <w:name w:val="f121"/>
    <w:autoRedefine/>
    <w:qFormat/>
    <w:uiPriority w:val="99"/>
    <w:rPr>
      <w:rFonts w:ascii="Wingdings" w:hAnsi="Wingdings" w:cs="Calibri Light"/>
      <w:color w:val="282828"/>
      <w:sz w:val="18"/>
      <w:szCs w:val="18"/>
      <w:u w:val="none"/>
    </w:rPr>
  </w:style>
  <w:style w:type="character" w:customStyle="1" w:styleId="1464">
    <w:name w:val="Subtle Emphasis"/>
    <w:autoRedefine/>
    <w:qFormat/>
    <w:uiPriority w:val="99"/>
    <w:rPr>
      <w:rFonts w:cs="Calibri Light"/>
      <w:i/>
      <w:iCs/>
      <w:color w:val="808080"/>
    </w:rPr>
  </w:style>
  <w:style w:type="character" w:customStyle="1" w:styleId="1465">
    <w:name w:val="latinnamemark1"/>
    <w:autoRedefine/>
    <w:qFormat/>
    <w:uiPriority w:val="99"/>
    <w:rPr>
      <w:rFonts w:cs="Calibri Light"/>
    </w:rPr>
  </w:style>
  <w:style w:type="character" w:customStyle="1" w:styleId="1466">
    <w:name w:val="Char Char17"/>
    <w:autoRedefine/>
    <w:qFormat/>
    <w:locked/>
    <w:uiPriority w:val="99"/>
    <w:rPr>
      <w:rFonts w:ascii="Calibri Light" w:hAnsi="Calibri Light" w:eastAsia="Courier New" w:cs="Calibri Light"/>
      <w:b/>
      <w:bCs/>
      <w:kern w:val="44"/>
      <w:sz w:val="44"/>
      <w:szCs w:val="44"/>
    </w:rPr>
  </w:style>
  <w:style w:type="character" w:customStyle="1" w:styleId="1467">
    <w:name w:val="Char Char16"/>
    <w:autoRedefine/>
    <w:qFormat/>
    <w:locked/>
    <w:uiPriority w:val="99"/>
    <w:rPr>
      <w:rFonts w:ascii="Verdana" w:hAnsi="Verdana" w:eastAsia="Arial Unicode MS" w:cs="Calibri Light"/>
      <w:b/>
      <w:bCs/>
      <w:kern w:val="0"/>
      <w:sz w:val="32"/>
      <w:szCs w:val="32"/>
    </w:rPr>
  </w:style>
  <w:style w:type="character" w:customStyle="1" w:styleId="1468">
    <w:name w:val="Char Char13"/>
    <w:autoRedefine/>
    <w:qFormat/>
    <w:locked/>
    <w:uiPriority w:val="99"/>
    <w:rPr>
      <w:rFonts w:ascii="Calibri Light" w:hAnsi="Calibri Light" w:eastAsia="Courier New" w:cs="Calibri Light"/>
      <w:sz w:val="21"/>
      <w:szCs w:val="21"/>
    </w:rPr>
  </w:style>
  <w:style w:type="paragraph" w:customStyle="1" w:styleId="1469">
    <w:name w:val="简单回函地址"/>
    <w:basedOn w:val="1"/>
    <w:autoRedefine/>
    <w:qFormat/>
    <w:uiPriority w:val="99"/>
    <w:pPr>
      <w:spacing w:line="240" w:lineRule="auto"/>
      <w:ind w:firstLine="0"/>
    </w:pPr>
    <w:rPr>
      <w:rFonts w:ascii="Calibri Light" w:hAnsi="Calibri Light" w:cs="Calibri Light"/>
    </w:rPr>
  </w:style>
  <w:style w:type="character" w:customStyle="1" w:styleId="1470">
    <w:name w:val="simjour"/>
    <w:autoRedefine/>
    <w:qFormat/>
    <w:uiPriority w:val="99"/>
    <w:rPr>
      <w:rFonts w:cs="Calibri Light"/>
    </w:rPr>
  </w:style>
  <w:style w:type="character" w:customStyle="1" w:styleId="1471">
    <w:name w:val="style201"/>
    <w:autoRedefine/>
    <w:qFormat/>
    <w:uiPriority w:val="99"/>
    <w:rPr>
      <w:rFonts w:ascii="Calibri Light" w:hAnsi="Calibri Light" w:cs="Calibri Light"/>
      <w:sz w:val="15"/>
      <w:szCs w:val="15"/>
    </w:rPr>
  </w:style>
  <w:style w:type="character" w:customStyle="1" w:styleId="1472">
    <w:name w:val="Char Char19"/>
    <w:autoRedefine/>
    <w:qFormat/>
    <w:locked/>
    <w:uiPriority w:val="99"/>
    <w:rPr>
      <w:rFonts w:ascii="Calibri Light" w:hAnsi="Calibri Light" w:eastAsia="Arial Unicode MS" w:cs="Calibri Light"/>
      <w:sz w:val="18"/>
      <w:szCs w:val="18"/>
    </w:rPr>
  </w:style>
  <w:style w:type="character" w:customStyle="1" w:styleId="1473">
    <w:name w:val="Char Char18"/>
    <w:autoRedefine/>
    <w:qFormat/>
    <w:locked/>
    <w:uiPriority w:val="99"/>
    <w:rPr>
      <w:rFonts w:ascii="Calibri Light" w:hAnsi="Calibri Light" w:eastAsia="Courier New" w:cs="Calibri Light"/>
      <w:color w:val="000000"/>
      <w:sz w:val="21"/>
      <w:szCs w:val="21"/>
    </w:rPr>
  </w:style>
  <w:style w:type="paragraph" w:customStyle="1" w:styleId="1474">
    <w:name w:val="font12"/>
    <w:basedOn w:val="1"/>
    <w:autoRedefine/>
    <w:qFormat/>
    <w:uiPriority w:val="99"/>
    <w:pPr>
      <w:widowControl/>
      <w:spacing w:before="100" w:beforeAutospacing="1" w:after="100" w:afterAutospacing="1" w:line="240" w:lineRule="auto"/>
      <w:ind w:firstLine="0"/>
      <w:jc w:val="left"/>
    </w:pPr>
    <w:rPr>
      <w:rFonts w:ascii="Calibri Light" w:hAnsi="Calibri Light" w:cs="Calibri Light"/>
      <w:kern w:val="0"/>
      <w:sz w:val="20"/>
      <w:szCs w:val="20"/>
      <w:u w:val="single"/>
    </w:rPr>
  </w:style>
  <w:style w:type="character" w:customStyle="1" w:styleId="1475">
    <w:name w:val="spcname1"/>
    <w:autoRedefine/>
    <w:qFormat/>
    <w:uiPriority w:val="0"/>
    <w:rPr>
      <w:rFonts w:cs="Calibri Light"/>
      <w:b/>
      <w:bCs/>
      <w:sz w:val="14"/>
      <w:szCs w:val="14"/>
    </w:rPr>
  </w:style>
  <w:style w:type="paragraph" w:customStyle="1" w:styleId="1476">
    <w:name w:val="album-div"/>
    <w:basedOn w:val="1"/>
    <w:autoRedefine/>
    <w:qFormat/>
    <w:uiPriority w:val="99"/>
    <w:pPr>
      <w:widowControl/>
      <w:spacing w:before="100" w:beforeAutospacing="1" w:after="100" w:afterAutospacing="1" w:line="240" w:lineRule="auto"/>
      <w:ind w:firstLine="0"/>
      <w:jc w:val="left"/>
    </w:pPr>
    <w:rPr>
      <w:rFonts w:ascii="Courier New" w:hAnsi="Courier New" w:cs="Courier New"/>
      <w:kern w:val="0"/>
    </w:rPr>
  </w:style>
  <w:style w:type="character" w:customStyle="1" w:styleId="1477">
    <w:name w:val="title8"/>
    <w:autoRedefine/>
    <w:qFormat/>
    <w:uiPriority w:val="99"/>
    <w:rPr>
      <w:rFonts w:cs="Calibri Light"/>
    </w:rPr>
  </w:style>
  <w:style w:type="character" w:customStyle="1" w:styleId="1478">
    <w:name w:val="count4"/>
    <w:autoRedefine/>
    <w:qFormat/>
    <w:uiPriority w:val="99"/>
    <w:rPr>
      <w:rFonts w:cs="Calibri Light"/>
    </w:rPr>
  </w:style>
  <w:style w:type="paragraph" w:customStyle="1" w:styleId="1479">
    <w:name w:val="HTML Bottom of Form"/>
    <w:basedOn w:val="1"/>
    <w:next w:val="1"/>
    <w:link w:val="1480"/>
    <w:autoRedefine/>
    <w:qFormat/>
    <w:uiPriority w:val="99"/>
    <w:pPr>
      <w:widowControl/>
      <w:pBdr>
        <w:top w:val="single" w:color="auto" w:sz="6" w:space="1"/>
      </w:pBdr>
      <w:spacing w:line="240" w:lineRule="auto"/>
      <w:ind w:firstLine="0"/>
      <w:jc w:val="center"/>
    </w:pPr>
    <w:rPr>
      <w:rFonts w:ascii="Verdana" w:hAnsi="Verdana"/>
      <w:vanish/>
      <w:kern w:val="0"/>
      <w:sz w:val="16"/>
      <w:szCs w:val="16"/>
      <w:lang w:val="zh-CN" w:eastAsia="zh-CN"/>
    </w:rPr>
  </w:style>
  <w:style w:type="character" w:customStyle="1" w:styleId="1480">
    <w:name w:val="z-窗体底端 字符"/>
    <w:basedOn w:val="102"/>
    <w:link w:val="1479"/>
    <w:autoRedefine/>
    <w:qFormat/>
    <w:uiPriority w:val="99"/>
    <w:rPr>
      <w:rFonts w:ascii="Verdana" w:hAnsi="Verdana"/>
      <w:vanish/>
      <w:sz w:val="16"/>
      <w:szCs w:val="16"/>
      <w:lang w:val="zh-CN" w:eastAsia="zh-CN"/>
    </w:rPr>
  </w:style>
  <w:style w:type="character" w:customStyle="1" w:styleId="1481">
    <w:name w:val="Char Char171"/>
    <w:autoRedefine/>
    <w:qFormat/>
    <w:locked/>
    <w:uiPriority w:val="99"/>
    <w:rPr>
      <w:rFonts w:eastAsia="Courier New" w:cs="Calibri Light"/>
      <w:b/>
      <w:bCs/>
      <w:kern w:val="44"/>
      <w:sz w:val="44"/>
      <w:szCs w:val="44"/>
      <w:lang w:val="en-US" w:eastAsia="zh-CN" w:bidi="ar-SA"/>
    </w:rPr>
  </w:style>
  <w:style w:type="character" w:customStyle="1" w:styleId="1482">
    <w:name w:val="Char Char161"/>
    <w:autoRedefine/>
    <w:qFormat/>
    <w:locked/>
    <w:uiPriority w:val="99"/>
    <w:rPr>
      <w:rFonts w:ascii="Verdana" w:hAnsi="Verdana" w:eastAsia="Arial Unicode MS" w:cs="Calibri Light"/>
      <w:b/>
      <w:bCs/>
      <w:sz w:val="32"/>
      <w:szCs w:val="32"/>
      <w:lang w:val="en-US" w:eastAsia="zh-CN" w:bidi="ar-SA"/>
    </w:rPr>
  </w:style>
  <w:style w:type="character" w:customStyle="1" w:styleId="1483">
    <w:name w:val="Char Char151"/>
    <w:autoRedefine/>
    <w:qFormat/>
    <w:locked/>
    <w:uiPriority w:val="99"/>
    <w:rPr>
      <w:rFonts w:eastAsia="Courier New" w:cs="Calibri Light"/>
      <w:b/>
      <w:bCs/>
      <w:kern w:val="2"/>
      <w:sz w:val="32"/>
      <w:szCs w:val="32"/>
      <w:lang w:val="en-US" w:eastAsia="zh-CN" w:bidi="ar-SA"/>
    </w:rPr>
  </w:style>
  <w:style w:type="character" w:customStyle="1" w:styleId="1484">
    <w:name w:val="Char Char141"/>
    <w:autoRedefine/>
    <w:qFormat/>
    <w:locked/>
    <w:uiPriority w:val="99"/>
    <w:rPr>
      <w:rFonts w:ascii="Cambria Math" w:hAnsi="Cambria Math" w:eastAsia="Courier New" w:cs="Calibri Light"/>
      <w:b/>
      <w:bCs/>
      <w:kern w:val="2"/>
      <w:sz w:val="28"/>
      <w:szCs w:val="28"/>
      <w:lang w:val="en-US" w:eastAsia="zh-CN" w:bidi="ar-SA"/>
    </w:rPr>
  </w:style>
  <w:style w:type="character" w:customStyle="1" w:styleId="1485">
    <w:name w:val="Char Char131"/>
    <w:autoRedefine/>
    <w:qFormat/>
    <w:locked/>
    <w:uiPriority w:val="99"/>
    <w:rPr>
      <w:rFonts w:eastAsia="Courier New" w:cs="Calibri Light"/>
      <w:kern w:val="2"/>
      <w:sz w:val="21"/>
      <w:szCs w:val="21"/>
      <w:lang w:val="en-US" w:eastAsia="zh-CN" w:bidi="ar-SA"/>
    </w:rPr>
  </w:style>
  <w:style w:type="character" w:customStyle="1" w:styleId="1486">
    <w:name w:val="Char Char111"/>
    <w:autoRedefine/>
    <w:qFormat/>
    <w:locked/>
    <w:uiPriority w:val="99"/>
    <w:rPr>
      <w:rFonts w:eastAsia="Courier New" w:cs="Calibri Light"/>
      <w:kern w:val="2"/>
      <w:sz w:val="18"/>
      <w:szCs w:val="18"/>
      <w:lang w:val="en-US" w:eastAsia="zh-CN" w:bidi="ar-SA"/>
    </w:rPr>
  </w:style>
  <w:style w:type="character" w:customStyle="1" w:styleId="1487">
    <w:name w:val="Char Char101"/>
    <w:autoRedefine/>
    <w:qFormat/>
    <w:locked/>
    <w:uiPriority w:val="99"/>
    <w:rPr>
      <w:rFonts w:eastAsia="Courier New" w:cs="Calibri Light"/>
      <w:kern w:val="2"/>
      <w:sz w:val="18"/>
      <w:szCs w:val="18"/>
      <w:lang w:val="en-US" w:eastAsia="zh-CN" w:bidi="ar-SA"/>
    </w:rPr>
  </w:style>
  <w:style w:type="character" w:customStyle="1" w:styleId="1488">
    <w:name w:val="Char Char91"/>
    <w:autoRedefine/>
    <w:qFormat/>
    <w:locked/>
    <w:uiPriority w:val="99"/>
    <w:rPr>
      <w:rFonts w:ascii="Courier New" w:cs="Calibri Light"/>
      <w:kern w:val="2"/>
      <w:sz w:val="18"/>
      <w:szCs w:val="18"/>
      <w:lang w:val="en-US" w:eastAsia="zh-CN" w:bidi="ar-SA"/>
    </w:rPr>
  </w:style>
  <w:style w:type="character" w:customStyle="1" w:styleId="1489">
    <w:name w:val="Char Char81"/>
    <w:autoRedefine/>
    <w:qFormat/>
    <w:locked/>
    <w:uiPriority w:val="99"/>
    <w:rPr>
      <w:rFonts w:eastAsia="Courier New" w:cs="Calibri Light"/>
      <w:sz w:val="18"/>
      <w:szCs w:val="18"/>
      <w:lang w:val="en-US" w:eastAsia="zh-CN" w:bidi="ar-SA"/>
    </w:rPr>
  </w:style>
  <w:style w:type="character" w:customStyle="1" w:styleId="1490">
    <w:name w:val="Char Char51"/>
    <w:autoRedefine/>
    <w:qFormat/>
    <w:locked/>
    <w:uiPriority w:val="99"/>
    <w:rPr>
      <w:rFonts w:ascii="Courier New" w:hAnsi="Cambria" w:cs="Calibri Light"/>
      <w:kern w:val="2"/>
      <w:sz w:val="24"/>
      <w:lang w:val="en-US" w:eastAsia="zh-CN" w:bidi="ar-SA"/>
    </w:rPr>
  </w:style>
  <w:style w:type="paragraph" w:customStyle="1" w:styleId="1491">
    <w:name w:val="citation"/>
    <w:basedOn w:val="1"/>
    <w:autoRedefine/>
    <w:qFormat/>
    <w:uiPriority w:val="99"/>
    <w:pPr>
      <w:widowControl/>
      <w:spacing w:before="150" w:after="150" w:line="240" w:lineRule="auto"/>
      <w:ind w:left="150" w:right="150" w:firstLine="0"/>
      <w:jc w:val="left"/>
    </w:pPr>
    <w:rPr>
      <w:rFonts w:ascii="Calibri Light" w:hAnsi="Calibri Light" w:cs="Calibri Light"/>
      <w:color w:val="000000"/>
      <w:kern w:val="0"/>
      <w:sz w:val="18"/>
      <w:szCs w:val="18"/>
    </w:rPr>
  </w:style>
  <w:style w:type="paragraph" w:customStyle="1" w:styleId="1492">
    <w:name w:val="列出段落31"/>
    <w:basedOn w:val="1"/>
    <w:autoRedefine/>
    <w:qFormat/>
    <w:uiPriority w:val="99"/>
    <w:pPr>
      <w:spacing w:line="240" w:lineRule="auto"/>
      <w:ind w:firstLine="200" w:firstLineChars="200"/>
    </w:pPr>
    <w:rPr>
      <w:rFonts w:ascii="Arial Narrow" w:hAnsi="Arial Narrow" w:cs="Calibri Light"/>
      <w:sz w:val="21"/>
      <w:szCs w:val="22"/>
    </w:rPr>
  </w:style>
  <w:style w:type="character" w:customStyle="1" w:styleId="1493">
    <w:name w:val="itemfirstlable1"/>
    <w:autoRedefine/>
    <w:qFormat/>
    <w:uiPriority w:val="99"/>
    <w:rPr>
      <w:rFonts w:cs="Calibri Light"/>
      <w:b/>
      <w:bCs/>
      <w:color w:val="FF0000"/>
      <w:sz w:val="21"/>
      <w:szCs w:val="21"/>
    </w:rPr>
  </w:style>
  <w:style w:type="paragraph" w:customStyle="1" w:styleId="1494">
    <w:name w:val="★珍珠米"/>
    <w:autoRedefine/>
    <w:qFormat/>
    <w:uiPriority w:val="0"/>
    <w:pPr>
      <w:adjustRightInd w:val="0"/>
      <w:snapToGrid w:val="0"/>
      <w:spacing w:line="500" w:lineRule="exact"/>
      <w:ind w:firstLine="560" w:firstLineChars="200"/>
    </w:pPr>
    <w:rPr>
      <w:rFonts w:ascii="Calibri Light" w:hAnsi="Calibri Light" w:eastAsia="宋体" w:cs="Calibri Light"/>
      <w:color w:val="FF0000"/>
      <w:kern w:val="2"/>
      <w:sz w:val="28"/>
      <w:szCs w:val="28"/>
      <w:lang w:val="en-US" w:eastAsia="zh-CN" w:bidi="ar-SA"/>
    </w:rPr>
  </w:style>
  <w:style w:type="character" w:customStyle="1" w:styleId="1495">
    <w:name w:val="Char4 Char"/>
    <w:link w:val="904"/>
    <w:autoRedefine/>
    <w:qFormat/>
    <w:uiPriority w:val="0"/>
    <w:rPr>
      <w:kern w:val="2"/>
      <w:sz w:val="21"/>
      <w:szCs w:val="24"/>
    </w:rPr>
  </w:style>
  <w:style w:type="character" w:customStyle="1" w:styleId="1496">
    <w:name w:val="bold1"/>
    <w:autoRedefine/>
    <w:qFormat/>
    <w:uiPriority w:val="0"/>
    <w:rPr>
      <w:b/>
      <w:bCs/>
    </w:rPr>
  </w:style>
  <w:style w:type="character" w:customStyle="1" w:styleId="1497">
    <w:name w:val="style31"/>
    <w:autoRedefine/>
    <w:qFormat/>
    <w:uiPriority w:val="0"/>
    <w:rPr>
      <w:b/>
      <w:bCs/>
      <w:color w:val="669900"/>
    </w:rPr>
  </w:style>
  <w:style w:type="paragraph" w:customStyle="1" w:styleId="1498">
    <w:name w:val="标题2 四号"/>
    <w:basedOn w:val="3"/>
    <w:autoRedefine/>
    <w:qFormat/>
    <w:uiPriority w:val="0"/>
    <w:pPr>
      <w:tabs>
        <w:tab w:val="left" w:pos="432"/>
      </w:tabs>
      <w:adjustRightInd w:val="0"/>
      <w:spacing w:line="420" w:lineRule="exact"/>
      <w:outlineLvl w:val="1"/>
    </w:pPr>
    <w:rPr>
      <w:rFonts w:ascii="Calibri Light" w:hAnsi="Calibri Light" w:eastAsia="宋体"/>
      <w:b/>
      <w:color w:val="auto"/>
      <w:sz w:val="28"/>
      <w:szCs w:val="28"/>
      <w:lang w:val="zh-CN" w:eastAsia="zh-CN"/>
    </w:rPr>
  </w:style>
  <w:style w:type="paragraph" w:customStyle="1" w:styleId="1499">
    <w:name w:val="标题1 小三"/>
    <w:basedOn w:val="3"/>
    <w:autoRedefine/>
    <w:qFormat/>
    <w:uiPriority w:val="0"/>
    <w:pPr>
      <w:tabs>
        <w:tab w:val="left" w:pos="432"/>
      </w:tabs>
      <w:adjustRightInd w:val="0"/>
      <w:spacing w:line="420" w:lineRule="exact"/>
    </w:pPr>
    <w:rPr>
      <w:rFonts w:ascii="Calibri Light" w:hAnsi="Calibri Light" w:eastAsia="宋体"/>
      <w:b/>
      <w:color w:val="auto"/>
      <w:szCs w:val="30"/>
      <w:lang w:val="zh-CN" w:eastAsia="zh-CN"/>
    </w:rPr>
  </w:style>
  <w:style w:type="paragraph" w:customStyle="1" w:styleId="1500">
    <w:name w:val="标题3小四"/>
    <w:basedOn w:val="1"/>
    <w:autoRedefine/>
    <w:qFormat/>
    <w:uiPriority w:val="0"/>
    <w:pPr>
      <w:adjustRightInd w:val="0"/>
      <w:spacing w:line="420" w:lineRule="exact"/>
      <w:ind w:firstLine="0"/>
      <w:jc w:val="left"/>
      <w:textAlignment w:val="baseline"/>
    </w:pPr>
    <w:rPr>
      <w:rFonts w:ascii="Calibri Light" w:hAnsi="Calibri Light" w:cs="Calibri Light"/>
      <w:b/>
      <w:kern w:val="0"/>
      <w:szCs w:val="20"/>
    </w:rPr>
  </w:style>
  <w:style w:type="paragraph" w:customStyle="1" w:styleId="1501">
    <w:name w:val="标题四"/>
    <w:basedOn w:val="1"/>
    <w:autoRedefine/>
    <w:qFormat/>
    <w:uiPriority w:val="0"/>
    <w:pPr>
      <w:adjustRightInd w:val="0"/>
      <w:spacing w:line="420" w:lineRule="exact"/>
      <w:ind w:firstLine="0"/>
      <w:jc w:val="left"/>
      <w:textAlignment w:val="baseline"/>
      <w:outlineLvl w:val="3"/>
    </w:pPr>
    <w:rPr>
      <w:rFonts w:ascii="Calibri Light" w:hAnsi="Calibri Light" w:cs="Calibri Light"/>
      <w:kern w:val="0"/>
      <w:szCs w:val="20"/>
    </w:rPr>
  </w:style>
  <w:style w:type="paragraph" w:customStyle="1" w:styleId="1502">
    <w:name w:val="题注 New"/>
    <w:basedOn w:val="1246"/>
    <w:next w:val="1246"/>
    <w:autoRedefine/>
    <w:qFormat/>
    <w:uiPriority w:val="0"/>
    <w:pPr>
      <w:spacing w:beforeLines="0" w:afterLines="0"/>
      <w:ind w:firstLine="200" w:firstLineChars="200"/>
    </w:pPr>
    <w:rPr>
      <w:rFonts w:ascii="Verdana" w:hAnsi="Verdana" w:eastAsia="Arial Unicode MS" w:cs="Verdana"/>
      <w:kern w:val="0"/>
      <w:sz w:val="20"/>
    </w:rPr>
  </w:style>
  <w:style w:type="character" w:customStyle="1" w:styleId="1503">
    <w:name w:val="正文 New New New New New New New New Char Char"/>
    <w:link w:val="1246"/>
    <w:autoRedefine/>
    <w:qFormat/>
    <w:uiPriority w:val="0"/>
    <w:rPr>
      <w:kern w:val="2"/>
      <w:sz w:val="24"/>
    </w:rPr>
  </w:style>
  <w:style w:type="paragraph" w:customStyle="1" w:styleId="1504">
    <w:name w:val="二室正文宋"/>
    <w:basedOn w:val="1"/>
    <w:autoRedefine/>
    <w:qFormat/>
    <w:uiPriority w:val="0"/>
    <w:pPr>
      <w:spacing w:afterLines="25" w:line="240" w:lineRule="auto"/>
      <w:ind w:firstLine="200" w:firstLineChars="200"/>
      <w:jc w:val="left"/>
    </w:pPr>
    <w:rPr>
      <w:rFonts w:ascii="Calibri Light" w:hAnsi="Calibri Light" w:cs="Calibri Light"/>
      <w:sz w:val="28"/>
    </w:rPr>
  </w:style>
  <w:style w:type="character" w:customStyle="1" w:styleId="1505">
    <w:name w:val="lei Char"/>
    <w:autoRedefine/>
    <w:qFormat/>
    <w:uiPriority w:val="0"/>
    <w:rPr>
      <w:rFonts w:eastAsia="Courier New"/>
      <w:snapToGrid/>
      <w:color w:val="000000"/>
      <w:sz w:val="24"/>
      <w:szCs w:val="28"/>
    </w:rPr>
  </w:style>
  <w:style w:type="character" w:customStyle="1" w:styleId="1506">
    <w:name w:val="p0 Char Char"/>
    <w:link w:val="732"/>
    <w:autoRedefine/>
    <w:qFormat/>
    <w:uiPriority w:val="0"/>
    <w:rPr>
      <w:sz w:val="21"/>
      <w:szCs w:val="21"/>
    </w:rPr>
  </w:style>
  <w:style w:type="character" w:customStyle="1" w:styleId="1507">
    <w:name w:val="表名1 Char Char Char Char Char Char Char"/>
    <w:link w:val="1508"/>
    <w:autoRedefine/>
    <w:qFormat/>
    <w:locked/>
    <w:uiPriority w:val="99"/>
    <w:rPr>
      <w:rFonts w:ascii="Courier New" w:hAnsi="Courier New"/>
      <w:b/>
      <w:sz w:val="24"/>
    </w:rPr>
  </w:style>
  <w:style w:type="paragraph" w:customStyle="1" w:styleId="1508">
    <w:name w:val="表名1 Char Char Char Char Char"/>
    <w:basedOn w:val="1"/>
    <w:link w:val="1507"/>
    <w:autoRedefine/>
    <w:qFormat/>
    <w:uiPriority w:val="99"/>
    <w:pPr>
      <w:adjustRightInd w:val="0"/>
      <w:snapToGrid w:val="0"/>
      <w:spacing w:beforeLines="50" w:line="300" w:lineRule="auto"/>
      <w:ind w:firstLine="482" w:firstLineChars="200"/>
      <w:jc w:val="center"/>
    </w:pPr>
    <w:rPr>
      <w:rFonts w:ascii="Courier New" w:hAnsi="Courier New"/>
      <w:b/>
      <w:kern w:val="0"/>
      <w:szCs w:val="20"/>
    </w:rPr>
  </w:style>
  <w:style w:type="character" w:customStyle="1" w:styleId="1509">
    <w:name w:val="cur6"/>
    <w:autoRedefine/>
    <w:qFormat/>
    <w:uiPriority w:val="0"/>
    <w:rPr>
      <w:rFonts w:hint="default" w:ascii="宋体" w:hAnsi="宋体"/>
      <w:sz w:val="18"/>
      <w:szCs w:val="18"/>
    </w:rPr>
  </w:style>
  <w:style w:type="paragraph" w:customStyle="1" w:styleId="1510">
    <w:name w:val="样式 样式 表头 + 首行缩进:  1 字符 + 首行缩进:  1 字符 段前: 0.3 行 段后: 0.3 行1"/>
    <w:basedOn w:val="1"/>
    <w:autoRedefine/>
    <w:qFormat/>
    <w:uiPriority w:val="0"/>
    <w:pPr>
      <w:autoSpaceDE w:val="0"/>
      <w:autoSpaceDN w:val="0"/>
      <w:adjustRightInd w:val="0"/>
      <w:spacing w:beforeLines="30" w:afterLines="30" w:line="240" w:lineRule="auto"/>
      <w:ind w:firstLine="242" w:firstLineChars="100"/>
      <w:textAlignment w:val="bottom"/>
    </w:pPr>
    <w:rPr>
      <w:rFonts w:ascii="Arial Unicode MS" w:hAnsi="Courier New" w:eastAsia="Arial Unicode MS" w:cs="Calibri Light"/>
      <w:spacing w:val="1"/>
      <w:szCs w:val="20"/>
    </w:rPr>
  </w:style>
  <w:style w:type="character" w:customStyle="1" w:styleId="1511">
    <w:name w:val="tb_content_title1"/>
    <w:autoRedefine/>
    <w:qFormat/>
    <w:uiPriority w:val="0"/>
    <w:rPr>
      <w:rFonts w:hint="eastAsia" w:ascii="Arial Unicode MS" w:eastAsia="Arial Unicode MS"/>
      <w:color w:val="000000"/>
      <w:sz w:val="36"/>
    </w:rPr>
  </w:style>
  <w:style w:type="paragraph" w:customStyle="1" w:styleId="1512">
    <w:name w:val="样式 观音岩正文段落 + 段前: 0.5 行 段后: 0.5 行"/>
    <w:basedOn w:val="1"/>
    <w:autoRedefine/>
    <w:qFormat/>
    <w:uiPriority w:val="0"/>
    <w:pPr>
      <w:adjustRightInd w:val="0"/>
      <w:snapToGrid w:val="0"/>
      <w:ind w:firstLine="482"/>
    </w:pPr>
    <w:rPr>
      <w:rFonts w:ascii="Verdana" w:hAnsi="Verdana" w:cs="Courier New"/>
      <w:szCs w:val="20"/>
    </w:rPr>
  </w:style>
  <w:style w:type="character" w:customStyle="1" w:styleId="1513">
    <w:name w:val="表内文字 Char"/>
    <w:autoRedefine/>
    <w:qFormat/>
    <w:uiPriority w:val="0"/>
    <w:rPr>
      <w:rFonts w:ascii="Calibri Light" w:hAnsi="Calibri Light"/>
      <w:szCs w:val="24"/>
      <w:lang w:val="zh-CN" w:eastAsia="zh-CN"/>
    </w:rPr>
  </w:style>
  <w:style w:type="character" w:customStyle="1" w:styleId="1514">
    <w:name w:val="djen2"/>
    <w:autoRedefine/>
    <w:qFormat/>
    <w:uiPriority w:val="0"/>
    <w:rPr>
      <w:color w:val="3476CD"/>
    </w:rPr>
  </w:style>
  <w:style w:type="paragraph" w:customStyle="1" w:styleId="1515">
    <w:name w:val="样式 表格 +"/>
    <w:basedOn w:val="1"/>
    <w:autoRedefine/>
    <w:qFormat/>
    <w:uiPriority w:val="0"/>
    <w:pPr>
      <w:spacing w:line="0" w:lineRule="atLeast"/>
      <w:ind w:firstLine="0"/>
      <w:jc w:val="center"/>
    </w:pPr>
    <w:rPr>
      <w:rFonts w:ascii="黑体" w:hAnsi="Calibri Light" w:eastAsia="黑体" w:cs="Calibri Light"/>
      <w:kern w:val="0"/>
      <w:sz w:val="21"/>
      <w:szCs w:val="20"/>
    </w:rPr>
  </w:style>
  <w:style w:type="character" w:customStyle="1" w:styleId="1516">
    <w:name w:val="表名 Char1"/>
    <w:autoRedefine/>
    <w:qFormat/>
    <w:uiPriority w:val="0"/>
    <w:rPr>
      <w:rFonts w:ascii="Arial Unicode MS" w:eastAsia="Arial Unicode MS"/>
      <w:kern w:val="2"/>
      <w:sz w:val="24"/>
      <w:szCs w:val="28"/>
      <w:lang w:val="en-US" w:eastAsia="zh-CN" w:bidi="ar-SA"/>
    </w:rPr>
  </w:style>
  <w:style w:type="paragraph" w:customStyle="1" w:styleId="1517">
    <w:name w:val="样式 标题 2标题 2 Char Char + 段前: 0.3 行"/>
    <w:basedOn w:val="4"/>
    <w:autoRedefine/>
    <w:qFormat/>
    <w:uiPriority w:val="0"/>
    <w:pPr>
      <w:keepNext w:val="0"/>
      <w:keepLines w:val="0"/>
      <w:adjustRightInd w:val="0"/>
      <w:snapToGrid w:val="0"/>
      <w:ind w:left="397"/>
      <w:jc w:val="both"/>
      <w:textAlignment w:val="auto"/>
    </w:pPr>
    <w:rPr>
      <w:rFonts w:ascii="Courier New" w:hAnsi="Courier New" w:eastAsia="宋体" w:cs="Courier New"/>
      <w:sz w:val="24"/>
      <w:szCs w:val="24"/>
      <w:lang w:val="zh-CN" w:eastAsia="zh-CN" w:bidi="ar-SA"/>
    </w:rPr>
  </w:style>
  <w:style w:type="character" w:customStyle="1" w:styleId="1518">
    <w:name w:val="标题5 Char Char3 Char"/>
    <w:autoRedefine/>
    <w:qFormat/>
    <w:uiPriority w:val="0"/>
    <w:rPr>
      <w:rFonts w:ascii="Calibri Light" w:hAnsi="Calibri Light"/>
      <w:color w:val="000000"/>
      <w:sz w:val="24"/>
      <w:szCs w:val="24"/>
    </w:rPr>
  </w:style>
  <w:style w:type="paragraph" w:customStyle="1" w:styleId="1519">
    <w:name w:val="表内-文字"/>
    <w:basedOn w:val="1"/>
    <w:autoRedefine/>
    <w:qFormat/>
    <w:uiPriority w:val="0"/>
    <w:pPr>
      <w:spacing w:line="320" w:lineRule="exact"/>
      <w:ind w:firstLine="0"/>
      <w:jc w:val="center"/>
    </w:pPr>
    <w:rPr>
      <w:rFonts w:ascii="Calibri Light" w:hAnsi="Calibri Light" w:eastAsia="黑体" w:cs="Courier New"/>
      <w:bCs/>
      <w:color w:val="000000"/>
      <w:sz w:val="21"/>
      <w:szCs w:val="21"/>
    </w:rPr>
  </w:style>
  <w:style w:type="paragraph" w:customStyle="1" w:styleId="1520">
    <w:name w:val="样式 标题 2标题 2 Char Char + 段前: 0.3 行 Char Char Char Char"/>
    <w:basedOn w:val="4"/>
    <w:autoRedefine/>
    <w:qFormat/>
    <w:uiPriority w:val="0"/>
    <w:pPr>
      <w:keepNext w:val="0"/>
      <w:keepLines w:val="0"/>
      <w:adjustRightInd w:val="0"/>
      <w:snapToGrid w:val="0"/>
      <w:spacing w:before="120" w:beforeLines="100"/>
      <w:jc w:val="both"/>
      <w:textAlignment w:val="auto"/>
    </w:pPr>
    <w:rPr>
      <w:rFonts w:ascii="Verdana" w:hAnsi="Verdana" w:eastAsia="Arial Unicode MS"/>
      <w:b/>
      <w:bCs/>
      <w:sz w:val="30"/>
      <w:szCs w:val="32"/>
      <w:lang w:val="zh-CN" w:eastAsia="zh-CN" w:bidi="ar-SA"/>
    </w:rPr>
  </w:style>
  <w:style w:type="paragraph" w:customStyle="1" w:styleId="1521">
    <w:name w:val="正文 + 五号"/>
    <w:basedOn w:val="1"/>
    <w:autoRedefine/>
    <w:qFormat/>
    <w:uiPriority w:val="0"/>
    <w:pPr>
      <w:spacing w:before="93" w:after="93"/>
      <w:ind w:left="-60" w:right="-60" w:firstLine="0"/>
    </w:pPr>
    <w:rPr>
      <w:rFonts w:ascii="Calibri Light" w:hAnsi="Calibri Light" w:cs="Calibri Light"/>
      <w:color w:val="000000"/>
      <w:szCs w:val="20"/>
    </w:rPr>
  </w:style>
  <w:style w:type="paragraph" w:customStyle="1" w:styleId="1522">
    <w:name w:val="样式 标题 1 + 段后: 0.3 行"/>
    <w:basedOn w:val="3"/>
    <w:autoRedefine/>
    <w:qFormat/>
    <w:uiPriority w:val="0"/>
    <w:pPr>
      <w:keepNext w:val="0"/>
      <w:keepLines w:val="0"/>
      <w:tabs>
        <w:tab w:val="left" w:pos="902"/>
      </w:tabs>
      <w:adjustRightInd w:val="0"/>
      <w:snapToGrid w:val="0"/>
      <w:spacing w:before="120" w:beforeLines="100" w:afterLines="50"/>
      <w:ind w:left="902" w:hanging="420"/>
      <w:jc w:val="both"/>
      <w:textAlignment w:val="auto"/>
    </w:pPr>
    <w:rPr>
      <w:rFonts w:ascii="Arial Unicode MS" w:hAnsi="Calibri Light" w:eastAsia="Arial Unicode MS"/>
      <w:b/>
      <w:bCs w:val="0"/>
      <w:color w:val="auto"/>
      <w:szCs w:val="30"/>
      <w:lang w:val="zh-CN" w:eastAsia="zh-CN"/>
    </w:rPr>
  </w:style>
  <w:style w:type="paragraph" w:customStyle="1" w:styleId="1523">
    <w:name w:val="报告段落"/>
    <w:basedOn w:val="1"/>
    <w:autoRedefine/>
    <w:qFormat/>
    <w:uiPriority w:val="0"/>
    <w:pPr>
      <w:tabs>
        <w:tab w:val="left" w:pos="3045"/>
      </w:tabs>
      <w:adjustRightInd w:val="0"/>
      <w:snapToGrid w:val="0"/>
      <w:ind w:firstLine="0"/>
    </w:pPr>
    <w:rPr>
      <w:rFonts w:ascii="Arial Unicode MS" w:hAnsi="Arial Unicode MS" w:eastAsia="Arial Unicode MS" w:cs="Courier New"/>
      <w:bCs/>
      <w:sz w:val="21"/>
      <w:szCs w:val="21"/>
      <w:shd w:val="clear" w:color="auto" w:fill="FFFFFF"/>
      <w:lang w:val="en-GB"/>
    </w:rPr>
  </w:style>
  <w:style w:type="paragraph" w:customStyle="1" w:styleId="1524">
    <w:name w:val="表文1"/>
    <w:basedOn w:val="1"/>
    <w:autoRedefine/>
    <w:qFormat/>
    <w:uiPriority w:val="0"/>
    <w:pPr>
      <w:adjustRightInd w:val="0"/>
      <w:snapToGrid w:val="0"/>
      <w:spacing w:line="240" w:lineRule="exact"/>
      <w:ind w:firstLine="0"/>
      <w:textAlignment w:val="baseline"/>
    </w:pPr>
    <w:rPr>
      <w:rFonts w:ascii="Calibri Light" w:hAnsi="Calibri Light" w:cs="Calibri Light"/>
      <w:color w:val="000000"/>
      <w:kern w:val="0"/>
      <w:sz w:val="18"/>
    </w:rPr>
  </w:style>
  <w:style w:type="paragraph" w:customStyle="1" w:styleId="1525">
    <w:name w:val="标题1居中"/>
    <w:basedOn w:val="3"/>
    <w:link w:val="1526"/>
    <w:autoRedefine/>
    <w:qFormat/>
    <w:uiPriority w:val="0"/>
    <w:pPr>
      <w:pageBreakBefore/>
      <w:tabs>
        <w:tab w:val="left" w:pos="4144"/>
      </w:tabs>
      <w:adjustRightInd w:val="0"/>
      <w:snapToGrid w:val="0"/>
      <w:spacing w:before="120" w:beforeLines="200" w:afterLines="100"/>
      <w:ind w:firstLine="480" w:firstLineChars="200"/>
      <w:jc w:val="center"/>
      <w:textAlignment w:val="auto"/>
    </w:pPr>
    <w:rPr>
      <w:rFonts w:ascii="ˎ̥" w:hAnsi="Calibri Light" w:eastAsia="宋体"/>
      <w:b/>
      <w:color w:val="auto"/>
      <w:sz w:val="44"/>
      <w:szCs w:val="44"/>
      <w:lang w:val="zh-CN" w:eastAsia="zh-CN"/>
    </w:rPr>
  </w:style>
  <w:style w:type="character" w:customStyle="1" w:styleId="1526">
    <w:name w:val="标题1居中 Char"/>
    <w:link w:val="1525"/>
    <w:autoRedefine/>
    <w:qFormat/>
    <w:uiPriority w:val="0"/>
    <w:rPr>
      <w:rFonts w:ascii="ˎ̥" w:hAnsi="Calibri Light"/>
      <w:b/>
      <w:bCs/>
      <w:kern w:val="44"/>
      <w:sz w:val="44"/>
      <w:szCs w:val="44"/>
      <w:lang w:val="zh-CN" w:eastAsia="zh-CN"/>
    </w:rPr>
  </w:style>
  <w:style w:type="character" w:customStyle="1" w:styleId="1527">
    <w:name w:val="正文段落 Char"/>
    <w:link w:val="1038"/>
    <w:autoRedefine/>
    <w:qFormat/>
    <w:uiPriority w:val="0"/>
    <w:rPr>
      <w:b/>
      <w:color w:val="000000"/>
      <w:kern w:val="10"/>
      <w:sz w:val="24"/>
      <w:szCs w:val="24"/>
      <w:lang w:val="zh-CN" w:eastAsia="zh-CN"/>
    </w:rPr>
  </w:style>
  <w:style w:type="paragraph" w:customStyle="1" w:styleId="1528">
    <w:name w:val="Char6"/>
    <w:basedOn w:val="1"/>
    <w:autoRedefine/>
    <w:qFormat/>
    <w:uiPriority w:val="0"/>
    <w:pPr>
      <w:spacing w:line="240" w:lineRule="auto"/>
      <w:ind w:firstLine="0"/>
    </w:pPr>
    <w:rPr>
      <w:rFonts w:ascii="Calibri Light" w:hAnsi="Calibri Light" w:cs="Calibri Light"/>
      <w:sz w:val="21"/>
    </w:rPr>
  </w:style>
  <w:style w:type="paragraph" w:customStyle="1" w:styleId="1529">
    <w:name w:val="Char7"/>
    <w:basedOn w:val="1"/>
    <w:autoRedefine/>
    <w:qFormat/>
    <w:uiPriority w:val="0"/>
    <w:pPr>
      <w:spacing w:line="240" w:lineRule="auto"/>
      <w:ind w:firstLine="0"/>
    </w:pPr>
    <w:rPr>
      <w:rFonts w:ascii="Calibri Light" w:hAnsi="Calibri Light" w:cs="Calibri Light"/>
      <w:sz w:val="21"/>
    </w:rPr>
  </w:style>
  <w:style w:type="paragraph" w:customStyle="1" w:styleId="1530">
    <w:name w:val="表号"/>
    <w:basedOn w:val="173"/>
    <w:autoRedefine/>
    <w:qFormat/>
    <w:uiPriority w:val="0"/>
    <w:pPr>
      <w:numPr>
        <w:ilvl w:val="0"/>
        <w:numId w:val="8"/>
      </w:numPr>
      <w:tabs>
        <w:tab w:val="clear" w:pos="420"/>
      </w:tabs>
      <w:spacing w:line="240" w:lineRule="auto"/>
      <w:ind w:left="0" w:firstLine="0"/>
      <w:jc w:val="left"/>
    </w:pPr>
    <w:rPr>
      <w:rFonts w:ascii="Calibri Light" w:hAnsi="Arial Narrow" w:eastAsia="宋体"/>
      <w:b w:val="0"/>
      <w:kern w:val="0"/>
      <w:sz w:val="20"/>
      <w:szCs w:val="24"/>
      <w:lang w:val="zh-CN" w:eastAsia="zh-CN"/>
    </w:rPr>
  </w:style>
  <w:style w:type="paragraph" w:customStyle="1" w:styleId="1531">
    <w:name w:val="样式6 正文"/>
    <w:autoRedefine/>
    <w:qFormat/>
    <w:uiPriority w:val="0"/>
    <w:pPr>
      <w:spacing w:line="360" w:lineRule="auto"/>
      <w:ind w:firstLine="510"/>
      <w:jc w:val="both"/>
    </w:pPr>
    <w:rPr>
      <w:rFonts w:ascii="Calibri Light" w:hAnsi="Calibri Light" w:eastAsia="宋体" w:cs="Calibri Light"/>
      <w:sz w:val="24"/>
      <w:lang w:val="en-US" w:eastAsia="zh-CN" w:bidi="ar-SA"/>
    </w:rPr>
  </w:style>
  <w:style w:type="paragraph" w:customStyle="1" w:styleId="1532">
    <w:name w:val="表格题头"/>
    <w:basedOn w:val="1"/>
    <w:autoRedefine/>
    <w:qFormat/>
    <w:uiPriority w:val="0"/>
    <w:pPr>
      <w:keepNext/>
      <w:keepLines/>
      <w:adjustRightInd w:val="0"/>
      <w:snapToGrid w:val="0"/>
      <w:spacing w:before="145"/>
      <w:ind w:firstLine="0"/>
      <w:jc w:val="center"/>
      <w:textAlignment w:val="baseline"/>
      <w:outlineLvl w:val="8"/>
    </w:pPr>
    <w:rPr>
      <w:rFonts w:ascii="Calibri Light" w:hAnsi="Calibri Light" w:eastAsia="Arial Unicode MS" w:cs="Calibri Light"/>
      <w:bCs/>
      <w:snapToGrid w:val="0"/>
      <w:kern w:val="0"/>
      <w:szCs w:val="21"/>
    </w:rPr>
  </w:style>
  <w:style w:type="character" w:customStyle="1" w:styleId="1533">
    <w:name w:val="txt1"/>
    <w:autoRedefine/>
    <w:qFormat/>
    <w:uiPriority w:val="0"/>
    <w:rPr>
      <w:rFonts w:hint="eastAsia" w:ascii="Courier New" w:hAnsi="Courier New" w:eastAsia="Courier New"/>
      <w:color w:val="003300"/>
      <w:spacing w:val="264"/>
      <w:sz w:val="20"/>
      <w:szCs w:val="20"/>
      <w:u w:val="none"/>
    </w:rPr>
  </w:style>
  <w:style w:type="paragraph" w:customStyle="1" w:styleId="1534">
    <w:name w:val="样式 标题 2 + 段前: 0.5 行 段后: 0.5 行"/>
    <w:basedOn w:val="4"/>
    <w:autoRedefine/>
    <w:qFormat/>
    <w:uiPriority w:val="0"/>
    <w:pPr>
      <w:tabs>
        <w:tab w:val="left" w:pos="576"/>
        <w:tab w:val="left" w:pos="1320"/>
      </w:tabs>
      <w:adjustRightInd w:val="0"/>
      <w:spacing w:before="120" w:beforeLines="50" w:line="400" w:lineRule="exact"/>
      <w:ind w:left="576" w:hanging="576"/>
    </w:pPr>
    <w:rPr>
      <w:rFonts w:ascii="Calibri Light" w:hAnsi="Calibri Light" w:eastAsia="宋体"/>
      <w:b/>
      <w:bCs/>
      <w:sz w:val="24"/>
      <w:lang w:val="zh-CN" w:eastAsia="zh-CN" w:bidi="ar-SA"/>
    </w:rPr>
  </w:style>
  <w:style w:type="character" w:customStyle="1" w:styleId="1535">
    <w:name w:val="title_span3"/>
    <w:autoRedefine/>
    <w:qFormat/>
    <w:uiPriority w:val="0"/>
    <w:rPr>
      <w:rFonts w:hint="default"/>
      <w:sz w:val="24"/>
      <w:szCs w:val="24"/>
    </w:rPr>
  </w:style>
  <w:style w:type="character" w:customStyle="1" w:styleId="1536">
    <w:name w:val="theinfocontent1"/>
    <w:autoRedefine/>
    <w:qFormat/>
    <w:uiPriority w:val="0"/>
    <w:rPr>
      <w:rFonts w:hint="default" w:ascii="宋体" w:hAnsi="宋体"/>
      <w:sz w:val="20"/>
      <w:szCs w:val="20"/>
    </w:rPr>
  </w:style>
  <w:style w:type="character" w:customStyle="1" w:styleId="1537">
    <w:name w:val="txt20"/>
    <w:autoRedefine/>
    <w:qFormat/>
    <w:uiPriority w:val="0"/>
  </w:style>
  <w:style w:type="paragraph" w:customStyle="1" w:styleId="1538">
    <w:name w:val="样式 (符号) 宋体 四号 行距: 1.5 倍行距"/>
    <w:basedOn w:val="1"/>
    <w:autoRedefine/>
    <w:qFormat/>
    <w:uiPriority w:val="0"/>
    <w:pPr>
      <w:spacing w:line="240" w:lineRule="auto"/>
      <w:ind w:firstLine="560" w:firstLineChars="200"/>
    </w:pPr>
    <w:rPr>
      <w:rFonts w:ascii="Calibri Light" w:hAnsi="Courier New" w:cs="Courier New"/>
      <w:sz w:val="28"/>
      <w:szCs w:val="20"/>
    </w:rPr>
  </w:style>
  <w:style w:type="character" w:customStyle="1" w:styleId="1539">
    <w:name w:val="表名1 Char Char Char Char Char Char"/>
    <w:autoRedefine/>
    <w:qFormat/>
    <w:uiPriority w:val="0"/>
    <w:rPr>
      <w:rFonts w:ascii="Courier New" w:hAnsi="Courier New" w:eastAsia="Courier New"/>
      <w:b/>
      <w:sz w:val="24"/>
    </w:rPr>
  </w:style>
  <w:style w:type="character" w:customStyle="1" w:styleId="1540">
    <w:name w:val="detail_style"/>
    <w:autoRedefine/>
    <w:qFormat/>
    <w:uiPriority w:val="0"/>
  </w:style>
  <w:style w:type="character" w:customStyle="1" w:styleId="1541">
    <w:name w:val="style11"/>
    <w:autoRedefine/>
    <w:qFormat/>
    <w:uiPriority w:val="0"/>
    <w:rPr>
      <w:sz w:val="14"/>
      <w:szCs w:val="14"/>
    </w:rPr>
  </w:style>
  <w:style w:type="paragraph" w:customStyle="1" w:styleId="1542">
    <w:name w:val="正文L标准 Char Char Char Char Char Char Char Char Char Char Char Char"/>
    <w:basedOn w:val="86"/>
    <w:autoRedefine/>
    <w:qFormat/>
    <w:uiPriority w:val="0"/>
    <w:pPr>
      <w:spacing w:after="0" w:line="300" w:lineRule="auto"/>
      <w:ind w:firstLine="200"/>
    </w:pPr>
    <w:rPr>
      <w:rFonts w:ascii="Calibri Light" w:hAnsi="Calibri Light" w:cs="Courier New"/>
      <w:color w:val="auto"/>
      <w:spacing w:val="0"/>
      <w:kern w:val="0"/>
      <w:szCs w:val="24"/>
      <w:lang w:val="zh-CN" w:eastAsia="zh-CN"/>
    </w:rPr>
  </w:style>
  <w:style w:type="character" w:customStyle="1" w:styleId="1543">
    <w:name w:val="正文缩进2 Char"/>
    <w:autoRedefine/>
    <w:qFormat/>
    <w:uiPriority w:val="0"/>
    <w:rPr>
      <w:rFonts w:eastAsia="Courier New"/>
      <w:kern w:val="2"/>
      <w:sz w:val="21"/>
      <w:szCs w:val="24"/>
      <w:lang w:val="en-US" w:eastAsia="zh-CN" w:bidi="ar-SA"/>
    </w:rPr>
  </w:style>
  <w:style w:type="paragraph" w:customStyle="1" w:styleId="1544">
    <w:name w:val="Char Char10 Char"/>
    <w:basedOn w:val="1"/>
    <w:autoRedefine/>
    <w:semiHidden/>
    <w:qFormat/>
    <w:uiPriority w:val="0"/>
    <w:pPr>
      <w:adjustRightInd w:val="0"/>
      <w:spacing w:line="360" w:lineRule="atLeast"/>
      <w:ind w:firstLine="0"/>
    </w:pPr>
    <w:rPr>
      <w:rFonts w:ascii="Calibri Light" w:hAnsi="Calibri Light" w:cs="Calibri Light"/>
      <w:sz w:val="21"/>
    </w:rPr>
  </w:style>
  <w:style w:type="paragraph" w:customStyle="1" w:styleId="1545">
    <w:name w:val="其它"/>
    <w:basedOn w:val="1"/>
    <w:autoRedefine/>
    <w:qFormat/>
    <w:uiPriority w:val="0"/>
    <w:pPr>
      <w:adjustRightInd w:val="0"/>
      <w:ind w:firstLine="0"/>
      <w:jc w:val="center"/>
    </w:pPr>
    <w:rPr>
      <w:rFonts w:ascii="Calibri Light" w:hAnsi="Calibri Light" w:cs="Calibri Light"/>
      <w:kern w:val="24"/>
      <w:sz w:val="21"/>
      <w:szCs w:val="20"/>
    </w:rPr>
  </w:style>
  <w:style w:type="paragraph" w:customStyle="1" w:styleId="1546">
    <w:name w:val="xl22"/>
    <w:basedOn w:val="1"/>
    <w:autoRedefine/>
    <w:qFormat/>
    <w:uiPriority w:val="0"/>
    <w:pPr>
      <w:widowControl/>
      <w:spacing w:before="100" w:beforeAutospacing="1" w:after="100" w:afterAutospacing="1" w:line="240" w:lineRule="auto"/>
      <w:ind w:firstLine="0"/>
      <w:jc w:val="center"/>
    </w:pPr>
    <w:rPr>
      <w:rFonts w:ascii="Courier New" w:hAnsi="Courier New" w:cs="Calibri Light"/>
      <w:kern w:val="0"/>
    </w:rPr>
  </w:style>
  <w:style w:type="paragraph" w:customStyle="1" w:styleId="1547">
    <w:name w:val="样式 首行缩进:  1.03 厘米"/>
    <w:basedOn w:val="1"/>
    <w:autoRedefine/>
    <w:qFormat/>
    <w:uiPriority w:val="0"/>
    <w:pPr>
      <w:ind w:firstLine="585"/>
    </w:pPr>
    <w:rPr>
      <w:rFonts w:ascii="Calibri Light" w:hAnsi="Calibri Light" w:cs="Courier New"/>
      <w:sz w:val="28"/>
      <w:szCs w:val="28"/>
    </w:rPr>
  </w:style>
  <w:style w:type="paragraph" w:customStyle="1" w:styleId="1548">
    <w:name w:val="T正文"/>
    <w:autoRedefine/>
    <w:qFormat/>
    <w:uiPriority w:val="0"/>
    <w:pPr>
      <w:widowControl w:val="0"/>
      <w:adjustRightInd w:val="0"/>
      <w:snapToGrid w:val="0"/>
      <w:spacing w:line="360" w:lineRule="auto"/>
      <w:ind w:firstLine="200" w:firstLineChars="200"/>
      <w:jc w:val="both"/>
    </w:pPr>
    <w:rPr>
      <w:rFonts w:ascii="Calibri Light" w:hAnsi="Calibri Light" w:eastAsia="ˎ̥" w:cs="Calibri Light"/>
      <w:sz w:val="28"/>
      <w:lang w:val="en-US" w:eastAsia="zh-CN" w:bidi="ar-SA"/>
    </w:rPr>
  </w:style>
  <w:style w:type="paragraph" w:customStyle="1" w:styleId="1549">
    <w:name w:val="T表头"/>
    <w:next w:val="1"/>
    <w:autoRedefine/>
    <w:qFormat/>
    <w:uiPriority w:val="0"/>
    <w:pPr>
      <w:keepNext/>
      <w:keepLines/>
      <w:spacing w:line="360" w:lineRule="auto"/>
      <w:jc w:val="center"/>
    </w:pPr>
    <w:rPr>
      <w:rFonts w:ascii="Calibri Light" w:hAnsi="Calibri Light" w:eastAsia="Arial Unicode MS" w:cs="Calibri Light"/>
      <w:sz w:val="28"/>
      <w:lang w:val="en-US" w:eastAsia="zh-CN" w:bidi="ar-SA"/>
    </w:rPr>
  </w:style>
  <w:style w:type="paragraph" w:customStyle="1" w:styleId="1550">
    <w:name w:val="T表格"/>
    <w:autoRedefine/>
    <w:qFormat/>
    <w:uiPriority w:val="0"/>
    <w:pPr>
      <w:jc w:val="center"/>
    </w:pPr>
    <w:rPr>
      <w:rFonts w:ascii="Calibri Light" w:hAnsi="Calibri Light" w:eastAsia="宋体" w:cs="Calibri Light"/>
      <w:sz w:val="21"/>
      <w:lang w:val="en-US" w:eastAsia="zh-CN" w:bidi="ar-SA"/>
    </w:rPr>
  </w:style>
  <w:style w:type="paragraph" w:customStyle="1" w:styleId="1551">
    <w:name w:val="Char Char10 Char1"/>
    <w:basedOn w:val="1"/>
    <w:autoRedefine/>
    <w:semiHidden/>
    <w:qFormat/>
    <w:uiPriority w:val="0"/>
    <w:pPr>
      <w:adjustRightInd w:val="0"/>
      <w:spacing w:line="360" w:lineRule="atLeast"/>
      <w:ind w:firstLine="0"/>
    </w:pPr>
    <w:rPr>
      <w:rFonts w:ascii="Calibri Light" w:hAnsi="Calibri Light" w:cs="Calibri Light"/>
      <w:sz w:val="21"/>
    </w:rPr>
  </w:style>
  <w:style w:type="paragraph" w:customStyle="1" w:styleId="1552">
    <w:name w:val="5级标题"/>
    <w:basedOn w:val="7"/>
    <w:next w:val="1"/>
    <w:autoRedefine/>
    <w:qFormat/>
    <w:uiPriority w:val="0"/>
    <w:pPr>
      <w:keepNext/>
      <w:numPr>
        <w:ilvl w:val="0"/>
        <w:numId w:val="9"/>
      </w:numPr>
      <w:tabs>
        <w:tab w:val="left" w:pos="0"/>
        <w:tab w:val="clear" w:pos="1008"/>
      </w:tabs>
      <w:adjustRightInd/>
      <w:jc w:val="both"/>
      <w:textAlignment w:val="auto"/>
    </w:pPr>
    <w:rPr>
      <w:rFonts w:ascii="Calibri Light" w:hAnsi="Calibri Light"/>
      <w:b w:val="0"/>
      <w:bCs/>
      <w:szCs w:val="28"/>
      <w:lang w:val="zh-CN" w:eastAsia="zh-CN"/>
    </w:rPr>
  </w:style>
  <w:style w:type="character" w:customStyle="1" w:styleId="1553">
    <w:name w:val="样式 标题 3 + (中文) 仿宋 Char"/>
    <w:autoRedefine/>
    <w:qFormat/>
    <w:uiPriority w:val="0"/>
    <w:rPr>
      <w:rFonts w:eastAsia="Segoe UI Symbol"/>
      <w:sz w:val="30"/>
      <w:szCs w:val="24"/>
    </w:rPr>
  </w:style>
  <w:style w:type="paragraph" w:customStyle="1" w:styleId="1554">
    <w:name w:val="样式 ZW + 首行缩进:  2 字符"/>
    <w:basedOn w:val="1"/>
    <w:autoRedefine/>
    <w:qFormat/>
    <w:uiPriority w:val="0"/>
    <w:pPr>
      <w:adjustRightInd w:val="0"/>
      <w:spacing w:line="560" w:lineRule="exact"/>
      <w:ind w:firstLine="200" w:firstLineChars="200"/>
      <w:textAlignment w:val="baseline"/>
    </w:pPr>
    <w:rPr>
      <w:rFonts w:ascii="ˎ̥" w:hAnsi="Calibri Light" w:eastAsia="ˎ̥" w:cs="Courier New"/>
      <w:kern w:val="0"/>
      <w:sz w:val="28"/>
      <w:szCs w:val="20"/>
    </w:rPr>
  </w:style>
  <w:style w:type="paragraph" w:customStyle="1" w:styleId="1555">
    <w:name w:val="DE7B8801F2B1483F98D539CC92927118"/>
    <w:autoRedefine/>
    <w:qFormat/>
    <w:uiPriority w:val="0"/>
    <w:pPr>
      <w:spacing w:after="200" w:line="276" w:lineRule="auto"/>
    </w:pPr>
    <w:rPr>
      <w:rFonts w:ascii="Arial Narrow" w:hAnsi="Arial Narrow" w:eastAsia="宋体" w:cs="Calibri Light"/>
      <w:sz w:val="22"/>
      <w:szCs w:val="22"/>
      <w:lang w:val="en-US" w:eastAsia="zh-CN" w:bidi="ar-SA"/>
    </w:rPr>
  </w:style>
  <w:style w:type="character" w:customStyle="1" w:styleId="1556">
    <w:name w:val="样式 表格 Char"/>
    <w:link w:val="1168"/>
    <w:autoRedefine/>
    <w:qFormat/>
    <w:uiPriority w:val="0"/>
    <w:rPr>
      <w:rFonts w:ascii="楷体_GB2312" w:hAnsi="宋体" w:eastAsia="楷体_GB2312"/>
      <w:lang w:val="zh-CN" w:eastAsia="zh-CN"/>
    </w:rPr>
  </w:style>
  <w:style w:type="character" w:customStyle="1" w:styleId="1557">
    <w:name w:val="样式 样式 表格 + Times New Roman Char"/>
    <w:link w:val="1558"/>
    <w:autoRedefine/>
    <w:qFormat/>
    <w:uiPriority w:val="0"/>
  </w:style>
  <w:style w:type="paragraph" w:customStyle="1" w:styleId="1558">
    <w:name w:val="样式 样式 表格 + Times New Roman"/>
    <w:basedOn w:val="1168"/>
    <w:link w:val="1557"/>
    <w:autoRedefine/>
    <w:qFormat/>
    <w:uiPriority w:val="0"/>
    <w:pPr>
      <w:spacing w:line="0" w:lineRule="atLeast"/>
    </w:pPr>
    <w:rPr>
      <w:rFonts w:ascii="Times New Roman" w:hAnsi="Times New Roman" w:eastAsia="宋体"/>
      <w:lang w:val="en-US" w:eastAsia="zh-CN"/>
    </w:rPr>
  </w:style>
  <w:style w:type="character" w:customStyle="1" w:styleId="1559">
    <w:name w:val="st1"/>
    <w:autoRedefine/>
    <w:qFormat/>
    <w:uiPriority w:val="0"/>
  </w:style>
  <w:style w:type="paragraph" w:customStyle="1" w:styleId="1560">
    <w:name w:val="内部地址"/>
    <w:basedOn w:val="1"/>
    <w:autoRedefine/>
    <w:qFormat/>
    <w:uiPriority w:val="0"/>
    <w:pPr>
      <w:spacing w:line="240" w:lineRule="auto"/>
      <w:ind w:firstLine="0"/>
    </w:pPr>
    <w:rPr>
      <w:rFonts w:ascii="Arial Narrow" w:hAnsi="Arial Narrow" w:cs="Calibri Light"/>
      <w:sz w:val="21"/>
      <w:szCs w:val="22"/>
    </w:rPr>
  </w:style>
  <w:style w:type="paragraph" w:customStyle="1" w:styleId="1561">
    <w:name w:val="报告题目"/>
    <w:basedOn w:val="1"/>
    <w:autoRedefine/>
    <w:qFormat/>
    <w:uiPriority w:val="0"/>
    <w:pPr>
      <w:widowControl/>
      <w:autoSpaceDE w:val="0"/>
      <w:autoSpaceDN w:val="0"/>
      <w:adjustRightInd w:val="0"/>
      <w:ind w:firstLine="0"/>
      <w:jc w:val="center"/>
    </w:pPr>
    <w:rPr>
      <w:rFonts w:ascii="仿宋_GB2312" w:eastAsia="仿宋_GB2312"/>
      <w:color w:val="000000"/>
      <w:kern w:val="0"/>
      <w:szCs w:val="52"/>
    </w:rPr>
  </w:style>
  <w:style w:type="character" w:customStyle="1" w:styleId="1562">
    <w:name w:val="aa正文 Char"/>
    <w:link w:val="1563"/>
    <w:autoRedefine/>
    <w:qFormat/>
    <w:uiPriority w:val="0"/>
    <w:rPr>
      <w:bCs/>
      <w:snapToGrid w:val="0"/>
      <w:color w:val="000000"/>
      <w:sz w:val="24"/>
      <w:szCs w:val="24"/>
    </w:rPr>
  </w:style>
  <w:style w:type="paragraph" w:customStyle="1" w:styleId="1563">
    <w:name w:val="aa正文"/>
    <w:basedOn w:val="1"/>
    <w:link w:val="1562"/>
    <w:autoRedefine/>
    <w:qFormat/>
    <w:uiPriority w:val="0"/>
    <w:pPr>
      <w:spacing w:line="500" w:lineRule="exact"/>
      <w:ind w:firstLine="200" w:firstLineChars="200"/>
    </w:pPr>
    <w:rPr>
      <w:bCs/>
      <w:snapToGrid w:val="0"/>
      <w:color w:val="000000"/>
      <w:kern w:val="0"/>
    </w:rPr>
  </w:style>
  <w:style w:type="paragraph" w:customStyle="1" w:styleId="1564">
    <w:name w:val="msolistparagraph"/>
    <w:basedOn w:val="1"/>
    <w:autoRedefine/>
    <w:qFormat/>
    <w:uiPriority w:val="0"/>
    <w:pPr>
      <w:spacing w:line="240" w:lineRule="auto"/>
      <w:ind w:firstLine="200" w:firstLineChars="200"/>
    </w:pPr>
    <w:rPr>
      <w:rFonts w:ascii="Calibri" w:hAnsi="Calibri"/>
      <w:sz w:val="21"/>
      <w:szCs w:val="22"/>
    </w:rPr>
  </w:style>
  <w:style w:type="table" w:customStyle="1" w:styleId="1565">
    <w:name w:val="网格型13"/>
    <w:basedOn w:val="88"/>
    <w:autoRedefine/>
    <w:qFormat/>
    <w:uiPriority w:val="59"/>
    <w:pPr>
      <w:widowControl w:val="0"/>
      <w:jc w:val="both"/>
    </w:pPr>
    <w:rPr>
      <w:rFonts w:ascii="Calibri Light" w:hAnsi="Calibri Light" w:cs="Calibri Ligh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6">
    <w:name w:val="网格型111"/>
    <w:basedOn w:val="88"/>
    <w:autoRedefine/>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67">
    <w:name w:val="网格型22"/>
    <w:basedOn w:val="88"/>
    <w:autoRedefine/>
    <w:qFormat/>
    <w:uiPriority w:val="59"/>
    <w:pPr>
      <w:widowControl w:val="0"/>
      <w:jc w:val="both"/>
    </w:pPr>
    <w:rPr>
      <w:rFonts w:ascii="Calibri Light" w:hAnsi="Calibri Light" w:cs="Calibri Ligh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8">
    <w:name w:val="网格型121"/>
    <w:basedOn w:val="88"/>
    <w:autoRedefine/>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69">
    <w:name w:val="网格型31"/>
    <w:basedOn w:val="88"/>
    <w:autoRedefine/>
    <w:qFormat/>
    <w:uiPriority w:val="59"/>
    <w:pPr>
      <w:widowControl w:val="0"/>
      <w:jc w:val="both"/>
    </w:pPr>
    <w:rPr>
      <w:rFonts w:ascii="Calibri Light" w:hAnsi="Calibri Light" w:cs="Calibri Ligh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0">
    <w:name w:val="网格型131"/>
    <w:basedOn w:val="88"/>
    <w:autoRedefine/>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571">
    <w:name w:val="font13"/>
    <w:basedOn w:val="1"/>
    <w:autoRedefine/>
    <w:qFormat/>
    <w:uiPriority w:val="0"/>
    <w:pPr>
      <w:widowControl/>
      <w:spacing w:before="100" w:beforeAutospacing="1" w:after="100" w:afterAutospacing="1" w:line="240" w:lineRule="auto"/>
      <w:ind w:firstLine="0"/>
      <w:jc w:val="left"/>
    </w:pPr>
    <w:rPr>
      <w:rFonts w:ascii="宋体" w:hAnsi="宋体" w:cs="宋体"/>
      <w:color w:val="000000"/>
      <w:kern w:val="0"/>
      <w:sz w:val="18"/>
      <w:szCs w:val="18"/>
    </w:rPr>
  </w:style>
  <w:style w:type="paragraph" w:customStyle="1" w:styleId="1572">
    <w:name w:val="风电正文"/>
    <w:basedOn w:val="1"/>
    <w:autoRedefine/>
    <w:qFormat/>
    <w:uiPriority w:val="0"/>
    <w:pPr>
      <w:adjustRightInd w:val="0"/>
      <w:snapToGrid w:val="0"/>
      <w:spacing w:line="500" w:lineRule="exact"/>
      <w:ind w:firstLine="200" w:firstLineChars="200"/>
      <w:textAlignment w:val="baseline"/>
    </w:pPr>
    <w:rPr>
      <w:kern w:val="0"/>
    </w:rPr>
  </w:style>
  <w:style w:type="paragraph" w:customStyle="1" w:styleId="1573">
    <w:name w:val="列表段落1"/>
    <w:basedOn w:val="1"/>
    <w:autoRedefine/>
    <w:qFormat/>
    <w:uiPriority w:val="34"/>
    <w:pPr>
      <w:spacing w:line="240" w:lineRule="auto"/>
    </w:pPr>
    <w:rPr>
      <w:rFonts w:ascii="Calibri" w:hAnsi="Calibri"/>
      <w:sz w:val="21"/>
      <w:szCs w:val="22"/>
    </w:rPr>
  </w:style>
  <w:style w:type="character" w:customStyle="1" w:styleId="1574">
    <w:name w:val="列出段落 字符"/>
    <w:link w:val="649"/>
    <w:autoRedefine/>
    <w:qFormat/>
    <w:uiPriority w:val="34"/>
    <w:rPr>
      <w:kern w:val="2"/>
      <w:sz w:val="24"/>
      <w:szCs w:val="24"/>
    </w:rPr>
  </w:style>
  <w:style w:type="paragraph" w:customStyle="1" w:styleId="1575">
    <w:name w:val="列出段落51"/>
    <w:basedOn w:val="1"/>
    <w:autoRedefine/>
    <w:qFormat/>
    <w:uiPriority w:val="34"/>
    <w:pPr>
      <w:ind w:firstLine="200" w:firstLineChars="200"/>
    </w:pPr>
  </w:style>
  <w:style w:type="table" w:customStyle="1" w:styleId="1576">
    <w:name w:val="列表型 31"/>
    <w:basedOn w:val="88"/>
    <w:autoRedefine/>
    <w:qFormat/>
    <w:uiPriority w:val="0"/>
    <w:pPr>
      <w:widowControl w:val="0"/>
      <w:jc w:val="both"/>
    </w:pPr>
    <w:rPr>
      <w:rFonts w:ascii="Calibri Light" w:hAnsi="Calibri Light" w:cs="Calibri Light"/>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1577">
    <w:name w:val="网格型 11"/>
    <w:basedOn w:val="88"/>
    <w:autoRedefine/>
    <w:qFormat/>
    <w:uiPriority w:val="0"/>
    <w:pPr>
      <w:widowControl w:val="0"/>
      <w:jc w:val="both"/>
    </w:pPr>
    <w:rPr>
      <w:rFonts w:ascii="Calibri Light" w:hAnsi="Calibri Light" w:cs="Calibri Light"/>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578">
    <w:name w:val="典雅型1"/>
    <w:basedOn w:val="88"/>
    <w:autoRedefine/>
    <w:qFormat/>
    <w:uiPriority w:val="0"/>
    <w:pPr>
      <w:widowControl w:val="0"/>
      <w:jc w:val="both"/>
    </w:pPr>
    <w:rPr>
      <w:rFonts w:ascii="Calibri Light" w:hAnsi="Calibri Light" w:cs="Calibri Light"/>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paragraph" w:customStyle="1" w:styleId="1579">
    <w:name w:val="msonormal"/>
    <w:basedOn w:val="1"/>
    <w:autoRedefine/>
    <w:qFormat/>
    <w:uiPriority w:val="0"/>
    <w:pPr>
      <w:widowControl/>
      <w:spacing w:before="100" w:beforeAutospacing="1" w:after="100" w:afterAutospacing="1" w:line="240" w:lineRule="auto"/>
      <w:ind w:firstLine="0"/>
      <w:jc w:val="left"/>
    </w:pPr>
    <w:rPr>
      <w:rFonts w:ascii="宋体" w:hAnsi="宋体" w:cs="宋体"/>
      <w:kern w:val="0"/>
    </w:rPr>
  </w:style>
  <w:style w:type="paragraph" w:customStyle="1" w:styleId="1580">
    <w:name w:val="正文-一级标题"/>
    <w:basedOn w:val="1"/>
    <w:autoRedefine/>
    <w:qFormat/>
    <w:uiPriority w:val="0"/>
    <w:pPr>
      <w:spacing w:line="240" w:lineRule="auto"/>
      <w:ind w:firstLine="0"/>
      <w:jc w:val="center"/>
      <w:outlineLvl w:val="0"/>
    </w:pPr>
    <w:rPr>
      <w:rFonts w:hint="eastAsia" w:ascii="黑体" w:hAnsi="黑体" w:eastAsia="黑体" w:cs="黑体"/>
      <w:sz w:val="32"/>
      <w:szCs w:val="32"/>
    </w:rPr>
  </w:style>
  <w:style w:type="character" w:customStyle="1" w:styleId="1581">
    <w:name w:val="页脚 Char"/>
    <w:autoRedefine/>
    <w:qFormat/>
    <w:uiPriority w:val="99"/>
    <w:rPr>
      <w:kern w:val="2"/>
      <w:sz w:val="18"/>
      <w:szCs w:val="18"/>
    </w:rPr>
  </w:style>
  <w:style w:type="character" w:customStyle="1" w:styleId="1582">
    <w:name w:val="页眉 Char"/>
    <w:autoRedefine/>
    <w:qFormat/>
    <w:uiPriority w:val="99"/>
    <w:rPr>
      <w:kern w:val="2"/>
      <w:sz w:val="18"/>
      <w:szCs w:val="18"/>
    </w:rPr>
  </w:style>
  <w:style w:type="character" w:customStyle="1" w:styleId="1583">
    <w:name w:val="批注框文本 Char"/>
    <w:autoRedefine/>
    <w:semiHidden/>
    <w:qFormat/>
    <w:uiPriority w:val="99"/>
    <w:rPr>
      <w:kern w:val="2"/>
      <w:sz w:val="18"/>
      <w:szCs w:val="18"/>
    </w:rPr>
  </w:style>
  <w:style w:type="character" w:customStyle="1" w:styleId="1584">
    <w:name w:val="HTML 预设格式 Char"/>
    <w:autoRedefine/>
    <w:qFormat/>
    <w:uiPriority w:val="99"/>
    <w:rPr>
      <w:rFonts w:ascii="宋体" w:hAnsi="宋体" w:cs="宋体"/>
      <w:sz w:val="24"/>
      <w:szCs w:val="24"/>
    </w:rPr>
  </w:style>
  <w:style w:type="character" w:customStyle="1" w:styleId="1585">
    <w:name w:val="环评正文 字符"/>
    <w:autoRedefine/>
    <w:qFormat/>
    <w:uiPriority w:val="0"/>
    <w:rPr>
      <w:rFonts w:ascii="宋体" w:hAnsi="宋体" w:eastAsia="宋体" w:cs="宋体"/>
      <w:color w:val="000000"/>
      <w:sz w:val="24"/>
    </w:rPr>
  </w:style>
  <w:style w:type="character" w:customStyle="1" w:styleId="1586">
    <w:name w:val="缩进 Char"/>
    <w:link w:val="1008"/>
    <w:autoRedefine/>
    <w:qFormat/>
    <w:uiPriority w:val="0"/>
    <w:rPr>
      <w:kern w:val="2"/>
      <w:sz w:val="24"/>
      <w:szCs w:val="24"/>
    </w:rPr>
  </w:style>
  <w:style w:type="paragraph" w:customStyle="1" w:styleId="1587">
    <w:name w:val="样式 正文文本缩进 + 宋体"/>
    <w:basedOn w:val="35"/>
    <w:autoRedefine/>
    <w:qFormat/>
    <w:uiPriority w:val="0"/>
    <w:pPr>
      <w:spacing w:line="240" w:lineRule="auto"/>
      <w:ind w:firstLine="420"/>
    </w:pPr>
    <w:rPr>
      <w:rFonts w:ascii="宋体" w:hAnsi="宋体" w:cs="宋体"/>
      <w:sz w:val="21"/>
      <w:szCs w:val="20"/>
    </w:rPr>
  </w:style>
  <w:style w:type="paragraph" w:customStyle="1" w:styleId="1588">
    <w:name w:val="00.正文格式"/>
    <w:basedOn w:val="21"/>
    <w:autoRedefine/>
    <w:qFormat/>
    <w:uiPriority w:val="0"/>
    <w:pPr>
      <w:widowControl/>
      <w:ind w:firstLine="480"/>
      <w:jc w:val="left"/>
    </w:pPr>
    <w:rPr>
      <w:color w:val="000000"/>
    </w:rPr>
  </w:style>
  <w:style w:type="table" w:customStyle="1" w:styleId="1589">
    <w:name w:val="SBLZ网格11"/>
    <w:basedOn w:val="88"/>
    <w:autoRedefine/>
    <w:qFormat/>
    <w:uiPriority w:val="0"/>
    <w:pPr>
      <w:jc w:val="center"/>
    </w:pPr>
    <w:rPr>
      <w:sz w:val="18"/>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cPr>
      <w:vAlign w:val="center"/>
    </w:tcPr>
  </w:style>
  <w:style w:type="table" w:customStyle="1" w:styleId="1590">
    <w:name w:val="SBLZ网格12"/>
    <w:basedOn w:val="88"/>
    <w:autoRedefine/>
    <w:qFormat/>
    <w:uiPriority w:val="0"/>
    <w:pPr>
      <w:jc w:val="center"/>
    </w:pPr>
    <w:rPr>
      <w:sz w:val="18"/>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cPr>
      <w:vAlign w:val="center"/>
    </w:tcPr>
  </w:style>
  <w:style w:type="table" w:customStyle="1" w:styleId="1591">
    <w:name w:val="公司格式7"/>
    <w:basedOn w:val="88"/>
    <w:autoRedefine/>
    <w:qFormat/>
    <w:uiPriority w:val="99"/>
    <w:pPr>
      <w:adjustRightInd w:val="0"/>
      <w:snapToGrid w:val="0"/>
      <w:spacing w:line="240" w:lineRule="atLeast"/>
      <w:jc w:val="center"/>
    </w:pPr>
    <w:rPr>
      <w:rFonts w:eastAsia="等线"/>
      <w:kern w:val="2"/>
      <w:sz w:val="21"/>
      <w:szCs w:val="22"/>
    </w:rPr>
    <w:tblPr>
      <w:jc w:val="center"/>
      <w:tblBorders>
        <w:top w:val="single" w:color="auto" w:sz="12" w:space="0"/>
        <w:bottom w:val="single" w:color="auto" w:sz="12" w:space="0"/>
        <w:insideH w:val="single" w:color="auto" w:sz="6" w:space="0"/>
        <w:insideV w:val="single" w:color="auto" w:sz="6" w:space="0"/>
      </w:tblBorders>
    </w:tblPr>
    <w:trPr>
      <w:jc w:val="center"/>
    </w:trPr>
    <w:tcPr>
      <w:tcMar>
        <w:left w:w="57" w:type="dxa"/>
        <w:right w:w="57" w:type="dxa"/>
      </w:tcMar>
      <w:vAlign w:val="center"/>
    </w:tcPr>
  </w:style>
  <w:style w:type="table" w:customStyle="1" w:styleId="1592">
    <w:name w:val="公司格式8"/>
    <w:basedOn w:val="88"/>
    <w:autoRedefine/>
    <w:qFormat/>
    <w:uiPriority w:val="99"/>
    <w:pPr>
      <w:adjustRightInd w:val="0"/>
      <w:snapToGrid w:val="0"/>
      <w:spacing w:line="240" w:lineRule="atLeast"/>
      <w:jc w:val="center"/>
    </w:pPr>
    <w:rPr>
      <w:rFonts w:eastAsia="等线"/>
      <w:kern w:val="2"/>
      <w:sz w:val="21"/>
      <w:szCs w:val="22"/>
    </w:rPr>
    <w:tblPr>
      <w:jc w:val="center"/>
      <w:tblBorders>
        <w:top w:val="single" w:color="auto" w:sz="12" w:space="0"/>
        <w:bottom w:val="single" w:color="auto" w:sz="12" w:space="0"/>
        <w:insideH w:val="single" w:color="auto" w:sz="6" w:space="0"/>
        <w:insideV w:val="single" w:color="auto" w:sz="6" w:space="0"/>
      </w:tblBorders>
    </w:tblPr>
    <w:trPr>
      <w:jc w:val="center"/>
    </w:trPr>
    <w:tcPr>
      <w:tcMar>
        <w:left w:w="57" w:type="dxa"/>
        <w:right w:w="57" w:type="dxa"/>
      </w:tcMar>
      <w:vAlign w:val="center"/>
    </w:tcPr>
  </w:style>
  <w:style w:type="table" w:customStyle="1" w:styleId="1593">
    <w:name w:val="yk5201"/>
    <w:basedOn w:val="88"/>
    <w:autoRedefine/>
    <w:qFormat/>
    <w:uiPriority w:val="0"/>
    <w:pPr>
      <w:jc w:val="center"/>
    </w:p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cPr>
      <w:vAlign w:val="center"/>
    </w:tcPr>
  </w:style>
  <w:style w:type="table" w:customStyle="1" w:styleId="1594">
    <w:name w:val="SBLZ网格13"/>
    <w:basedOn w:val="88"/>
    <w:autoRedefine/>
    <w:qFormat/>
    <w:uiPriority w:val="0"/>
    <w:pPr>
      <w:jc w:val="center"/>
    </w:pPr>
    <w:rPr>
      <w:sz w:val="18"/>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cPr>
      <w:vAlign w:val="center"/>
    </w:tcPr>
  </w:style>
  <w:style w:type="table" w:customStyle="1" w:styleId="1595">
    <w:name w:val="SBLZ网格14"/>
    <w:basedOn w:val="88"/>
    <w:autoRedefine/>
    <w:qFormat/>
    <w:uiPriority w:val="0"/>
    <w:pPr>
      <w:jc w:val="center"/>
    </w:pPr>
    <w:rPr>
      <w:sz w:val="18"/>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cPr>
      <w:vAlign w:val="center"/>
    </w:tcPr>
  </w:style>
  <w:style w:type="table" w:customStyle="1" w:styleId="1596">
    <w:name w:val="SBLZ网格15"/>
    <w:basedOn w:val="88"/>
    <w:autoRedefine/>
    <w:qFormat/>
    <w:uiPriority w:val="0"/>
    <w:pPr>
      <w:jc w:val="center"/>
    </w:pPr>
    <w:rPr>
      <w:sz w:val="18"/>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cPr>
      <w:vAlign w:val="center"/>
    </w:tcPr>
  </w:style>
  <w:style w:type="table" w:customStyle="1" w:styleId="1597">
    <w:name w:val="公司格式9"/>
    <w:basedOn w:val="88"/>
    <w:autoRedefine/>
    <w:qFormat/>
    <w:uiPriority w:val="99"/>
    <w:pPr>
      <w:adjustRightInd w:val="0"/>
      <w:snapToGrid w:val="0"/>
      <w:spacing w:line="240" w:lineRule="atLeast"/>
      <w:jc w:val="center"/>
    </w:pPr>
    <w:rPr>
      <w:rFonts w:eastAsia="等线"/>
      <w:kern w:val="2"/>
      <w:sz w:val="21"/>
      <w:szCs w:val="22"/>
    </w:rPr>
    <w:tblPr>
      <w:jc w:val="center"/>
      <w:tblBorders>
        <w:top w:val="single" w:color="auto" w:sz="12" w:space="0"/>
        <w:bottom w:val="single" w:color="auto" w:sz="12" w:space="0"/>
        <w:insideH w:val="single" w:color="auto" w:sz="6" w:space="0"/>
        <w:insideV w:val="single" w:color="auto" w:sz="6" w:space="0"/>
      </w:tblBorders>
    </w:tblPr>
    <w:trPr>
      <w:jc w:val="center"/>
    </w:trPr>
    <w:tcPr>
      <w:tcMar>
        <w:left w:w="57" w:type="dxa"/>
        <w:right w:w="57" w:type="dxa"/>
      </w:tcMar>
      <w:vAlign w:val="center"/>
    </w:tcPr>
  </w:style>
  <w:style w:type="table" w:customStyle="1" w:styleId="1598">
    <w:name w:val="SBLZ网格16"/>
    <w:basedOn w:val="88"/>
    <w:autoRedefine/>
    <w:qFormat/>
    <w:uiPriority w:val="0"/>
    <w:pPr>
      <w:jc w:val="center"/>
    </w:pPr>
    <w:rPr>
      <w:sz w:val="18"/>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cPr>
      <w:vAlign w:val="center"/>
    </w:tcPr>
  </w:style>
  <w:style w:type="table" w:customStyle="1" w:styleId="1599">
    <w:name w:val="yk5202"/>
    <w:basedOn w:val="88"/>
    <w:autoRedefine/>
    <w:qFormat/>
    <w:uiPriority w:val="0"/>
    <w:pPr>
      <w:jc w:val="center"/>
    </w:p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cPr>
      <w:vAlign w:val="center"/>
    </w:tcPr>
  </w:style>
  <w:style w:type="table" w:customStyle="1" w:styleId="1600">
    <w:name w:val="专业网格6"/>
    <w:basedOn w:val="88"/>
    <w:autoRedefine/>
    <w:qFormat/>
    <w:uiPriority w:val="5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1">
    <w:name w:val="专业网格7"/>
    <w:basedOn w:val="88"/>
    <w:autoRedefine/>
    <w:qFormat/>
    <w:uiPriority w:val="5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2">
    <w:name w:val="专业网格11"/>
    <w:basedOn w:val="88"/>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03">
    <w:name w:val="表名1"/>
    <w:autoRedefine/>
    <w:semiHidden/>
    <w:qFormat/>
    <w:uiPriority w:val="99"/>
    <w:pPr>
      <w:widowControl/>
      <w:adjustRightInd w:val="0"/>
      <w:snapToGrid w:val="0"/>
      <w:spacing w:before="156" w:beforeLines="50" w:line="360" w:lineRule="auto"/>
      <w:ind w:firstLine="0" w:firstLineChars="0"/>
      <w:jc w:val="left"/>
    </w:pPr>
    <w:rPr>
      <w:rFonts w:ascii="Arial" w:hAnsi="Arial" w:eastAsia="宋体" w:cs="Times New Roman"/>
      <w:color w:val="000000"/>
      <w:spacing w:val="4"/>
      <w:kern w:val="0"/>
      <w:sz w:val="24"/>
      <w:lang w:val="en-US" w:eastAsia="zh-CN" w:bidi="ar-SA"/>
    </w:rPr>
  </w:style>
  <w:style w:type="character" w:customStyle="1" w:styleId="1604">
    <w:name w:val="font41"/>
    <w:basedOn w:val="102"/>
    <w:autoRedefine/>
    <w:qFormat/>
    <w:uiPriority w:val="0"/>
    <w:rPr>
      <w:rFonts w:hint="eastAsia" w:ascii="宋体" w:hAnsi="宋体" w:eastAsia="宋体" w:cs="宋体"/>
      <w:b/>
      <w:bCs/>
      <w:color w:val="000000"/>
      <w:sz w:val="22"/>
      <w:szCs w:val="22"/>
      <w:u w:val="none"/>
    </w:rPr>
  </w:style>
  <w:style w:type="paragraph" w:customStyle="1" w:styleId="1605">
    <w:name w:val="A-表格文字"/>
    <w:next w:val="1"/>
    <w:qFormat/>
    <w:uiPriority w:val="0"/>
    <w:pPr>
      <w:widowControl w:val="0"/>
      <w:autoSpaceDE w:val="0"/>
      <w:autoSpaceDN w:val="0"/>
      <w:adjustRightInd w:val="0"/>
      <w:spacing w:line="360" w:lineRule="auto"/>
      <w:ind w:firstLine="0" w:firstLineChars="0"/>
      <w:jc w:val="center"/>
      <w:textAlignment w:val="center"/>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31934;&#27827;&#26426;&#22330;/hefei/AppData/Local/Temp/ksohtml/wps9C7.tmp.jpg" TargetMode="Externa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A4BF9C-0A44-4F98-89FE-1D7DB8749449}">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239</Pages>
  <Words>19808</Words>
  <Characters>24308</Characters>
  <Lines>1</Lines>
  <Paragraphs>1</Paragraphs>
  <TotalTime>29</TotalTime>
  <ScaleCrop>false</ScaleCrop>
  <LinksUpToDate>false</LinksUpToDate>
  <CharactersWithSpaces>24478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2023-02-08T03:59:00Z</dcterms:created>
  <dc:creator>xiaoxiao</dc:creator>
  <cp:lastModifiedBy>LinKang</cp:lastModifiedBy>
  <cp:lastPrinted>2023-02-19T14:54:00Z</cp:lastPrinted>
  <dcterms:modified xsi:type="dcterms:W3CDTF">2025-11-18T05:25:14Z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D656D6E60E414DA3A687964BC5ED62DC_13</vt:lpwstr>
  </property>
  <property fmtid="{D5CDD505-2E9C-101B-9397-08002B2CF9AE}" pid="4" name="KSOTemplateDocerSaveRecord">
    <vt:lpwstr>eyJoZGlkIjoiNWFlMmM2NDk4NmQ2NGZkNDg0YTI4NTAyMzE0YmExNzMiLCJ1c2VySWQiOiIxMDQzNDQ3MjQ0In0=</vt:lpwstr>
  </property>
</Properties>
</file>